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0" w:right="0" w:hanging="0"/>
        <w:jc w:val="left"/>
        <w:rPr>
          <w:bdr w:val="single" w:sz="16" w:space="1" w:color="000000"/>
        </w:rPr>
      </w:pPr>
      <w:bookmarkStart w:id="0" w:name="tm2626659d15_8k.htm"/>
      <w:bookmarkStart w:id="1" w:name="kstm2626659d15_8k"/>
      <w:bookmarkEnd w:id="0"/>
      <w:bookmarkEnd w:id="1"/>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5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8_edei--EntityRegistrantName_c2026"/>
      <w:bookmarkEnd w:id="4"/>
      <w:r>
        <w:rPr>
          <w:rFonts w:ascii="Times New Roman;Times;Serif" w:hAnsi="Times New Roman;Times;Serif"/>
          <w:b/>
          <w:i w:val="false"/>
          <w:caps w:val="false"/>
          <w:smallCaps w:val="false"/>
          <w:sz w:val="36"/>
        </w:rPr>
        <w:t>Skydance Corporation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780" w:type="dxa"/>
        <w:jc w:val="left"/>
        <w:tblInd w:w="0" w:type="dxa"/>
        <w:tblLayout w:type="fixed"/>
        <w:tblCellMar>
          <w:top w:w="0" w:type="dxa"/>
          <w:left w:w="0" w:type="dxa"/>
          <w:bottom w:w="0" w:type="dxa"/>
          <w:right w:w="0" w:type="dxa"/>
        </w:tblCellMar>
      </w:tblPr>
      <w:tblGrid>
        <w:gridCol w:w="2780"/>
        <w:gridCol w:w="60"/>
        <w:gridCol w:w="1445"/>
        <w:gridCol w:w="60"/>
        <w:gridCol w:w="2435"/>
      </w:tblGrid>
      <w:tr>
        <w:trPr/>
        <w:tc>
          <w:tcPr>
            <w:tcW w:w="2780" w:type="dxa"/>
            <w:tcBorders/>
            <w:vAlign w:val="center"/>
          </w:tcPr>
          <w:p>
            <w:pPr>
              <w:pStyle w:val="TableContents"/>
              <w:bidi w:val="0"/>
              <w:spacing w:before="0" w:after="283"/>
              <w:jc w:val="center"/>
              <w:rPr>
                <w:b/>
              </w:rPr>
            </w:pPr>
            <w:bookmarkStart w:id="5" w:name="xdx_90C_edei--EntityIncorporationStateCo"/>
            <w:bookmarkEnd w:id="5"/>
            <w:r>
              <w:rPr>
                <w:b/>
              </w:rPr>
              <w:t>Delaware</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b/>
              </w:rPr>
            </w:pPr>
            <w:bookmarkStart w:id="6" w:name="xdx_902_edei--EntityFileNumber_c20261015"/>
            <w:bookmarkEnd w:id="6"/>
            <w:r>
              <w:rPr>
                <w:b/>
              </w:rPr>
              <w:t>001-42791</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b/>
              </w:rPr>
            </w:pPr>
            <w:bookmarkStart w:id="7" w:name="xdx_901_edei--EntityTaxIdentificationNum"/>
            <w:bookmarkEnd w:id="7"/>
            <w:r>
              <w:rPr>
                <w:b/>
              </w:rPr>
              <w:t>99-3917985</w:t>
            </w:r>
          </w:p>
        </w:tc>
      </w:tr>
      <w:tr>
        <w:trPr/>
        <w:tc>
          <w:tcPr>
            <w:tcW w:w="2780" w:type="dxa"/>
            <w:tcBorders/>
            <w:vAlign w:val="center"/>
          </w:tcPr>
          <w:p>
            <w:pPr>
              <w:pStyle w:val="TableContents"/>
              <w:bidi w:val="0"/>
              <w:spacing w:before="0" w:after="283"/>
              <w:jc w:val="center"/>
              <w:rPr/>
            </w:pPr>
            <w:r>
              <w:rPr>
                <w:b/>
              </w:rPr>
              <w:t xml:space="preserve">(State or other jurisdiction </w:t>
              <w:br/>
              <w:t>of incorporation)</w:t>
            </w:r>
            <w:r>
              <w:rPr/>
              <w:t> </w:t>
            </w:r>
          </w:p>
        </w:tc>
        <w:tc>
          <w:tcPr>
            <w:tcW w:w="60" w:type="dxa"/>
            <w:tcBorders/>
            <w:vAlign w:val="center"/>
          </w:tcPr>
          <w:p>
            <w:pPr>
              <w:pStyle w:val="TableContents"/>
              <w:bidi w:val="0"/>
              <w:spacing w:before="0" w:after="283"/>
              <w:jc w:val="center"/>
              <w:rPr/>
            </w:pPr>
            <w:r>
              <w:rPr/>
              <w:t> </w:t>
            </w:r>
          </w:p>
        </w:tc>
        <w:tc>
          <w:tcPr>
            <w:tcW w:w="1445" w:type="dxa"/>
            <w:tcBorders/>
            <w:vAlign w:val="center"/>
          </w:tcPr>
          <w:p>
            <w:pPr>
              <w:pStyle w:val="TableContents"/>
              <w:bidi w:val="0"/>
              <w:spacing w:before="0" w:after="283"/>
              <w:jc w:val="center"/>
              <w:rPr/>
            </w:pPr>
            <w:r>
              <w:rPr>
                <w:b/>
              </w:rPr>
              <w:t xml:space="preserve">(Commission </w:t>
              <w:br/>
              <w:t>File Number)</w:t>
            </w:r>
            <w:r>
              <w:rPr/>
              <w:t> </w:t>
            </w:r>
          </w:p>
        </w:tc>
        <w:tc>
          <w:tcPr>
            <w:tcW w:w="60" w:type="dxa"/>
            <w:tcBorders/>
            <w:vAlign w:val="center"/>
          </w:tcPr>
          <w:p>
            <w:pPr>
              <w:pStyle w:val="TableContents"/>
              <w:bidi w:val="0"/>
              <w:spacing w:before="0" w:after="283"/>
              <w:jc w:val="center"/>
              <w:rPr/>
            </w:pPr>
            <w:r>
              <w:rPr/>
              <w:t> </w:t>
            </w:r>
          </w:p>
        </w:tc>
        <w:tc>
          <w:tcPr>
            <w:tcW w:w="2435" w:type="dxa"/>
            <w:tcBorders/>
            <w:vAlign w:val="center"/>
          </w:tcPr>
          <w:p>
            <w:pPr>
              <w:pStyle w:val="TableContents"/>
              <w:bidi w:val="0"/>
              <w:spacing w:before="0" w:after="283"/>
              <w:jc w:val="center"/>
              <w:rPr/>
            </w:pPr>
            <w:r>
              <w:rPr>
                <w:b/>
              </w:rPr>
              <w:t xml:space="preserve">(IRS Employer </w:t>
              <w:br/>
              <w:t>Identification Number)</w:t>
            </w: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6_edei--EntityAddressAddressLine1_"/>
            <w:bookmarkEnd w:id="8"/>
            <w:r>
              <w:rPr>
                <w:rFonts w:ascii="Times New Roman;Times;Serif" w:hAnsi="Times New Roman;Times;Serif"/>
                <w:b/>
                <w:i w:val="false"/>
                <w:caps w:val="false"/>
                <w:smallCaps w:val="false"/>
                <w:sz w:val="20"/>
              </w:rPr>
              <w:t>1515 Broadway</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New York, </w:t>
            </w:r>
            <w:bookmarkStart w:id="10" w:name="xdx_907_edei--EntityAddressStateOrProvin"/>
            <w:bookmarkEnd w:id="10"/>
            <w:r>
              <w:rPr>
                <w:rFonts w:ascii="Times New Roman;Times;Serif" w:hAnsi="Times New Roman;Times;Serif"/>
                <w:b/>
                <w:i w:val="false"/>
                <w:caps w:val="false"/>
                <w:smallCaps w:val="false"/>
                <w:sz w:val="20"/>
              </w:rPr>
              <w:t>New York</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bookmarkStart w:id="11" w:name="xdx_907_edei--EntityAddressPostalZipCode"/>
            <w:bookmarkEnd w:id="11"/>
            <w:r>
              <w:rPr>
                <w:b/>
              </w:rPr>
              <w:t>10036</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center"/>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D_edei--CityAreaCode_c20261015__20"/>
      <w:bookmarkEnd w:id="12"/>
      <w:r>
        <w:rPr>
          <w:rFonts w:ascii="Times New Roman;Times;Serif" w:hAnsi="Times New Roman;Times;Serif"/>
          <w:b/>
          <w:i w:val="false"/>
          <w:caps w:val="false"/>
          <w:smallCaps w:val="false"/>
          <w:sz w:val="20"/>
        </w:rPr>
        <w:t xml:space="preserve">212) </w:t>
      </w:r>
      <w:bookmarkStart w:id="13" w:name="xdx_901_edei--LocalPhoneNumber_c20261015"/>
      <w:bookmarkEnd w:id="13"/>
      <w:r>
        <w:rPr>
          <w:rFonts w:ascii="Times New Roman;Times;Serif" w:hAnsi="Times New Roman;Times;Serif"/>
          <w:b/>
          <w:i w:val="false"/>
          <w:caps w:val="false"/>
          <w:smallCaps w:val="false"/>
          <w:sz w:val="20"/>
        </w:rPr>
        <w:t>258-6000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7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10"/>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B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A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478"/>
        <w:gridCol w:w="60"/>
        <w:gridCol w:w="1092"/>
        <w:gridCol w:w="60"/>
        <w:gridCol w:w="2515"/>
      </w:tblGrid>
      <w:tr>
        <w:trPr/>
        <w:tc>
          <w:tcPr>
            <w:tcW w:w="6478"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092" w:type="dxa"/>
            <w:tcBorders>
              <w:bottom w:val="single" w:sz="8" w:space="0" w:color="000000"/>
            </w:tcBorders>
            <w:vAlign w:val="center"/>
          </w:tcPr>
          <w:p>
            <w:pPr>
              <w:pStyle w:val="TableContents"/>
              <w:bidi w:val="0"/>
              <w:spacing w:before="0" w:after="283"/>
              <w:jc w:val="center"/>
              <w:rPr/>
            </w:pPr>
            <w:r>
              <w:rPr>
                <w:b/>
              </w:rPr>
              <w:t xml:space="preserve">Trading </w:t>
              <w:br/>
              <w:t>Symbol(s)</w:t>
            </w:r>
            <w:r>
              <w:rPr/>
              <w:t> </w:t>
            </w:r>
          </w:p>
        </w:tc>
        <w:tc>
          <w:tcPr>
            <w:tcW w:w="60" w:type="dxa"/>
            <w:tcBorders/>
            <w:tcMar>
              <w:bottom w:w="0" w:type="dxa"/>
            </w:tcMar>
            <w:vAlign w:val="center"/>
          </w:tcPr>
          <w:p>
            <w:pPr>
              <w:pStyle w:val="TableContents"/>
              <w:bidi w:val="0"/>
              <w:spacing w:before="0" w:after="283"/>
              <w:jc w:val="center"/>
              <w:rPr/>
            </w:pPr>
            <w:r>
              <w:rPr/>
              <w:t> </w:t>
            </w:r>
          </w:p>
        </w:tc>
        <w:tc>
          <w:tcPr>
            <w:tcW w:w="25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6478" w:type="dxa"/>
            <w:tcBorders/>
            <w:tcMar>
              <w:bottom w:w="0" w:type="dxa"/>
            </w:tcMar>
            <w:vAlign w:val="center"/>
          </w:tcPr>
          <w:p>
            <w:pPr>
              <w:pStyle w:val="TableContents"/>
              <w:bidi w:val="0"/>
              <w:spacing w:before="0" w:after="283"/>
              <w:jc w:val="center"/>
              <w:rPr/>
            </w:pPr>
            <w:bookmarkStart w:id="18" w:name="xdx_90E_edei--Security12bTitle_c20261015"/>
            <w:bookmarkEnd w:id="18"/>
            <w:r>
              <w:rPr/>
              <w:t>Class B Common Stock, $0.001 par value</w:t>
            </w:r>
          </w:p>
        </w:tc>
        <w:tc>
          <w:tcPr>
            <w:tcW w:w="60" w:type="dxa"/>
            <w:tcBorders/>
            <w:tcMar>
              <w:bottom w:w="0" w:type="dxa"/>
            </w:tcMar>
            <w:vAlign w:val="center"/>
          </w:tcPr>
          <w:p>
            <w:pPr>
              <w:pStyle w:val="TableContents"/>
              <w:bidi w:val="0"/>
              <w:spacing w:before="0" w:after="283"/>
              <w:jc w:val="center"/>
              <w:rPr/>
            </w:pPr>
            <w:r>
              <w:rPr/>
              <w:t> </w:t>
            </w:r>
          </w:p>
        </w:tc>
        <w:tc>
          <w:tcPr>
            <w:tcW w:w="1092" w:type="dxa"/>
            <w:tcBorders/>
            <w:tcMar>
              <w:bottom w:w="0" w:type="dxa"/>
            </w:tcMar>
            <w:vAlign w:val="center"/>
          </w:tcPr>
          <w:p>
            <w:pPr>
              <w:pStyle w:val="TableContents"/>
              <w:bidi w:val="0"/>
              <w:spacing w:before="0" w:after="283"/>
              <w:jc w:val="center"/>
              <w:rPr/>
            </w:pPr>
            <w:bookmarkStart w:id="19" w:name="xdx_90A_edei--TradingSymbol_c20261015__2"/>
            <w:bookmarkEnd w:id="19"/>
            <w:r>
              <w:rPr/>
              <w:t>SKYD</w:t>
            </w:r>
          </w:p>
        </w:tc>
        <w:tc>
          <w:tcPr>
            <w:tcW w:w="60" w:type="dxa"/>
            <w:tcBorders/>
            <w:tcMar>
              <w:bottom w:w="0" w:type="dxa"/>
            </w:tcMar>
            <w:vAlign w:val="center"/>
          </w:tcPr>
          <w:p>
            <w:pPr>
              <w:pStyle w:val="TableContents"/>
              <w:bidi w:val="0"/>
              <w:spacing w:before="0" w:after="283"/>
              <w:jc w:val="center"/>
              <w:rPr/>
            </w:pPr>
            <w:r>
              <w:rPr/>
              <w:t> </w:t>
            </w:r>
          </w:p>
        </w:tc>
        <w:tc>
          <w:tcPr>
            <w:tcW w:w="2515" w:type="dxa"/>
            <w:tcBorders/>
            <w:tcMar>
              <w:bottom w:w="0" w:type="dxa"/>
            </w:tcMar>
            <w:vAlign w:val="center"/>
          </w:tcPr>
          <w:p>
            <w:pPr>
              <w:pStyle w:val="TableContents"/>
              <w:bidi w:val="0"/>
              <w:spacing w:before="0" w:after="283"/>
              <w:jc w:val="center"/>
              <w:rPr/>
            </w:pPr>
            <w:bookmarkStart w:id="20" w:name="xdx_90B_edei--SecurityExchangeName_c2026"/>
            <w:bookmarkEnd w:id="20"/>
            <w:r>
              <w:rPr/>
              <w:t>New York Stock Exchange</w:t>
            </w:r>
          </w:p>
        </w:tc>
      </w:tr>
      <w:tr>
        <w:trPr/>
        <w:tc>
          <w:tcPr>
            <w:tcW w:w="6478" w:type="dxa"/>
            <w:tcBorders/>
            <w:tcMar>
              <w:bottom w:w="0" w:type="dxa"/>
            </w:tcMar>
            <w:vAlign w:val="center"/>
          </w:tcPr>
          <w:p>
            <w:pPr>
              <w:pStyle w:val="TableContents"/>
              <w:bidi w:val="0"/>
              <w:spacing w:before="0" w:after="283"/>
              <w:jc w:val="center"/>
              <w:rPr/>
            </w:pPr>
            <w:bookmarkStart w:id="21" w:name="xdx_901_edei--Security12bTitle_c20261015"/>
            <w:bookmarkEnd w:id="21"/>
            <w:r>
              <w:rPr/>
              <w:t>Warrants to Purchase Class B 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1092" w:type="dxa"/>
            <w:tcBorders/>
            <w:tcMar>
              <w:bottom w:w="0" w:type="dxa"/>
            </w:tcMar>
            <w:vAlign w:val="center"/>
          </w:tcPr>
          <w:p>
            <w:pPr>
              <w:pStyle w:val="TableContents"/>
              <w:bidi w:val="0"/>
              <w:spacing w:before="0" w:after="283"/>
              <w:jc w:val="center"/>
              <w:rPr/>
            </w:pPr>
            <w:bookmarkStart w:id="22" w:name="xdx_90F_edei--TradingSymbol_c20261015__2"/>
            <w:bookmarkEnd w:id="22"/>
            <w:r>
              <w:rPr/>
              <w:t>SKYD WS</w:t>
            </w:r>
          </w:p>
        </w:tc>
        <w:tc>
          <w:tcPr>
            <w:tcW w:w="60" w:type="dxa"/>
            <w:tcBorders/>
            <w:tcMar>
              <w:bottom w:w="0" w:type="dxa"/>
            </w:tcMar>
            <w:vAlign w:val="center"/>
          </w:tcPr>
          <w:p>
            <w:pPr>
              <w:pStyle w:val="TableContents"/>
              <w:bidi w:val="0"/>
              <w:spacing w:before="0" w:after="283"/>
              <w:jc w:val="center"/>
              <w:rPr/>
            </w:pPr>
            <w:r>
              <w:rPr/>
              <w:t> </w:t>
            </w:r>
          </w:p>
        </w:tc>
        <w:tc>
          <w:tcPr>
            <w:tcW w:w="2515" w:type="dxa"/>
            <w:tcBorders/>
            <w:tcMar>
              <w:bottom w:w="0" w:type="dxa"/>
            </w:tcMar>
            <w:vAlign w:val="center"/>
          </w:tcPr>
          <w:p>
            <w:pPr>
              <w:pStyle w:val="TableContents"/>
              <w:bidi w:val="0"/>
              <w:spacing w:before="0" w:after="283"/>
              <w:jc w:val="center"/>
              <w:rPr/>
            </w:pPr>
            <w:bookmarkStart w:id="23" w:name="xdx_90F_edei--SecurityExchangeName_c2026"/>
            <w:bookmarkEnd w:id="23"/>
            <w:r>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5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completion of the merger on October 6, 2026, of Warner Bros. Discovery, Inc. (“WBD”) with a wholly owned subsidiary of Skydance Corporation, a Delaware corporation (the “Company”), with WBD surviving as a wholly owned subsidiary of the Company (the “Merger”), the Company distributed on October 13, 2026 (the “Issue Date”) warrants (the “Warrants”) to purchase shares of the Company’s Class B Common Stock, par value $0.001 per share (the “Class B Common Stock”), as a dividend (the “Warrant Distribution”). The Warrant Distribution was made with respect to shares of Class B Common Stock held by stockholders, other than each of Lawrence J. Ellison, David F. Ellison, Gerald J. Cardinale, The Lawrence J. Ellison Revocable Trust, u/a/d 1/22/88, as amended, and RedBird Capital Partners Fund IV (Master), L.P. or any of their respective affiliates, successors or transferees, including any of the Company’s wholly owned subsidiaries that own Class B Common Stock, as well as the Paramount Global 401(k) Plan (the “401(k) Plan”) and the Paramount Global Master Trust, as of the record date of October 5, 2026 (the “Record Date”), at a ratio of one Warrant per share of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401(k) Plan offers investment in shares of Class B Common Stock through its Company Class B Common Stock Fund (the “Fund”), it did not receive Warrants in the Warrant Distribution because restrictions under the Employee Retirement Income Security Act of 1974, as amended, prohibit the 401(k) Plan from holding the Warrants. In lieu of the Warrants, with respect to the shares of Class B Common Stock held by the Fund as of the Record Date, the 401(k) Plan will receive a number of additional shares of Class B Common Stock (rounded down to the nearest whole share) determined pursuant to a conversion formula approved by State Street Global Advisors Trust Company, as the independent fiduciary of the Fund.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were issued pursuant to a warrant agreement, dated October 13, 2026 (the “Warrant Agreement”), between the Company and Equiniti Trust Company, LLC, as warrant agent. On the Issue Date, the Company issued 470,746,773 Warrants pursuant to the Warrant Distribution, initially entitling the holders thereof to purchase an aggregate of 470,746,773 shares of Class B Common Stock, in each case, at an initial exercise price of $12.00 per share and subject to customary anti-dilution adjustments as set forth in the Warrant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and the shares of Class B Common Stock issuable upon the exercise of such Warrants, have been registered under the Securities Act of 1933, as amended, pursuant to the Company’s registration statement on Form S-3 (File No. 333-297906), which was originally filed with the Securities and Exchange Commission (the “SEC”) on July 31, 2026 and the related prospectus supplement filed on October 5, 2026. This Current Report on Form 8-K does not constitute an offer to sell or the solicitation of an offer to buy any securities, including, without limitation, the Warrants or the shares of Class B Common Stock issuable upon exercise of the Warrants.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0" w:type="dxa"/>
          <w:right w:w="0" w:type="dxa"/>
        </w:tblCellMar>
      </w:tblPr>
      <w:tblGrid>
        <w:gridCol w:w="830"/>
        <w:gridCol w:w="6695"/>
      </w:tblGrid>
      <w:tr>
        <w:trPr/>
        <w:tc>
          <w:tcPr>
            <w:tcW w:w="830" w:type="dxa"/>
            <w:tcBorders/>
            <w:vAlign w:val="center"/>
          </w:tcPr>
          <w:p>
            <w:pPr>
              <w:pStyle w:val="TableContents"/>
              <w:bidi w:val="0"/>
              <w:spacing w:before="0" w:after="283"/>
              <w:jc w:val="both"/>
              <w:rPr>
                <w:b/>
                <w:sz w:val="20"/>
              </w:rPr>
            </w:pPr>
            <w:r>
              <w:rPr>
                <w:b/>
                <w:sz w:val="20"/>
              </w:rPr>
              <w:t>Item 5.04</w:t>
            </w:r>
          </w:p>
        </w:tc>
        <w:tc>
          <w:tcPr>
            <w:tcW w:w="6695" w:type="dxa"/>
            <w:tcBorders/>
            <w:vAlign w:val="center"/>
          </w:tcPr>
          <w:p>
            <w:pPr>
              <w:pStyle w:val="TableContents"/>
              <w:bidi w:val="0"/>
              <w:spacing w:before="0" w:after="283"/>
              <w:jc w:val="both"/>
              <w:rPr>
                <w:b/>
                <w:sz w:val="20"/>
              </w:rPr>
            </w:pPr>
            <w:r>
              <w:rPr>
                <w:b/>
                <w:sz w:val="20"/>
              </w:rPr>
              <w:t>Temporary Suspension of Trading Under Registrant’s Employee Benefit Plans.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in accordance with Section 306 of the Sarbanes-Oxley Act of 2002 and Rule 104 of Regulation BTR as promulgated by the SEC, the Company sent a notice (the “Notice”) to its directors and executive officers informing them of a blackout period for the Fund in connection with the closing of the Merger. The Notice provides information on certain trading prohibitions to which directors and executive officers of the Company are subject during the blackout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401(k) Plan’s blackout period is with respect to Class B Common Stock and is occurring so that the 401(k) Plan receives the correct number of additional shares of Class B Common Stock in the Fund in lieu of the Warrant Distribution. During the 401(k) Plan’s blackout period, participants and beneficiaries in the 401(k) Plan are unable to: (1) direct or diversify the assets held in their account into or out of the Fund; and (2) obtain a loan, withdrawal or distribution from the 401(k) Plan with respect to any portion of the participant’s account invested in the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closed on October 6, 2026. The blackout period began on October 5, 2026 at 4:00 p.m., New York City time, and is expected to end during the week of October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401(k) Plan’s blackout period and for a period of two years after the end date thereof, a security holder or other interested person may obtain, without charge, information regarding the actual end date of the blackout period from the General Counsel of the Company by mail at 1515 Broadway, New York, New York 10036, or by telephone at (212) 258-6000.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Notice, which includes the information specified in Rule 104(b) of Regulation BTR, is attached hereto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both"/>
              <w:rPr>
                <w:b/>
                <w:sz w:val="20"/>
              </w:rPr>
            </w:pPr>
            <w:r>
              <w:rPr>
                <w:b/>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tbl>
      <w:tblPr>
        <w:tblW w:w="1105" w:type="dxa"/>
        <w:jc w:val="left"/>
        <w:tblInd w:w="0" w:type="dxa"/>
        <w:tblLayout w:type="fixed"/>
        <w:tblCellMar>
          <w:top w:w="0" w:type="dxa"/>
          <w:left w:w="0" w:type="dxa"/>
          <w:bottom w:w="0" w:type="dxa"/>
          <w:right w:w="0" w:type="dxa"/>
        </w:tblCellMar>
      </w:tblPr>
      <w:tblGrid>
        <w:gridCol w:w="75"/>
        <w:gridCol w:w="245"/>
        <w:gridCol w:w="7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b/>
                <w:i/>
                <w:sz w:val="20"/>
              </w:rPr>
            </w:pPr>
            <w:r>
              <w:rPr>
                <w:b/>
                <w:i/>
                <w:sz w:val="20"/>
              </w:rPr>
              <w:t>(d)</w:t>
            </w:r>
          </w:p>
        </w:tc>
        <w:tc>
          <w:tcPr>
            <w:tcW w:w="785" w:type="dxa"/>
            <w:tcBorders/>
            <w:vAlign w:val="center"/>
          </w:tcPr>
          <w:p>
            <w:pPr>
              <w:pStyle w:val="TableContents"/>
              <w:bidi w:val="0"/>
              <w:spacing w:before="0" w:after="283"/>
              <w:jc w:val="both"/>
              <w:rPr>
                <w:b/>
                <w:i/>
                <w:sz w:val="20"/>
              </w:rPr>
            </w:pPr>
            <w:r>
              <w:rPr>
                <w:b/>
                <w:i/>
                <w:sz w:val="20"/>
              </w:rPr>
              <w:t>Exhibits.</w:t>
            </w:r>
          </w:p>
        </w:tc>
      </w:tr>
    </w:tbl>
    <w:p>
      <w:pPr>
        <w:pStyle w:val="TextBody"/>
        <w:bidi w:val="0"/>
        <w:spacing w:before="0" w:after="0"/>
        <w:ind w:left="0" w:right="0" w:hanging="0"/>
        <w:jc w:val="both"/>
        <w:rPr>
          <w:caps w:val="false"/>
          <w:smallCaps w:val="false"/>
        </w:rPr>
      </w:pPr>
      <w:r>
        <w:rPr>
          <w:caps w:val="false"/>
          <w:smallCaps w:val="false"/>
        </w:rPr>
        <w:t>  </w:t>
      </w:r>
    </w:p>
    <w:tbl>
      <w:tblPr>
        <w:tblW w:w="9160" w:type="dxa"/>
        <w:jc w:val="left"/>
        <w:tblInd w:w="0" w:type="dxa"/>
        <w:tblLayout w:type="fixed"/>
        <w:tblCellMar>
          <w:top w:w="0" w:type="dxa"/>
          <w:left w:w="0" w:type="dxa"/>
          <w:bottom w:w="28" w:type="dxa"/>
          <w:right w:w="0" w:type="dxa"/>
        </w:tblCellMar>
      </w:tblPr>
      <w:tblGrid>
        <w:gridCol w:w="725"/>
        <w:gridCol w:w="60"/>
        <w:gridCol w:w="8375"/>
      </w:tblGrid>
      <w:tr>
        <w:trPr/>
        <w:tc>
          <w:tcPr>
            <w:tcW w:w="725" w:type="dxa"/>
            <w:tcBorders>
              <w:bottom w:val="single" w:sz="8" w:space="0" w:color="000000"/>
            </w:tcBorders>
            <w:vAlign w:val="center"/>
          </w:tcPr>
          <w:p>
            <w:pPr>
              <w:pStyle w:val="TableContents"/>
              <w:bidi w:val="0"/>
              <w:spacing w:before="0" w:after="283"/>
              <w:jc w:val="center"/>
              <w:rPr>
                <w:b/>
                <w:sz w:val="20"/>
              </w:rPr>
            </w:pPr>
            <w:r>
              <w:rPr>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837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p>
            <w:pPr>
              <w:pStyle w:val="TableContents"/>
              <w:bidi w:val="0"/>
              <w:spacing w:before="0" w:after="0"/>
              <w:ind w:left="0" w:right="0" w:hanging="0"/>
              <w:jc w:val="left"/>
              <w:rPr>
                <w:caps w:val="false"/>
                <w:smallCaps w:val="false"/>
              </w:rPr>
            </w:pPr>
            <w:r>
              <w:rPr>
                <w:caps w:val="false"/>
                <w:smallCaps w:val="false"/>
              </w:rPr>
              <w:t> </w:t>
            </w:r>
          </w:p>
        </w:tc>
      </w:tr>
      <w:tr>
        <w:trPr/>
        <w:tc>
          <w:tcPr>
            <w:tcW w:w="725" w:type="dxa"/>
            <w:tcBorders/>
            <w:tcMar>
              <w:bottom w:w="0" w:type="dxa"/>
            </w:tcMar>
            <w:vAlign w:val="center"/>
          </w:tcPr>
          <w:p>
            <w:pPr>
              <w:pStyle w:val="TableContents"/>
              <w:bidi w:val="0"/>
              <w:spacing w:before="0" w:after="283"/>
              <w:jc w:val="left"/>
              <w:rPr/>
            </w:pPr>
            <w:hyperlink w:anchor="tm2626659d15_ex99-1.htm">
              <w:r>
                <w:rPr>
                  <w:rStyle w:val="InternetLink"/>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375" w:type="dxa"/>
            <w:tcBorders/>
            <w:tcMar>
              <w:bottom w:w="0" w:type="dxa"/>
            </w:tcMar>
            <w:vAlign w:val="center"/>
          </w:tcPr>
          <w:p>
            <w:pPr>
              <w:pStyle w:val="TableContents"/>
              <w:bidi w:val="0"/>
              <w:spacing w:before="0" w:after="283"/>
              <w:jc w:val="both"/>
              <w:rPr/>
            </w:pPr>
            <w:hyperlink w:anchor="tm2626659d15_ex99-1.htm">
              <w:r>
                <w:rPr>
                  <w:rStyle w:val="InternetLink"/>
                  <w:sz w:val="20"/>
                </w:rPr>
                <w:t>Blackout Notice to Directors and Executive Officers of Skydance Corporation, dated October 15, 2026.</w:t>
              </w:r>
            </w:hyperlink>
          </w:p>
        </w:tc>
      </w:tr>
      <w:tr>
        <w:trPr/>
        <w:tc>
          <w:tcPr>
            <w:tcW w:w="725" w:type="dxa"/>
            <w:tcBorders/>
            <w:tcMar>
              <w:bottom w:w="0" w:type="dxa"/>
            </w:tcMar>
            <w:vAlign w:val="center"/>
          </w:tcPr>
          <w:p>
            <w:pPr>
              <w:pStyle w:val="TableContents"/>
              <w:bidi w:val="0"/>
              <w:spacing w:before="0" w:after="283"/>
              <w:jc w:val="left"/>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8375"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465" w:type="dxa"/>
        <w:jc w:val="left"/>
        <w:tblInd w:w="0" w:type="dxa"/>
        <w:tblLayout w:type="fixed"/>
        <w:tblCellMar>
          <w:top w:w="0" w:type="dxa"/>
          <w:left w:w="0" w:type="dxa"/>
          <w:bottom w:w="0" w:type="dxa"/>
          <w:right w:w="0" w:type="dxa"/>
        </w:tblCellMar>
      </w:tblPr>
      <w:tblGrid>
        <w:gridCol w:w="335"/>
        <w:gridCol w:w="545"/>
        <w:gridCol w:w="2510"/>
        <w:gridCol w:w="75"/>
      </w:tblGrid>
      <w:tr>
        <w:trPr/>
        <w:tc>
          <w:tcPr>
            <w:tcW w:w="3390" w:type="dxa"/>
            <w:gridSpan w:val="3"/>
            <w:tcBorders/>
            <w:vAlign w:val="center"/>
          </w:tcPr>
          <w:p>
            <w:pPr>
              <w:pStyle w:val="TableContents"/>
              <w:bidi w:val="0"/>
              <w:spacing w:before="0" w:after="283"/>
              <w:jc w:val="left"/>
              <w:rPr>
                <w:sz w:val="20"/>
              </w:rPr>
            </w:pPr>
            <w:r>
              <w:rPr>
                <w:sz w:val="20"/>
              </w:rPr>
              <w:t>SKYDANCE CORPORATION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305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sz w:val="20"/>
              </w:rPr>
            </w:pPr>
            <w:r>
              <w:rPr>
                <w:sz w:val="20"/>
              </w:rPr>
              <w:t>By:</w:t>
            </w:r>
          </w:p>
        </w:tc>
        <w:tc>
          <w:tcPr>
            <w:tcW w:w="305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Stephanie Kyoko McKinnon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510" w:type="dxa"/>
            <w:tcBorders/>
            <w:vAlign w:val="center"/>
          </w:tcPr>
          <w:p>
            <w:pPr>
              <w:pStyle w:val="TableContents"/>
              <w:bidi w:val="0"/>
              <w:spacing w:before="0" w:after="283"/>
              <w:jc w:val="left"/>
              <w:rPr>
                <w:sz w:val="20"/>
              </w:rPr>
            </w:pPr>
            <w:r>
              <w:rPr>
                <w:sz w:val="20"/>
              </w:rPr>
              <w:t>Stephanie Kyoko McKinnon</w:t>
            </w:r>
          </w:p>
        </w:tc>
        <w:tc>
          <w:tcPr>
            <w:tcW w:w="75" w:type="dxa"/>
            <w:tcBorders/>
            <w:vAlign w:val="center"/>
          </w:tcPr>
          <w:p>
            <w:pPr>
              <w:pStyle w:val="TableContents"/>
              <w:bidi w:val="0"/>
              <w:spacing w:before="0" w:after="283"/>
              <w:jc w:val="left"/>
              <w:rPr/>
            </w:pPr>
            <w:r>
              <w:rPr/>
              <w:t> </w:t>
            </w:r>
          </w:p>
        </w:tc>
      </w:tr>
      <w:tr>
        <w:trPr/>
        <w:tc>
          <w:tcPr>
            <w:tcW w:w="33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510" w:type="dxa"/>
            <w:tcBorders/>
            <w:vAlign w:val="center"/>
          </w:tcPr>
          <w:p>
            <w:pPr>
              <w:pStyle w:val="TableContents"/>
              <w:bidi w:val="0"/>
              <w:spacing w:before="0" w:after="283"/>
              <w:jc w:val="left"/>
              <w:rPr>
                <w:sz w:val="20"/>
              </w:rPr>
            </w:pPr>
            <w:r>
              <w:rPr>
                <w:sz w:val="20"/>
              </w:rPr>
              <w:t>General Counsel and Secretary</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5" w:name="tm2626659d15_ex99-1.htm"/>
      <w:bookmarkStart w:id="26" w:name="kstm2626659d15_ex991"/>
      <w:bookmarkEnd w:id="25"/>
      <w:bookmarkEnd w:id="26"/>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Directors and Executive Officers of Skydance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Stephanie Kyoko McKinnon, General Counsel and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Notice Regarding Blackout Period and Regulation BTR Trading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306 of the Sarbanes-Oxley Act of 2002 (the “Act”) and Rule 104 of Regulation BTR as promulgated by the Securities and Exchange Commission, Skydance Corporation (the “Company” or “SKYD”) is notifying you of current restrictions on your ability to engage in certain activities regarding SKYD equity securities, namely SKYD’s Class B Common Stock, $0.001 par value (“Class B Common Stock”). These restrictions are occurring in connection with the closing of the transactions contemplated by the Agreement and Plan of Merger, dated as of February 27, 2026, among Company, Warner Bros. Discovery, Inc. and the other parties thereto (collectively,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restrictions are due to a “blackout period” that is also impacting the SKYD Class B Common Stock Fund (the “Stock Fund”) in the Paramount Global 401(k) Plan (the “Plan”). Plan participants received a separate blackout notice from the Plan regarding their Plan investment in the Stock Fund. These restrictions, which are mandated by the Act, apply to your investments in the Class B Common Stock or other SKYD securities held outside the Plan. The purpose of this notice is to inform you that by reason of, and throughout, the Plan’s blackout period, you are prohibited from directly or indirectly purchasing, exercising, selling or otherwise transferring Class B Common Stock or other equity or derivative securities with respect to Class B Common Stock or other SKYD securities, or exercising warrants or stock options with respect to Class B Common Stock or other SKYD securities if those securities were acquired in connection with your service or employment as a director or executive officer of SKYD. Transactions covered by this trading prohibition include those involving your direct ownership, as well as any transaction in which you may have a pecuniary interest (e.g., transactions by members of your immediate family who share your household, as well as by certain entities in which you have financial involvement).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blackout period with respect to Class B Common Stock is occurring so that, after the effective time of the Transaction, the Plan receives the correct number of additional shares of Class B Common Stock in the Plan’s Stock Fund, in lieu of the warrant dividend being issued to certain other shareholders of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Plan’s blackout period, participants and beneficiaries in the Plan are unable to: (1) direct or diversify the assets held in their account into or out of the Stock Fund; and (2) obtain a loan, withdrawal or distribution from the Plan with respect to any portion of the participant’s account invested in the Stock Fund.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Transaction closed on October 6, 2026 .The blackout period began on October 5, 2026 at 4 p.m. New York City time and is expected to end during the week of October 18,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typically must provide you with 15 calendar days advance notice of any blackout period under Regulation BTR, that requirement does not apply in this case because the Company was unable to provide advance notice of the blackout period due to events that were unforeseeable to, or circumstances that were beyond the reasonable control of, the Company. A copy of that written determination is attached.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blackout period described herein is separate from, and in addition to, any other trading restrictions that may be applicable to you, such as the restrictions on trading under the SKYD Insider Trading Policy or its successor (and associated regularly scheduled blackout periods) that restrict or will restrict your ability to trade in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have any questions about the blackout period, including the actual end date of the blackout period, you may contact the General Counsel of Skydance Corporation by mail at 1515 Broadway, New York, New York 10036, or by telephone at (212) 258-6000.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certain transactions are exempt from this trading prohibition (such as bona fide gifts, transfers by will or laws of descent and distribution, and sales of stock not acquired in connection with service or employment as a director or executive officer), those exemptions are limited. If you hold both covered securities and non-covered securities, any sale or other transfer of securities by you during the blackout period, if it occurs, will be treated as a transaction involving covered securities, unless you can identify the source of the sold securities and demonstrate that you use the same identification for all related purposes (such as tax reporting and disclosure requirements). Given the applicable rules and the short time period involved, we recommend that you avoid any change in your beneficial ownership of SKYD equity and derivative securities during the blackout period. The rules are complex and criminal and civil penalties may be imposed upon directors and executive officers who violate the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right"/>
        <w:rPr>
          <w:sz w:val="20"/>
        </w:rPr>
      </w:pPr>
      <w:r>
        <w:rPr>
          <w:sz w:val="20"/>
        </w:rPr>
        <w:t>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Paramount Global 401(k) Plan (the “Plan”). The “blackout period” with respect to the Plan relates to the closing of transactions contemplated by the Agreement and Plan of Merger, dated as of February 27, 2026, among Skydance Corporation (f/k/a Paramount Skydance Corporation, the “Company”), Warner Bros. Discovery, Inc. and certain other parties thereto (the “Transaction”). In accordance with Section 306 of the Sarbanes-Oxley Act of 2002, the Company has determined that, due to events that were unforeseeable to it, or circumstances that were beyond its reasonable control, the Company was not able to provide advance notice of the foregoing restriction with respect to the Plan.</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75"/>
        <w:gridCol w:w="590"/>
        <w:gridCol w:w="2615"/>
      </w:tblGrid>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SKYDANCE CORPORATION</w:t>
            </w:r>
          </w:p>
        </w:tc>
      </w:tr>
      <w:tr>
        <w:trPr/>
        <w:tc>
          <w:tcPr>
            <w:tcW w:w="75" w:type="dxa"/>
            <w:tcBorders/>
            <w:vAlign w:val="center"/>
          </w:tcPr>
          <w:p>
            <w:pPr>
              <w:pStyle w:val="TableContents"/>
              <w:bidi w:val="0"/>
              <w:spacing w:before="0" w:after="283"/>
              <w:jc w:val="left"/>
              <w:rPr/>
            </w:pPr>
            <w:r>
              <w:rPr/>
              <w:t> </w:t>
            </w:r>
          </w:p>
        </w:tc>
        <w:tc>
          <w:tcPr>
            <w:tcW w:w="320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Stephanie Kyoko McKinnon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Stephanie Kyoko McKinnon</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6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 and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2185</Words>
  <Characters>11521</Characters>
  <CharactersWithSpaces>13728</CharactersWithSpaces>
  <Paragraphs>220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