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306070</wp:posOffset>
            </wp:positionH>
            <wp:positionV relativeFrom="page">
              <wp:posOffset>596900</wp:posOffset>
            </wp:positionV>
            <wp:extent cx="69361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page">
              <wp:posOffset>306070</wp:posOffset>
            </wp:positionH>
            <wp:positionV relativeFrom="page">
              <wp:posOffset>521970</wp:posOffset>
            </wp:positionV>
            <wp:extent cx="6936105" cy="3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6105" cy="33020"/>
                    </a:xfrm>
                    <a:prstGeom prst="rect">
                      <a:avLst/>
                    </a:prstGeom>
                    <a:noFill/>
                  </pic:spPr>
                </pic:pic>
              </a:graphicData>
            </a:graphic>
          </wp:anchor>
        </w:drawing>
        <w:t>UNITED STATES</w:t>
      </w:r>
    </w:p>
    <w:p>
      <w:pPr>
        <w:spacing w:after="0" w:line="5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116205</wp:posOffset>
            </wp:positionV>
            <wp:extent cx="2032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line="23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23" w:lineRule="exact"/>
        <w:rPr>
          <w:sz w:val="24"/>
          <w:szCs w:val="24"/>
          <w:color w:val="auto"/>
        </w:rPr>
      </w:pPr>
    </w:p>
    <w:p>
      <w:pPr>
        <w:ind w:left="860" w:right="640" w:hanging="838"/>
        <w:spacing w:after="0" w:line="284" w:lineRule="auto"/>
        <w:tabs>
          <w:tab w:leader="none" w:pos="8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2025</w:t>
      </w:r>
    </w:p>
    <w:p>
      <w:pPr>
        <w:spacing w:after="0" w:line="6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00" w:lineRule="exact"/>
        <w:rPr>
          <w:sz w:val="24"/>
          <w:szCs w:val="24"/>
          <w:color w:val="auto"/>
        </w:rPr>
      </w:pPr>
    </w:p>
    <w:p>
      <w:pPr>
        <w:ind w:left="860" w:right="620" w:hanging="838"/>
        <w:spacing w:after="0" w:line="196" w:lineRule="auto"/>
        <w:tabs>
          <w:tab w:leader="none" w:pos="860" w:val="left"/>
        </w:tabs>
        <w:numPr>
          <w:ilvl w:val="0"/>
          <w:numId w:val="2"/>
        </w:numPr>
        <w:rPr>
          <w:rFonts w:ascii="MS PGothic" w:cs="MS PGothic" w:eastAsia="MS PGothic" w:hAnsi="MS PGothic"/>
          <w:sz w:val="42"/>
          <w:szCs w:val="42"/>
          <w:color w:val="auto"/>
          <w:highlight w:val="black"/>
          <w:vertAlign w:val="sub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7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 to ____________</w:t>
      </w:r>
    </w:p>
    <w:p>
      <w:pPr>
        <w:spacing w:after="0" w:line="10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Commission File Number 001-42791</w:t>
      </w:r>
    </w:p>
    <w:p>
      <w:pPr>
        <w:spacing w:after="0" w:line="4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00093C"/>
        </w:rPr>
        <w:t>Paramount Skydance Corporation</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4" w:lineRule="exact"/>
        <w:rPr>
          <w:sz w:val="24"/>
          <w:szCs w:val="24"/>
          <w:color w:val="auto"/>
        </w:rPr>
      </w:pPr>
    </w:p>
    <w:tbl>
      <w:tblPr>
        <w:tblLayout w:type="fixed"/>
        <w:tblInd w:w="440" w:type="dxa"/>
        <w:tblCellMar>
          <w:top w:w="0" w:type="dxa"/>
          <w:left w:w="0" w:type="dxa"/>
          <w:bottom w:w="0" w:type="dxa"/>
          <w:right w:w="0" w:type="dxa"/>
        </w:tblCellMar>
      </w:tblPr>
      <w:tr>
        <w:trPr>
          <w:trHeight w:val="208"/>
        </w:trPr>
        <w:tc>
          <w:tcPr>
            <w:tcW w:w="2900" w:type="dxa"/>
            <w:vAlign w:val="bottom"/>
          </w:tcPr>
          <w:p>
            <w:pPr>
              <w:spacing w:after="0"/>
              <w:rPr>
                <w:sz w:val="18"/>
                <w:szCs w:val="18"/>
                <w:color w:val="auto"/>
              </w:rPr>
            </w:pPr>
          </w:p>
        </w:tc>
        <w:tc>
          <w:tcPr>
            <w:tcW w:w="2880" w:type="dxa"/>
            <w:vAlign w:val="bottom"/>
            <w:gridSpan w:val="3"/>
          </w:tcPr>
          <w:p>
            <w:pPr>
              <w:jc w:val="center"/>
              <w:ind w:right="22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2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99-3917985</w:t>
            </w:r>
          </w:p>
        </w:tc>
        <w:tc>
          <w:tcPr>
            <w:tcW w:w="2920" w:type="dxa"/>
            <w:vAlign w:val="bottom"/>
          </w:tcPr>
          <w:p>
            <w:pPr>
              <w:spacing w:after="0"/>
              <w:rPr>
                <w:sz w:val="18"/>
                <w:szCs w:val="18"/>
                <w:color w:val="auto"/>
              </w:rPr>
            </w:pPr>
          </w:p>
        </w:tc>
      </w:tr>
      <w:tr>
        <w:trPr>
          <w:trHeight w:val="213"/>
        </w:trPr>
        <w:tc>
          <w:tcPr>
            <w:tcW w:w="5780" w:type="dxa"/>
            <w:vAlign w:val="bottom"/>
            <w:gridSpan w:val="4"/>
          </w:tcPr>
          <w:p>
            <w:pPr>
              <w:jc w:val="center"/>
              <w:ind w:left="624"/>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5120" w:type="dxa"/>
            <w:vAlign w:val="bottom"/>
            <w:gridSpan w:val="4"/>
          </w:tcPr>
          <w:p>
            <w:pPr>
              <w:jc w:val="center"/>
              <w:ind w:right="1610"/>
              <w:spacing w:after="0"/>
              <w:rPr>
                <w:sz w:val="20"/>
                <w:szCs w:val="20"/>
                <w:color w:val="auto"/>
              </w:rPr>
            </w:pPr>
            <w:r>
              <w:rPr>
                <w:rFonts w:ascii="Times New Roman" w:cs="Times New Roman" w:eastAsia="Times New Roman" w:hAnsi="Times New Roman"/>
                <w:sz w:val="16"/>
                <w:szCs w:val="16"/>
                <w:color w:val="auto"/>
                <w:w w:val="98"/>
              </w:rPr>
              <w:t>(I.R.S. Employer Identification No.)</w:t>
            </w:r>
          </w:p>
        </w:tc>
      </w:tr>
      <w:tr>
        <w:trPr>
          <w:trHeight w:val="206"/>
        </w:trPr>
        <w:tc>
          <w:tcPr>
            <w:tcW w:w="5780" w:type="dxa"/>
            <w:vAlign w:val="bottom"/>
            <w:gridSpan w:val="4"/>
          </w:tcPr>
          <w:p>
            <w:pPr>
              <w:jc w:val="center"/>
              <w:ind w:left="604"/>
              <w:spacing w:after="0"/>
              <w:rPr>
                <w:sz w:val="20"/>
                <w:szCs w:val="20"/>
                <w:color w:val="auto"/>
              </w:rPr>
            </w:pPr>
            <w:r>
              <w:rPr>
                <w:rFonts w:ascii="Times New Roman" w:cs="Times New Roman" w:eastAsia="Times New Roman" w:hAnsi="Times New Roman"/>
                <w:sz w:val="16"/>
                <w:szCs w:val="16"/>
                <w:color w:val="auto"/>
                <w:w w:val="98"/>
              </w:rPr>
              <w:t>incorporation or organization)</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302"/>
        </w:trPr>
        <w:tc>
          <w:tcPr>
            <w:tcW w:w="290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w w:val="95"/>
              </w:rPr>
              <w:t>1515 Broadway</w:t>
            </w:r>
          </w:p>
        </w:tc>
        <w:tc>
          <w:tcPr>
            <w:tcW w:w="288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2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10036</w:t>
            </w:r>
          </w:p>
        </w:tc>
        <w:tc>
          <w:tcPr>
            <w:tcW w:w="2920" w:type="dxa"/>
            <w:vAlign w:val="bottom"/>
          </w:tcPr>
          <w:p>
            <w:pPr>
              <w:spacing w:after="0"/>
              <w:rPr>
                <w:sz w:val="24"/>
                <w:szCs w:val="24"/>
                <w:color w:val="auto"/>
              </w:rPr>
            </w:pPr>
          </w:p>
        </w:tc>
      </w:tr>
      <w:tr>
        <w:trPr>
          <w:trHeight w:val="236"/>
        </w:trPr>
        <w:tc>
          <w:tcPr>
            <w:tcW w:w="5780" w:type="dxa"/>
            <w:vAlign w:val="bottom"/>
            <w:gridSpan w:val="4"/>
          </w:tcPr>
          <w:p>
            <w:pPr>
              <w:jc w:val="center"/>
              <w:ind w:left="604"/>
              <w:spacing w:after="0"/>
              <w:rPr>
                <w:sz w:val="20"/>
                <w:szCs w:val="20"/>
                <w:color w:val="auto"/>
              </w:rPr>
            </w:pPr>
            <w:r>
              <w:rPr>
                <w:rFonts w:ascii="Times New Roman" w:cs="Times New Roman" w:eastAsia="Times New Roman" w:hAnsi="Times New Roman"/>
                <w:sz w:val="16"/>
                <w:szCs w:val="16"/>
                <w:color w:val="auto"/>
                <w:w w:val="98"/>
              </w:rPr>
              <w:t>(Address of principal executive offices)</w:t>
            </w:r>
          </w:p>
        </w:tc>
        <w:tc>
          <w:tcPr>
            <w:tcW w:w="2200" w:type="dxa"/>
            <w:vAlign w:val="bottom"/>
            <w:gridSpan w:val="3"/>
          </w:tcPr>
          <w:p>
            <w:pPr>
              <w:jc w:val="center"/>
              <w:ind w:left="1164"/>
              <w:spacing w:after="0"/>
              <w:rPr>
                <w:sz w:val="20"/>
                <w:szCs w:val="20"/>
                <w:color w:val="auto"/>
              </w:rPr>
            </w:pPr>
            <w:r>
              <w:rPr>
                <w:rFonts w:ascii="Times New Roman" w:cs="Times New Roman" w:eastAsia="Times New Roman" w:hAnsi="Times New Roman"/>
                <w:sz w:val="16"/>
                <w:szCs w:val="16"/>
                <w:color w:val="auto"/>
                <w:w w:val="96"/>
              </w:rPr>
              <w:t>(Zip Code)</w:t>
            </w:r>
          </w:p>
        </w:tc>
        <w:tc>
          <w:tcPr>
            <w:tcW w:w="2920" w:type="dxa"/>
            <w:vAlign w:val="bottom"/>
          </w:tcPr>
          <w:p>
            <w:pPr>
              <w:spacing w:after="0"/>
              <w:rPr>
                <w:sz w:val="20"/>
                <w:szCs w:val="20"/>
                <w:color w:val="auto"/>
              </w:rPr>
            </w:pPr>
          </w:p>
        </w:tc>
      </w:tr>
      <w:tr>
        <w:trPr>
          <w:trHeight w:val="292"/>
        </w:trPr>
        <w:tc>
          <w:tcPr>
            <w:tcW w:w="2900" w:type="dxa"/>
            <w:vAlign w:val="bottom"/>
          </w:tcPr>
          <w:p>
            <w:pPr>
              <w:spacing w:after="0"/>
              <w:rPr>
                <w:sz w:val="24"/>
                <w:szCs w:val="24"/>
                <w:color w:val="auto"/>
              </w:rPr>
            </w:pPr>
          </w:p>
        </w:tc>
        <w:tc>
          <w:tcPr>
            <w:tcW w:w="2880" w:type="dxa"/>
            <w:vAlign w:val="bottom"/>
            <w:gridSpan w:val="3"/>
          </w:tcPr>
          <w:p>
            <w:pPr>
              <w:jc w:val="center"/>
              <w:ind w:left="1621"/>
              <w:spacing w:after="0"/>
              <w:rPr>
                <w:sz w:val="20"/>
                <w:szCs w:val="20"/>
                <w:color w:val="auto"/>
              </w:rPr>
            </w:pPr>
            <w:r>
              <w:rPr>
                <w:rFonts w:ascii="Times New Roman" w:cs="Times New Roman" w:eastAsia="Times New Roman" w:hAnsi="Times New Roman"/>
                <w:sz w:val="16"/>
                <w:szCs w:val="16"/>
                <w:b w:val="1"/>
                <w:bCs w:val="1"/>
                <w:color w:val="auto"/>
                <w:w w:val="97"/>
              </w:rPr>
              <w:t>(212) 258-6000</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6"/>
        </w:trPr>
        <w:tc>
          <w:tcPr>
            <w:tcW w:w="2900" w:type="dxa"/>
            <w:vAlign w:val="bottom"/>
          </w:tcPr>
          <w:p>
            <w:pPr>
              <w:spacing w:after="0"/>
              <w:rPr>
                <w:sz w:val="17"/>
                <w:szCs w:val="17"/>
                <w:color w:val="auto"/>
              </w:rPr>
            </w:pPr>
          </w:p>
        </w:tc>
        <w:tc>
          <w:tcPr>
            <w:tcW w:w="5080" w:type="dxa"/>
            <w:vAlign w:val="bottom"/>
            <w:gridSpan w:val="6"/>
          </w:tcPr>
          <w:p>
            <w:pPr>
              <w:jc w:val="center"/>
              <w:ind w:right="50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2920" w:type="dxa"/>
            <w:vAlign w:val="bottom"/>
          </w:tcPr>
          <w:p>
            <w:pPr>
              <w:spacing w:after="0"/>
              <w:rPr>
                <w:sz w:val="17"/>
                <w:szCs w:val="17"/>
                <w:color w:val="auto"/>
              </w:rPr>
            </w:pPr>
          </w:p>
        </w:tc>
      </w:tr>
      <w:tr>
        <w:trPr>
          <w:trHeight w:val="318"/>
        </w:trPr>
        <w:tc>
          <w:tcPr>
            <w:tcW w:w="2900" w:type="dxa"/>
            <w:vAlign w:val="bottom"/>
          </w:tcPr>
          <w:p>
            <w:pPr>
              <w:spacing w:after="0"/>
              <w:rPr>
                <w:sz w:val="24"/>
                <w:szCs w:val="24"/>
                <w:color w:val="auto"/>
              </w:rPr>
            </w:pPr>
          </w:p>
        </w:tc>
        <w:tc>
          <w:tcPr>
            <w:tcW w:w="2880" w:type="dxa"/>
            <w:vAlign w:val="bottom"/>
            <w:gridSpan w:val="3"/>
          </w:tcPr>
          <w:p>
            <w:pPr>
              <w:jc w:val="center"/>
              <w:ind w:left="1601"/>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6"/>
        </w:trPr>
        <w:tc>
          <w:tcPr>
            <w:tcW w:w="7980" w:type="dxa"/>
            <w:vAlign w:val="bottom"/>
            <w:gridSpan w:val="7"/>
          </w:tcPr>
          <w:p>
            <w:pPr>
              <w:jc w:val="center"/>
              <w:ind w:left="2304"/>
              <w:spacing w:after="0"/>
              <w:rPr>
                <w:sz w:val="20"/>
                <w:szCs w:val="20"/>
                <w:color w:val="auto"/>
              </w:rPr>
            </w:pPr>
            <w:r>
              <w:rPr>
                <w:rFonts w:ascii="Times New Roman" w:cs="Times New Roman" w:eastAsia="Times New Roman" w:hAnsi="Times New Roman"/>
                <w:sz w:val="16"/>
                <w:szCs w:val="16"/>
                <w:color w:val="auto"/>
                <w:w w:val="98"/>
              </w:rPr>
              <w:t>(Former name, former address and former fiscal year, if changed since last report)</w:t>
            </w:r>
          </w:p>
        </w:tc>
        <w:tc>
          <w:tcPr>
            <w:tcW w:w="2920" w:type="dxa"/>
            <w:vAlign w:val="bottom"/>
          </w:tcPr>
          <w:p>
            <w:pPr>
              <w:spacing w:after="0"/>
              <w:rPr>
                <w:sz w:val="17"/>
                <w:szCs w:val="17"/>
                <w:color w:val="auto"/>
              </w:rPr>
            </w:pPr>
          </w:p>
        </w:tc>
      </w:tr>
      <w:tr>
        <w:trPr>
          <w:trHeight w:val="328"/>
        </w:trPr>
        <w:tc>
          <w:tcPr>
            <w:tcW w:w="2900" w:type="dxa"/>
            <w:vAlign w:val="bottom"/>
          </w:tcPr>
          <w:p>
            <w:pPr>
              <w:spacing w:after="0"/>
              <w:rPr>
                <w:sz w:val="24"/>
                <w:szCs w:val="24"/>
                <w:color w:val="auto"/>
              </w:rPr>
            </w:pPr>
          </w:p>
        </w:tc>
        <w:tc>
          <w:tcPr>
            <w:tcW w:w="508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20" w:type="dxa"/>
            <w:vAlign w:val="bottom"/>
          </w:tcPr>
          <w:p>
            <w:pPr>
              <w:spacing w:after="0"/>
              <w:rPr>
                <w:sz w:val="24"/>
                <w:szCs w:val="24"/>
                <w:color w:val="auto"/>
              </w:rPr>
            </w:pPr>
          </w:p>
        </w:tc>
      </w:tr>
      <w:tr>
        <w:trPr>
          <w:trHeight w:val="348"/>
        </w:trPr>
        <w:tc>
          <w:tcPr>
            <w:tcW w:w="578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37"/>
        </w:trPr>
        <w:tc>
          <w:tcPr>
            <w:tcW w:w="5340" w:type="dxa"/>
            <w:vAlign w:val="bottom"/>
            <w:tcBorders>
              <w:bottom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r>
      <w:tr>
        <w:trPr>
          <w:trHeight w:val="179"/>
        </w:trPr>
        <w:tc>
          <w:tcPr>
            <w:tcW w:w="578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color w:val="auto"/>
                <w:w w:val="99"/>
              </w:rPr>
              <w:t>Class B Common Stock, $0.001 par value</w:t>
            </w:r>
          </w:p>
        </w:tc>
        <w:tc>
          <w:tcPr>
            <w:tcW w:w="220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color w:val="auto"/>
                <w:w w:val="94"/>
              </w:rPr>
              <w:t>PSKY</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bl>
    <w:p>
      <w:pPr>
        <w:spacing w:after="0" w:line="206" w:lineRule="exact"/>
        <w:rPr>
          <w:sz w:val="24"/>
          <w:szCs w:val="24"/>
          <w:color w:val="auto"/>
        </w:rPr>
      </w:pPr>
    </w:p>
    <w:p>
      <w:pPr>
        <w:ind w:right="660" w:firstLine="433"/>
        <w:spacing w:after="0" w:line="275"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1140" w:val="left"/>
        </w:tabs>
        <w:rPr>
          <w:sz w:val="20"/>
          <w:szCs w:val="20"/>
          <w:color w:val="auto"/>
        </w:rPr>
      </w:pPr>
      <w:r>
        <w:rPr>
          <w:rFonts w:ascii="Times New Roman" w:cs="Times New Roman" w:eastAsia="Times New Roman" w:hAnsi="Times New Roman"/>
          <w:sz w:val="16"/>
          <w:szCs w:val="16"/>
          <w:color w:val="auto"/>
        </w:rPr>
        <w:t xml:space="preserve">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3" w:lineRule="exact"/>
        <w:rPr>
          <w:sz w:val="24"/>
          <w:szCs w:val="24"/>
          <w:color w:val="auto"/>
        </w:rPr>
      </w:pPr>
    </w:p>
    <w:p>
      <w:pPr>
        <w:ind w:right="380" w:firstLine="433"/>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jc w:val="both"/>
        <w:ind w:right="240" w:firstLine="433"/>
        <w:spacing w:after="0" w:line="31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300" w:type="dxa"/>
        <w:tblCellMar>
          <w:top w:w="0" w:type="dxa"/>
          <w:left w:w="0" w:type="dxa"/>
          <w:bottom w:w="0" w:type="dxa"/>
          <w:right w:w="0" w:type="dxa"/>
        </w:tblCellMar>
      </w:tblPr>
      <w:tr>
        <w:trPr>
          <w:trHeight w:val="223"/>
        </w:trPr>
        <w:tc>
          <w:tcPr>
            <w:tcW w:w="1960" w:type="dxa"/>
            <w:vAlign w:val="bottom"/>
          </w:tcPr>
          <w:p>
            <w:pPr>
              <w:jc w:val="center"/>
              <w:ind w:right="630"/>
              <w:spacing w:after="0"/>
              <w:rPr>
                <w:sz w:val="20"/>
                <w:szCs w:val="20"/>
                <w:color w:val="auto"/>
              </w:rPr>
            </w:pPr>
            <w:r>
              <w:rPr>
                <w:rFonts w:ascii="Times New Roman" w:cs="Times New Roman" w:eastAsia="Times New Roman" w:hAnsi="Times New Roman"/>
                <w:sz w:val="14"/>
                <w:szCs w:val="14"/>
                <w:color w:val="auto"/>
              </w:rPr>
              <w:t>Large accelerated filer</w:t>
            </w:r>
          </w:p>
        </w:tc>
        <w:tc>
          <w:tcPr>
            <w:tcW w:w="16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1960" w:type="dxa"/>
            <w:vAlign w:val="bottom"/>
          </w:tcPr>
          <w:p>
            <w:pPr>
              <w:jc w:val="center"/>
              <w:ind w:right="630"/>
              <w:spacing w:after="0"/>
              <w:rPr>
                <w:sz w:val="20"/>
                <w:szCs w:val="20"/>
                <w:color w:val="auto"/>
              </w:rPr>
            </w:pPr>
            <w:r>
              <w:rPr>
                <w:rFonts w:ascii="Times New Roman" w:cs="Times New Roman" w:eastAsia="Times New Roman" w:hAnsi="Times New Roman"/>
                <w:sz w:val="14"/>
                <w:szCs w:val="14"/>
                <w:color w:val="auto"/>
                <w:w w:val="99"/>
              </w:rPr>
              <w:t>Non-accelerated filer</w:t>
            </w:r>
          </w:p>
        </w:tc>
        <w:tc>
          <w:tcPr>
            <w:tcW w:w="16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1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9" w:lineRule="exact"/>
        <w:rPr>
          <w:sz w:val="24"/>
          <w:szCs w:val="24"/>
          <w:color w:val="auto"/>
        </w:rPr>
      </w:pPr>
    </w:p>
    <w:p>
      <w:pPr>
        <w:ind w:right="560" w:firstLine="433"/>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40"/>
        <w:spacing w:after="0" w:line="184" w:lineRule="exact"/>
        <w:tabs>
          <w:tab w:leader="none" w:pos="82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outstanding at November 5, 2025:</w:t>
      </w:r>
    </w:p>
    <w:p>
      <w:pPr>
        <w:spacing w:after="0" w:line="10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Class B Common Stock, par value $.001 per share— 1,071,666,977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803910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308610</wp:posOffset>
            </wp:positionV>
            <wp:extent cx="693610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6105" cy="33020"/>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266700</wp:posOffset>
            </wp:positionV>
            <wp:extent cx="693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ectPr>
          <w:pgSz w:w="11900" w:h="16838" w:orient="portrait"/>
          <w:cols w:equalWidth="0" w:num="1">
            <w:col w:w="11340"/>
          </w:cols>
          <w:pgMar w:left="320" w:top="1010" w:right="239" w:bottom="1440" w:gutter="0" w:footer="0" w:header="0"/>
        </w:sectPr>
      </w:pPr>
    </w:p>
    <w:bookmarkStart w:id="1" w:name="page2"/>
    <w:bookmarkEnd w:id="1"/>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PARAMOUNT SKYDANCE CORPORATION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FORM 10-Q</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8440" w:type="dxa"/>
            <w:vAlign w:val="bottom"/>
            <w:vMerge w:val="restart"/>
          </w:tcPr>
          <w:p>
            <w:pPr>
              <w:ind w:left="420"/>
              <w:spacing w:after="0"/>
              <w:rPr>
                <w:sz w:val="20"/>
                <w:szCs w:val="20"/>
                <w:color w:val="auto"/>
              </w:rPr>
            </w:pPr>
            <w:r>
              <w:rPr>
                <w:rFonts w:ascii="Times New Roman" w:cs="Times New Roman" w:eastAsia="Times New Roman" w:hAnsi="Times New Roman"/>
                <w:sz w:val="19"/>
                <w:szCs w:val="19"/>
                <w:b w:val="1"/>
                <w:bCs w:val="1"/>
                <w:color w:val="auto"/>
              </w:rPr>
              <w:t>PART I – FINANCIAL INFORMATION</w:t>
            </w: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340" w:type="dxa"/>
            <w:vAlign w:val="bottom"/>
          </w:tcPr>
          <w:p>
            <w:pPr>
              <w:spacing w:after="0"/>
              <w:rPr>
                <w:sz w:val="20"/>
                <w:szCs w:val="20"/>
                <w:color w:val="auto"/>
              </w:rPr>
            </w:pPr>
          </w:p>
        </w:tc>
        <w:tc>
          <w:tcPr>
            <w:tcW w:w="84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1.</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Financial Statements.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Consolidated Statements of Operations (Unaudited)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Consolidated Statements of Comprehensive Income (Unaudited)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Consolidated Balance Sheets (Unaudited)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Consolidated Statements of Cash Flows (Unaudited)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Consolidated Statements of Stockholders’ Equity (Unaudited)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3051F2"/>
              </w:rPr>
              <w:t>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Notes to Consolidated Financial Statements (Unaudited)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2.</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Management’s Discussion and Analysis of Results of Operations and Financial</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46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1"/>
                <w:szCs w:val="21"/>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9"/>
                <w:szCs w:val="19"/>
                <w:color w:val="0000FF"/>
              </w:rPr>
              <w:t>Condition.</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3.</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Quantitative and Qualitative Disclosures About Market Risk.</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95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4.</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Controls and Procedures.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95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1.</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Legal Proceedings.</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96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1A.</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Risk Factors.</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96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2.</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Unregistered Sales of Equity Securities and Use of Proceeds.</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96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6.</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Exhibits.</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97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1"/>
        </w:trPr>
        <w:tc>
          <w:tcPr>
            <w:tcW w:w="134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b w:val="1"/>
          <w:bCs w:val="1"/>
          <w:color w:val="auto"/>
        </w:rPr>
        <w:t>PART I – FINANCIAL INFORMATION</w:t>
      </w:r>
    </w:p>
    <w:p>
      <w:pPr>
        <w:spacing w:after="0" w:line="201" w:lineRule="exact"/>
        <w:rPr>
          <w:sz w:val="20"/>
          <w:szCs w:val="20"/>
          <w:color w:val="auto"/>
        </w:rPr>
      </w:pPr>
    </w:p>
    <w:p>
      <w:pPr>
        <w:ind w:left="520"/>
        <w:spacing w:after="0"/>
        <w:tabs>
          <w:tab w:leader="none" w:pos="1360" w:val="left"/>
        </w:tabs>
        <w:rPr>
          <w:sz w:val="20"/>
          <w:szCs w:val="20"/>
          <w:color w:val="auto"/>
        </w:rPr>
      </w:pPr>
      <w:r>
        <w:rPr>
          <w:rFonts w:ascii="Times New Roman" w:cs="Times New Roman" w:eastAsia="Times New Roman" w:hAnsi="Times New Roman"/>
          <w:sz w:val="19"/>
          <w:szCs w:val="19"/>
          <w:b w:val="1"/>
          <w:bCs w:val="1"/>
          <w:color w:val="auto"/>
        </w:rPr>
        <w:t>Item 1.</w:t>
        <w:tab/>
        <w:t>Financial Statements.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(Unaudited; in millions, except per share amounts)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2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20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37"/>
        </w:trPr>
        <w:tc>
          <w:tcPr>
            <w:tcW w:w="39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5"/>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220" w:type="dxa"/>
            <w:vAlign w:val="bottom"/>
          </w:tcPr>
          <w:p>
            <w:pPr>
              <w:spacing w:after="0"/>
              <w:rPr>
                <w:sz w:val="14"/>
                <w:szCs w:val="14"/>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00" w:type="dxa"/>
            <w:vAlign w:val="bottom"/>
          </w:tcPr>
          <w:p>
            <w:pPr>
              <w:spacing w:after="0"/>
              <w:rPr>
                <w:sz w:val="14"/>
                <w:szCs w:val="14"/>
                <w:color w:val="auto"/>
              </w:rPr>
            </w:pPr>
          </w:p>
        </w:tc>
        <w:tc>
          <w:tcPr>
            <w:tcW w:w="11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200" w:type="dxa"/>
            <w:vAlign w:val="bottom"/>
          </w:tcPr>
          <w:p>
            <w:pPr>
              <w:spacing w:after="0"/>
              <w:rPr>
                <w:sz w:val="14"/>
                <w:szCs w:val="14"/>
                <w:color w:val="auto"/>
              </w:rPr>
            </w:pPr>
          </w:p>
        </w:tc>
        <w:tc>
          <w:tcPr>
            <w:tcW w:w="96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220" w:type="dxa"/>
            <w:vAlign w:val="bottom"/>
          </w:tcPr>
          <w:p>
            <w:pPr>
              <w:spacing w:after="0"/>
              <w:rPr>
                <w:sz w:val="14"/>
                <w:szCs w:val="14"/>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70"/>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7"/>
              </w:rPr>
              <w:t>August 7 -</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July 1 - August</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4"/>
                <w:szCs w:val="14"/>
                <w:color w:val="auto"/>
              </w:rPr>
            </w:pPr>
          </w:p>
        </w:tc>
        <w:tc>
          <w:tcPr>
            <w:tcW w:w="110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August 7 -</w:t>
            </w:r>
          </w:p>
        </w:tc>
        <w:tc>
          <w:tcPr>
            <w:tcW w:w="200" w:type="dxa"/>
            <w:vAlign w:val="bottom"/>
          </w:tcPr>
          <w:p>
            <w:pPr>
              <w:spacing w:after="0"/>
              <w:rPr>
                <w:sz w:val="14"/>
                <w:szCs w:val="14"/>
                <w:color w:val="auto"/>
              </w:rPr>
            </w:pPr>
          </w:p>
        </w:tc>
        <w:tc>
          <w:tcPr>
            <w:tcW w:w="96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January 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Ended September</w:t>
            </w:r>
          </w:p>
        </w:tc>
      </w:tr>
      <w:tr>
        <w:trPr>
          <w:trHeight w:val="185"/>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16"/>
                <w:szCs w:val="16"/>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0" w:type="dxa"/>
            <w:vAlign w:val="bottom"/>
          </w:tcPr>
          <w:p>
            <w:pPr>
              <w:spacing w:after="0"/>
              <w:rPr>
                <w:sz w:val="16"/>
                <w:szCs w:val="16"/>
                <w:color w:val="auto"/>
              </w:rPr>
            </w:pPr>
          </w:p>
        </w:tc>
        <w:tc>
          <w:tcPr>
            <w:tcW w:w="110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August 6,</w:t>
            </w:r>
          </w:p>
        </w:tc>
        <w:tc>
          <w:tcPr>
            <w:tcW w:w="220" w:type="dxa"/>
            <w:vAlign w:val="bottom"/>
          </w:tcPr>
          <w:p>
            <w:pPr>
              <w:spacing w:after="0"/>
              <w:rPr>
                <w:sz w:val="16"/>
                <w:szCs w:val="16"/>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24"/>
        </w:trPr>
        <w:tc>
          <w:tcPr>
            <w:tcW w:w="3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9"/>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96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4,121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2,581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4,121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16,622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21,229</w:t>
            </w:r>
          </w:p>
        </w:tc>
      </w:tr>
      <w:tr>
        <w:trPr>
          <w:trHeight w:val="37"/>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0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2,641</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1,702</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2,641</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11,287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13,745</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Programming charges</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825</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582</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825</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3,526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226</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226</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204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and transaction-related items</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185</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188</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185</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454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r>
      <w:tr>
        <w:trPr>
          <w:trHeight w:val="37"/>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9"/>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3,877</w:t>
            </w:r>
          </w:p>
        </w:tc>
        <w:tc>
          <w:tcPr>
            <w:tcW w:w="220" w:type="dxa"/>
            <w:vAlign w:val="bottom"/>
          </w:tcPr>
          <w:p>
            <w:pPr>
              <w:spacing w:after="0"/>
              <w:rPr>
                <w:sz w:val="15"/>
                <w:szCs w:val="15"/>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2,501</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3,877</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15,628</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26,627</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dispositions</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244</w:t>
            </w:r>
          </w:p>
        </w:tc>
        <w:tc>
          <w:tcPr>
            <w:tcW w:w="220" w:type="dxa"/>
            <w:vAlign w:val="bottom"/>
          </w:tcPr>
          <w:p>
            <w:pPr>
              <w:spacing w:after="0"/>
              <w:rPr>
                <w:sz w:val="15"/>
                <w:szCs w:val="15"/>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244</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1,029</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(516)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investment</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items, net</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37"/>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7"/>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income</w:t>
            </w:r>
          </w:p>
        </w:tc>
        <w:tc>
          <w:tcPr>
            <w:tcW w:w="10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3"/>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 and equity in loss of investee companies</w:t>
            </w: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122</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504</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(6,062)</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loss of investee companies, net of tax</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37"/>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190</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412</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(5,941)</w:t>
            </w:r>
          </w:p>
        </w:tc>
      </w:tr>
      <w:tr>
        <w:trPr>
          <w:trHeight w:val="21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from discontinued operations,</w:t>
            </w:r>
          </w:p>
        </w:tc>
        <w:tc>
          <w:tcPr>
            <w:tcW w:w="1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37"/>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7"/>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and noncontrolling interests)</w:t>
            </w: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190</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412</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noncontrolling interests</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(447)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37"/>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attributable to Parent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w:t>
            </w:r>
          </w:p>
        </w:tc>
      </w:tr>
      <w:tr>
        <w:trPr>
          <w:trHeight w:val="43"/>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78"/>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attributable to Parent:</w:t>
            </w:r>
          </w:p>
        </w:tc>
        <w:tc>
          <w:tcPr>
            <w:tcW w:w="1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from discontinued operations, net of tax</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37"/>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9"/>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(loss) attributable to Parent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w:t>
            </w:r>
          </w:p>
        </w:tc>
      </w:tr>
      <w:tr>
        <w:trPr>
          <w:trHeight w:val="43"/>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earnings (loss) per common share</w:t>
            </w:r>
          </w:p>
        </w:tc>
        <w:tc>
          <w:tcPr>
            <w:tcW w:w="10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8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attributable to Parent:</w:t>
            </w:r>
          </w:p>
        </w:tc>
        <w:tc>
          <w:tcPr>
            <w:tcW w:w="10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from discontinued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r>
      <w:tr>
        <w:trPr>
          <w:trHeight w:val="31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earnings (loss) per common share attributable</w:t>
            </w:r>
          </w:p>
        </w:tc>
        <w:tc>
          <w:tcPr>
            <w:tcW w:w="1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Parent:</w:t>
            </w:r>
          </w:p>
        </w:tc>
        <w:tc>
          <w:tcPr>
            <w:tcW w:w="10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from discontinued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r>
      <w:tr>
        <w:trPr>
          <w:trHeight w:val="328"/>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1,098</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675</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1,098</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674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1,098</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675</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1,098</w:t>
            </w:r>
          </w:p>
        </w:tc>
        <w:tc>
          <w:tcPr>
            <w:tcW w:w="2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674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r>
      <w:tr>
        <w:trPr>
          <w:trHeight w:val="43"/>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bl>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88" w:right="379" w:bottom="1440" w:gutter="0" w:footer="0" w:header="0"/>
        </w:sectPr>
      </w:pPr>
    </w:p>
    <w:bookmarkStart w:id="3" w:name="page4"/>
    <w:bookmarkEnd w:id="3"/>
    <w:p>
      <w:pPr>
        <w:ind w:left="260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4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760" w:type="dxa"/>
            <w:vAlign w:val="bottom"/>
            <w:tcBorders>
              <w:top w:val="single" w:sz="8" w:color="auto"/>
            </w:tcBorders>
          </w:tcPr>
          <w:p>
            <w:pPr>
              <w:spacing w:after="0"/>
              <w:rPr>
                <w:sz w:val="18"/>
                <w:szCs w:val="18"/>
                <w:color w:val="auto"/>
              </w:rPr>
            </w:pPr>
          </w:p>
        </w:tc>
      </w:tr>
      <w:tr>
        <w:trPr>
          <w:trHeight w:val="37"/>
        </w:trPr>
        <w:tc>
          <w:tcPr>
            <w:tcW w:w="3520" w:type="dxa"/>
            <w:vAlign w:val="bottom"/>
          </w:tcPr>
          <w:p>
            <w:pPr>
              <w:spacing w:after="0"/>
              <w:rPr>
                <w:sz w:val="3"/>
                <w:szCs w:val="3"/>
                <w:color w:val="auto"/>
              </w:rPr>
            </w:pPr>
          </w:p>
        </w:tc>
        <w:tc>
          <w:tcPr>
            <w:tcW w:w="1200" w:type="dxa"/>
            <w:vAlign w:val="bottom"/>
            <w:tcBorders>
              <w:bottom w:val="single" w:sz="8" w:color="auto"/>
              <w:right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right w:val="single" w:sz="8" w:color="auto"/>
            </w:tcBorders>
            <w:gridSpan w:val="2"/>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r>
      <w:tr>
        <w:trPr>
          <w:trHeight w:val="165"/>
        </w:trPr>
        <w:tc>
          <w:tcPr>
            <w:tcW w:w="3520" w:type="dxa"/>
            <w:vAlign w:val="bottom"/>
          </w:tcPr>
          <w:p>
            <w:pPr>
              <w:spacing w:after="0"/>
              <w:rPr>
                <w:sz w:val="14"/>
                <w:szCs w:val="14"/>
                <w:color w:val="auto"/>
              </w:rPr>
            </w:pPr>
          </w:p>
        </w:tc>
        <w:tc>
          <w:tcPr>
            <w:tcW w:w="1200" w:type="dxa"/>
            <w:vAlign w:val="bottom"/>
            <w:tcBorders>
              <w:right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6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70"/>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August 7 -</w:t>
            </w: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July 1 - August</w:t>
            </w: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Ended September</w:t>
            </w:r>
          </w:p>
        </w:tc>
        <w:tc>
          <w:tcPr>
            <w:tcW w:w="126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August 7 -</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January 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Ended September</w:t>
            </w:r>
          </w:p>
        </w:tc>
      </w:tr>
      <w:tr>
        <w:trPr>
          <w:trHeight w:val="185"/>
        </w:trPr>
        <w:tc>
          <w:tcPr>
            <w:tcW w:w="3520" w:type="dxa"/>
            <w:vAlign w:val="bottom"/>
          </w:tcPr>
          <w:p>
            <w:pPr>
              <w:spacing w:after="0"/>
              <w:rPr>
                <w:sz w:val="16"/>
                <w:szCs w:val="16"/>
                <w:color w:val="auto"/>
              </w:rPr>
            </w:pPr>
          </w:p>
        </w:tc>
        <w:tc>
          <w:tcPr>
            <w:tcW w:w="120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78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6,</w:t>
            </w:r>
          </w:p>
        </w:tc>
        <w:tc>
          <w:tcPr>
            <w:tcW w:w="480" w:type="dxa"/>
            <w:vAlign w:val="bottom"/>
          </w:tcPr>
          <w:p>
            <w:pPr>
              <w:spacing w:after="0"/>
              <w:rPr>
                <w:sz w:val="16"/>
                <w:szCs w:val="16"/>
                <w:color w:val="auto"/>
              </w:rPr>
            </w:pP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August 6,</w:t>
            </w:r>
          </w:p>
        </w:tc>
        <w:tc>
          <w:tcPr>
            <w:tcW w:w="500" w:type="dxa"/>
            <w:vAlign w:val="bottom"/>
          </w:tcPr>
          <w:p>
            <w:pPr>
              <w:spacing w:after="0"/>
              <w:rPr>
                <w:sz w:val="16"/>
                <w:szCs w:val="16"/>
                <w:color w:val="auto"/>
              </w:rPr>
            </w:pPr>
          </w:p>
        </w:tc>
        <w:tc>
          <w:tcPr>
            <w:tcW w:w="76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24"/>
        </w:trPr>
        <w:tc>
          <w:tcPr>
            <w:tcW w:w="3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9"/>
        </w:trPr>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tcPr>
          <w:p>
            <w:pPr>
              <w:spacing w:after="0"/>
              <w:rPr>
                <w:sz w:val="15"/>
                <w:szCs w:val="15"/>
                <w:color w:val="auto"/>
              </w:rPr>
            </w:pPr>
          </w:p>
        </w:tc>
        <w:tc>
          <w:tcPr>
            <w:tcW w:w="78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Borders>
              <w:right w:val="single" w:sz="8" w:color="auto"/>
            </w:tcBorders>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80" w:type="dxa"/>
            <w:vAlign w:val="bottom"/>
          </w:tcPr>
          <w:p>
            <w:pPr>
              <w:spacing w:after="0"/>
              <w:rPr>
                <w:sz w:val="15"/>
                <w:szCs w:val="15"/>
                <w:color w:val="auto"/>
              </w:rPr>
            </w:pPr>
          </w:p>
        </w:tc>
        <w:tc>
          <w:tcPr>
            <w:tcW w:w="720" w:type="dxa"/>
            <w:vAlign w:val="bottom"/>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00" w:type="dxa"/>
            <w:vAlign w:val="bottom"/>
          </w:tcPr>
          <w:p>
            <w:pPr>
              <w:spacing w:after="0"/>
              <w:rPr>
                <w:sz w:val="15"/>
                <w:szCs w:val="15"/>
                <w:color w:val="auto"/>
              </w:rPr>
            </w:pPr>
          </w:p>
        </w:tc>
        <w:tc>
          <w:tcPr>
            <w:tcW w:w="76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3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67"/>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2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and noncontrolling interests)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4</w:t>
            </w:r>
          </w:p>
        </w:tc>
        <w:tc>
          <w:tcPr>
            <w:tcW w:w="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190</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15"/>
                <w:szCs w:val="15"/>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4</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412</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(5,927)</w:t>
            </w:r>
          </w:p>
        </w:tc>
      </w:tr>
      <w:tr>
        <w:trPr>
          <w:trHeight w:val="37"/>
        </w:trPr>
        <w:tc>
          <w:tcPr>
            <w:tcW w:w="3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7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240" w:type="dxa"/>
            <w:vAlign w:val="bottom"/>
          </w:tcPr>
          <w:p>
            <w:pPr>
              <w:spacing w:after="0"/>
              <w:rPr>
                <w:sz w:val="19"/>
                <w:szCs w:val="19"/>
                <w:color w:val="auto"/>
              </w:rPr>
            </w:pPr>
          </w:p>
        </w:tc>
        <w:tc>
          <w:tcPr>
            <w:tcW w:w="9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26</w:t>
            </w:r>
          </w:p>
        </w:tc>
        <w:tc>
          <w:tcPr>
            <w:tcW w:w="40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(50)</w:t>
            </w:r>
          </w:p>
        </w:tc>
        <w:tc>
          <w:tcPr>
            <w:tcW w:w="480" w:type="dxa"/>
            <w:vAlign w:val="bottom"/>
          </w:tcPr>
          <w:p>
            <w:pPr>
              <w:spacing w:after="0"/>
              <w:rPr>
                <w:sz w:val="19"/>
                <w:szCs w:val="19"/>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88</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116</w:t>
            </w:r>
          </w:p>
        </w:tc>
        <w:tc>
          <w:tcPr>
            <w:tcW w:w="50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w:t>
            </w: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to net actuarial loss and prior service costs</w:t>
            </w:r>
          </w:p>
        </w:tc>
        <w:tc>
          <w:tcPr>
            <w:tcW w:w="240" w:type="dxa"/>
            <w:vAlign w:val="bottom"/>
          </w:tcPr>
          <w:p>
            <w:pPr>
              <w:spacing w:after="0"/>
              <w:rPr>
                <w:sz w:val="19"/>
                <w:szCs w:val="19"/>
                <w:color w:val="auto"/>
              </w:rPr>
            </w:pPr>
          </w:p>
        </w:tc>
        <w:tc>
          <w:tcPr>
            <w:tcW w:w="9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4</w:t>
            </w:r>
          </w:p>
        </w:tc>
        <w:tc>
          <w:tcPr>
            <w:tcW w:w="480" w:type="dxa"/>
            <w:vAlign w:val="bottom"/>
          </w:tcPr>
          <w:p>
            <w:pPr>
              <w:spacing w:after="0"/>
              <w:rPr>
                <w:sz w:val="19"/>
                <w:szCs w:val="19"/>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25</w:t>
            </w:r>
          </w:p>
        </w:tc>
        <w:tc>
          <w:tcPr>
            <w:tcW w:w="50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33</w:t>
            </w:r>
          </w:p>
        </w:tc>
      </w:tr>
      <w:tr>
        <w:trPr>
          <w:trHeight w:val="37"/>
        </w:trPr>
        <w:tc>
          <w:tcPr>
            <w:tcW w:w="3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67"/>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and noncontrolling interests)</w:t>
            </w:r>
          </w:p>
        </w:tc>
        <w:tc>
          <w:tcPr>
            <w:tcW w:w="240" w:type="dxa"/>
            <w:vAlign w:val="bottom"/>
          </w:tcPr>
          <w:p>
            <w:pPr>
              <w:spacing w:after="0"/>
              <w:rPr>
                <w:sz w:val="15"/>
                <w:szCs w:val="15"/>
                <w:color w:val="auto"/>
              </w:rPr>
            </w:pPr>
          </w:p>
        </w:tc>
        <w:tc>
          <w:tcPr>
            <w:tcW w:w="9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26</w:t>
            </w:r>
          </w:p>
        </w:tc>
        <w:tc>
          <w:tcPr>
            <w:tcW w:w="400" w:type="dxa"/>
            <w:vAlign w:val="bottom"/>
          </w:tcPr>
          <w:p>
            <w:pPr>
              <w:spacing w:after="0"/>
              <w:rPr>
                <w:sz w:val="15"/>
                <w:szCs w:val="15"/>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(46)</w:t>
            </w:r>
          </w:p>
        </w:tc>
        <w:tc>
          <w:tcPr>
            <w:tcW w:w="480" w:type="dxa"/>
            <w:vAlign w:val="bottom"/>
          </w:tcPr>
          <w:p>
            <w:pPr>
              <w:spacing w:after="0"/>
              <w:rPr>
                <w:sz w:val="15"/>
                <w:szCs w:val="15"/>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141</w:t>
            </w:r>
          </w:p>
        </w:tc>
        <w:tc>
          <w:tcPr>
            <w:tcW w:w="500" w:type="dxa"/>
            <w:vAlign w:val="bottom"/>
          </w:tcPr>
          <w:p>
            <w:pPr>
              <w:spacing w:after="0"/>
              <w:rPr>
                <w:sz w:val="15"/>
                <w:szCs w:val="15"/>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31</w:t>
            </w:r>
          </w:p>
        </w:tc>
      </w:tr>
      <w:tr>
        <w:trPr>
          <w:trHeight w:val="37"/>
        </w:trPr>
        <w:tc>
          <w:tcPr>
            <w:tcW w:w="3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7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40" w:type="dxa"/>
            <w:vAlign w:val="bottom"/>
          </w:tcPr>
          <w:p>
            <w:pPr>
              <w:spacing w:after="0"/>
              <w:rPr>
                <w:sz w:val="15"/>
                <w:szCs w:val="15"/>
                <w:color w:val="auto"/>
              </w:rPr>
            </w:pPr>
          </w:p>
        </w:tc>
        <w:tc>
          <w:tcPr>
            <w:tcW w:w="9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30</w:t>
            </w:r>
          </w:p>
        </w:tc>
        <w:tc>
          <w:tcPr>
            <w:tcW w:w="400" w:type="dxa"/>
            <w:vAlign w:val="bottom"/>
          </w:tcPr>
          <w:p>
            <w:pPr>
              <w:spacing w:after="0"/>
              <w:rPr>
                <w:sz w:val="15"/>
                <w:szCs w:val="15"/>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144</w:t>
            </w:r>
          </w:p>
        </w:tc>
        <w:tc>
          <w:tcPr>
            <w:tcW w:w="480" w:type="dxa"/>
            <w:vAlign w:val="bottom"/>
          </w:tcPr>
          <w:p>
            <w:pPr>
              <w:spacing w:after="0"/>
              <w:rPr>
                <w:sz w:val="15"/>
                <w:szCs w:val="15"/>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122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30</w:t>
            </w:r>
          </w:p>
        </w:tc>
        <w:tc>
          <w:tcPr>
            <w:tcW w:w="38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553</w:t>
            </w:r>
          </w:p>
        </w:tc>
        <w:tc>
          <w:tcPr>
            <w:tcW w:w="500" w:type="dxa"/>
            <w:vAlign w:val="bottom"/>
          </w:tcPr>
          <w:p>
            <w:pPr>
              <w:spacing w:after="0"/>
              <w:rPr>
                <w:sz w:val="15"/>
                <w:szCs w:val="15"/>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(5,896)</w:t>
            </w:r>
          </w:p>
        </w:tc>
      </w:tr>
      <w:tr>
        <w:trPr>
          <w:trHeight w:val="21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w:t>
            </w:r>
          </w:p>
        </w:tc>
        <w:tc>
          <w:tcPr>
            <w:tcW w:w="2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Pr>
          <w:p>
            <w:pPr>
              <w:spacing w:after="0"/>
              <w:rPr>
                <w:sz w:val="15"/>
                <w:szCs w:val="15"/>
                <w:color w:val="auto"/>
              </w:rPr>
            </w:pPr>
          </w:p>
        </w:tc>
        <w:tc>
          <w:tcPr>
            <w:tcW w:w="9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18</w:t>
            </w:r>
          </w:p>
        </w:tc>
        <w:tc>
          <w:tcPr>
            <w:tcW w:w="400" w:type="dxa"/>
            <w:vAlign w:val="bottom"/>
          </w:tcPr>
          <w:p>
            <w:pPr>
              <w:spacing w:after="0"/>
              <w:rPr>
                <w:sz w:val="15"/>
                <w:szCs w:val="15"/>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433</w:t>
            </w:r>
          </w:p>
        </w:tc>
        <w:tc>
          <w:tcPr>
            <w:tcW w:w="480" w:type="dxa"/>
            <w:vAlign w:val="bottom"/>
          </w:tcPr>
          <w:p>
            <w:pPr>
              <w:spacing w:after="0"/>
              <w:rPr>
                <w:sz w:val="15"/>
                <w:szCs w:val="15"/>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18</w:t>
            </w:r>
          </w:p>
        </w:tc>
        <w:tc>
          <w:tcPr>
            <w:tcW w:w="38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448</w:t>
            </w:r>
          </w:p>
        </w:tc>
        <w:tc>
          <w:tcPr>
            <w:tcW w:w="500" w:type="dxa"/>
            <w:vAlign w:val="bottom"/>
          </w:tcPr>
          <w:p>
            <w:pPr>
              <w:spacing w:after="0"/>
              <w:rPr>
                <w:sz w:val="15"/>
                <w:szCs w:val="15"/>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38</w:t>
            </w:r>
          </w:p>
        </w:tc>
      </w:tr>
      <w:tr>
        <w:trPr>
          <w:trHeight w:val="37"/>
        </w:trPr>
        <w:tc>
          <w:tcPr>
            <w:tcW w:w="3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7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Parent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12</w:t>
            </w:r>
          </w:p>
        </w:tc>
        <w:tc>
          <w:tcPr>
            <w:tcW w:w="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(289)</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15"/>
                <w:szCs w:val="15"/>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12</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105</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(5,934)</w:t>
            </w:r>
          </w:p>
        </w:tc>
      </w:tr>
      <w:tr>
        <w:trPr>
          <w:trHeight w:val="43"/>
        </w:trPr>
        <w:tc>
          <w:tcPr>
            <w:tcW w:w="3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bl>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460" w:top="744"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34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right w:val="single" w:sz="8" w:color="auto"/>
            </w:tcBorders>
          </w:tcPr>
          <w:p>
            <w:pPr>
              <w:jc w:val="center"/>
              <w:ind w:right="541"/>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5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18"/>
        </w:trPr>
        <w:tc>
          <w:tcPr>
            <w:tcW w:w="6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Borders>
              <w:right w:val="single" w:sz="8" w:color="auto"/>
            </w:tcBorders>
          </w:tcPr>
          <w:p>
            <w:pPr>
              <w:jc w:val="center"/>
              <w:ind w:right="541"/>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500" w:type="dxa"/>
            <w:vAlign w:val="bottom"/>
          </w:tcPr>
          <w:p>
            <w:pPr>
              <w:spacing w:after="0"/>
              <w:rPr>
                <w:sz w:val="18"/>
                <w:szCs w:val="18"/>
                <w:color w:val="auto"/>
              </w:rPr>
            </w:pPr>
          </w:p>
        </w:tc>
        <w:tc>
          <w:tcPr>
            <w:tcW w:w="1260" w:type="dxa"/>
            <w:vAlign w:val="bottom"/>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247"/>
        </w:trPr>
        <w:tc>
          <w:tcPr>
            <w:tcW w:w="634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September 30, 2025</w:t>
            </w:r>
          </w:p>
        </w:tc>
        <w:tc>
          <w:tcPr>
            <w:tcW w:w="1760" w:type="dxa"/>
            <w:vAlign w:val="bottom"/>
            <w:tcBorders>
              <w:bottom w:val="single" w:sz="8" w:color="auto"/>
            </w:tcBorders>
            <w:gridSpan w:val="2"/>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52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3,263</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2,661</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6,302</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6,920</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1,776</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1,429</w:t>
            </w:r>
          </w:p>
        </w:tc>
      </w:tr>
      <w:tr>
        <w:trPr>
          <w:trHeight w:val="247"/>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1,861</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1,532</w:t>
            </w:r>
          </w:p>
        </w:tc>
      </w:tr>
      <w:tr>
        <w:trPr>
          <w:trHeight w:val="229"/>
        </w:trPr>
        <w:tc>
          <w:tcPr>
            <w:tcW w:w="6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13,202</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12,542</w:t>
            </w: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tcPr>
          <w:p>
            <w:pPr>
              <w:spacing w:after="0"/>
              <w:rPr>
                <w:sz w:val="18"/>
                <w:szCs w:val="18"/>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2,170</w:t>
            </w:r>
          </w:p>
        </w:tc>
        <w:tc>
          <w:tcPr>
            <w:tcW w:w="500" w:type="dxa"/>
            <w:vAlign w:val="bottom"/>
          </w:tcPr>
          <w:p>
            <w:pPr>
              <w:spacing w:after="0"/>
              <w:rPr>
                <w:sz w:val="18"/>
                <w:szCs w:val="18"/>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1,566</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15,449</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13,924</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984</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10,508</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6,566</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2,406</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1,026</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1,012</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1,200</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1,386</w:t>
            </w:r>
          </w:p>
        </w:tc>
      </w:tr>
      <w:tr>
        <w:trPr>
          <w:trHeight w:val="247"/>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2,584</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2,828</w:t>
            </w:r>
          </w:p>
        </w:tc>
      </w:tr>
      <w:tr>
        <w:trPr>
          <w:trHeight w:val="242"/>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43,181</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46,172</w:t>
            </w: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5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52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5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689</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953</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1,817</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2,199</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2,497</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2,574</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programming and production costs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1,829</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1,720</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1,615</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825</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347</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1,090</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1,360</w:t>
            </w:r>
          </w:p>
        </w:tc>
      </w:tr>
      <w:tr>
        <w:trPr>
          <w:trHeight w:val="229"/>
        </w:trPr>
        <w:tc>
          <w:tcPr>
            <w:tcW w:w="6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9,884</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9,631</w:t>
            </w: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20" w:type="dxa"/>
            <w:vAlign w:val="bottom"/>
          </w:tcPr>
          <w:p>
            <w:pPr>
              <w:spacing w:after="0"/>
              <w:rPr>
                <w:sz w:val="18"/>
                <w:szCs w:val="18"/>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13,286</w:t>
            </w:r>
          </w:p>
        </w:tc>
        <w:tc>
          <w:tcPr>
            <w:tcW w:w="500" w:type="dxa"/>
            <w:vAlign w:val="bottom"/>
          </w:tcPr>
          <w:p>
            <w:pPr>
              <w:spacing w:after="0"/>
              <w:rPr>
                <w:sz w:val="18"/>
                <w:szCs w:val="18"/>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14,501</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1,271</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1,310</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postretirement benefit obligations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1,289</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1,226</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221</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34</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1,100</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1,048</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Programming obligations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515</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260</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2,344</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1,380</w:t>
            </w:r>
          </w:p>
        </w:tc>
      </w:tr>
      <w:tr>
        <w:trPr>
          <w:trHeight w:val="28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52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Parent stockholders’ equity:</w:t>
            </w:r>
          </w:p>
        </w:tc>
        <w:tc>
          <w:tcPr>
            <w:tcW w:w="52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7"/>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A Common Stock, par value $.001 per share; 55 shares authorized;</w:t>
            </w:r>
          </w:p>
        </w:tc>
        <w:tc>
          <w:tcPr>
            <w:tcW w:w="5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 (2025) and 41 (2024) shares issued</w:t>
            </w:r>
          </w:p>
        </w:tc>
        <w:tc>
          <w:tcPr>
            <w:tcW w:w="520" w:type="dxa"/>
            <w:vAlign w:val="bottom"/>
          </w:tcPr>
          <w:p>
            <w:pPr>
              <w:spacing w:after="0"/>
              <w:rPr>
                <w:sz w:val="17"/>
                <w:szCs w:val="17"/>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B Common Stock, par value $.001 per share; 5,500 (2025) and 5,000 (2024)</w:t>
            </w:r>
          </w:p>
        </w:tc>
        <w:tc>
          <w:tcPr>
            <w:tcW w:w="5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shares authorized; 1,066 (2025) and 1,133 (2024) shares issued</w:t>
            </w:r>
          </w:p>
        </w:tc>
        <w:tc>
          <w:tcPr>
            <w:tcW w:w="520" w:type="dxa"/>
            <w:vAlign w:val="bottom"/>
          </w:tcPr>
          <w:p>
            <w:pPr>
              <w:spacing w:after="0"/>
              <w:rPr>
                <w:sz w:val="17"/>
                <w:szCs w:val="17"/>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spacing w:after="0"/>
              <w:rPr>
                <w:sz w:val="17"/>
                <w:szCs w:val="17"/>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13,159</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33,394</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 (2025) and 503 (2024) shares of Class B Common Stock</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(22,958)</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(1,180)</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7,487</w:t>
            </w:r>
          </w:p>
        </w:tc>
      </w:tr>
      <w:tr>
        <w:trPr>
          <w:trHeight w:val="247"/>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25</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(1,604)</w:t>
            </w:r>
          </w:p>
        </w:tc>
      </w:tr>
      <w:tr>
        <w:trPr>
          <w:trHeight w:val="21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Parent stockholders’ equity</w:t>
            </w:r>
          </w:p>
        </w:tc>
        <w:tc>
          <w:tcPr>
            <w:tcW w:w="520" w:type="dxa"/>
            <w:vAlign w:val="bottom"/>
          </w:tcPr>
          <w:p>
            <w:pPr>
              <w:spacing w:after="0"/>
              <w:rPr>
                <w:sz w:val="18"/>
                <w:szCs w:val="18"/>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12,005</w:t>
            </w:r>
          </w:p>
        </w:tc>
        <w:tc>
          <w:tcPr>
            <w:tcW w:w="500" w:type="dxa"/>
            <w:vAlign w:val="bottom"/>
          </w:tcPr>
          <w:p>
            <w:pPr>
              <w:spacing w:after="0"/>
              <w:rPr>
                <w:sz w:val="18"/>
                <w:szCs w:val="18"/>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16,320</w:t>
            </w:r>
          </w:p>
        </w:tc>
      </w:tr>
      <w:tr>
        <w:trPr>
          <w:trHeight w:val="247"/>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1,266</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462</w:t>
            </w:r>
          </w:p>
        </w:tc>
      </w:tr>
      <w:tr>
        <w:trPr>
          <w:trHeight w:val="229"/>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13,271</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16,782</w:t>
            </w:r>
          </w:p>
        </w:tc>
      </w:tr>
      <w:tr>
        <w:trPr>
          <w:trHeight w:val="242"/>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43,181</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46,172</w:t>
            </w: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ectPr>
          <w:pgSz w:w="11900" w:h="16838" w:orient="portrait"/>
          <w:cols w:equalWidth="0" w:num="1">
            <w:col w:w="10120"/>
          </w:cols>
          <w:pgMar w:left="880" w:top="744" w:right="8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20"/>
          </w:cols>
          <w:pgMar w:left="880" w:top="744" w:right="899" w:bottom="1440" w:gutter="0" w:footer="0" w:header="0"/>
          <w:type w:val="continuous"/>
        </w:sectPr>
      </w:pPr>
    </w:p>
    <w:bookmarkStart w:id="5" w:name="page6"/>
    <w:bookmarkEnd w:id="5"/>
    <w:p>
      <w:pPr>
        <w:ind w:left="266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4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7280" w:type="dxa"/>
            <w:vAlign w:val="bottom"/>
          </w:tcPr>
          <w:p>
            <w:pPr>
              <w:spacing w:after="0"/>
              <w:rPr>
                <w:sz w:val="3"/>
                <w:szCs w:val="3"/>
                <w:color w:val="auto"/>
              </w:rPr>
            </w:pPr>
          </w:p>
        </w:tc>
        <w:tc>
          <w:tcPr>
            <w:tcW w:w="1240" w:type="dxa"/>
            <w:vAlign w:val="bottom"/>
            <w:tcBorders>
              <w:bottom w:val="single" w:sz="8" w:color="auto"/>
              <w:right w:val="single" w:sz="8" w:color="auto"/>
            </w:tcBorders>
            <w:gridSpan w:val="2"/>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28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3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7"/>
        </w:trPr>
        <w:tc>
          <w:tcPr>
            <w:tcW w:w="7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right w:val="single" w:sz="8" w:color="auto"/>
            </w:tcBorders>
          </w:tcPr>
          <w:p>
            <w:pPr>
              <w:jc w:val="center"/>
              <w:ind w:right="270"/>
              <w:spacing w:after="0" w:line="157" w:lineRule="exact"/>
              <w:rPr>
                <w:sz w:val="20"/>
                <w:szCs w:val="20"/>
                <w:color w:val="auto"/>
              </w:rPr>
            </w:pPr>
            <w:r>
              <w:rPr>
                <w:rFonts w:ascii="Times New Roman" w:cs="Times New Roman" w:eastAsia="Times New Roman" w:hAnsi="Times New Roman"/>
                <w:sz w:val="14"/>
                <w:szCs w:val="14"/>
                <w:b w:val="1"/>
                <w:bCs w:val="1"/>
                <w:color w:val="auto"/>
                <w:w w:val="97"/>
              </w:rPr>
              <w:t>August 7 -</w:t>
            </w:r>
          </w:p>
        </w:tc>
        <w:tc>
          <w:tcPr>
            <w:tcW w:w="1200" w:type="dxa"/>
            <w:vAlign w:val="bottom"/>
            <w:gridSpan w:val="2"/>
          </w:tcPr>
          <w:p>
            <w:pPr>
              <w:jc w:val="center"/>
              <w:ind w:left="30"/>
              <w:spacing w:after="0" w:line="157" w:lineRule="exact"/>
              <w:rPr>
                <w:sz w:val="20"/>
                <w:szCs w:val="20"/>
                <w:color w:val="auto"/>
              </w:rPr>
            </w:pPr>
            <w:r>
              <w:rPr>
                <w:rFonts w:ascii="Times New Roman" w:cs="Times New Roman" w:eastAsia="Times New Roman" w:hAnsi="Times New Roman"/>
                <w:sz w:val="14"/>
                <w:szCs w:val="14"/>
                <w:b w:val="1"/>
                <w:bCs w:val="1"/>
                <w:color w:val="auto"/>
              </w:rPr>
              <w:t>January 1 -</w:t>
            </w: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7280" w:type="dxa"/>
            <w:vAlign w:val="bottom"/>
          </w:tcPr>
          <w:p>
            <w:pPr>
              <w:spacing w:after="0"/>
              <w:rPr>
                <w:sz w:val="17"/>
                <w:szCs w:val="17"/>
                <w:color w:val="auto"/>
              </w:rPr>
            </w:pPr>
          </w:p>
        </w:tc>
        <w:tc>
          <w:tcPr>
            <w:tcW w:w="1240" w:type="dxa"/>
            <w:vAlign w:val="bottom"/>
            <w:tcBorders>
              <w:right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40" w:type="dxa"/>
            <w:vAlign w:val="bottom"/>
          </w:tcPr>
          <w:p>
            <w:pPr>
              <w:spacing w:after="0"/>
              <w:rPr>
                <w:sz w:val="17"/>
                <w:szCs w:val="17"/>
                <w:color w:val="auto"/>
              </w:rPr>
            </w:pPr>
          </w:p>
        </w:tc>
        <w:tc>
          <w:tcPr>
            <w:tcW w:w="86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August 6,</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4"/>
        </w:trPr>
        <w:tc>
          <w:tcPr>
            <w:tcW w:w="7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Pr>
          <w:p>
            <w:pPr>
              <w:spacing w:after="0"/>
              <w:rPr>
                <w:sz w:val="15"/>
                <w:szCs w:val="15"/>
                <w:color w:val="auto"/>
              </w:rPr>
            </w:pPr>
          </w:p>
        </w:tc>
        <w:tc>
          <w:tcPr>
            <w:tcW w:w="86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540" w:type="dxa"/>
            <w:vAlign w:val="bottom"/>
          </w:tcPr>
          <w:p>
            <w:pPr>
              <w:spacing w:after="0"/>
              <w:rPr>
                <w:sz w:val="15"/>
                <w:szCs w:val="15"/>
                <w:color w:val="auto"/>
              </w:rPr>
            </w:pPr>
          </w:p>
        </w:tc>
        <w:tc>
          <w:tcPr>
            <w:tcW w:w="820" w:type="dxa"/>
            <w:vAlign w:val="bottom"/>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(Parent and noncontrolling interests)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412</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(5,927)</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earnings from discontinued operations, net of tax</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60" w:type="dxa"/>
            <w:vAlign w:val="bottom"/>
          </w:tcPr>
          <w:p>
            <w:pPr>
              <w:spacing w:after="0"/>
              <w:rPr>
                <w:sz w:val="15"/>
                <w:szCs w:val="15"/>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5"/>
                <w:szCs w:val="15"/>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412</w:t>
            </w:r>
          </w:p>
        </w:tc>
        <w:tc>
          <w:tcPr>
            <w:tcW w:w="540" w:type="dxa"/>
            <w:vAlign w:val="bottom"/>
          </w:tcPr>
          <w:p>
            <w:pPr>
              <w:spacing w:after="0"/>
              <w:rPr>
                <w:sz w:val="15"/>
                <w:szCs w:val="15"/>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(5,941)</w:t>
            </w:r>
          </w:p>
        </w:tc>
        <w:tc>
          <w:tcPr>
            <w:tcW w:w="0" w:type="dxa"/>
            <w:vAlign w:val="bottom"/>
          </w:tcPr>
          <w:p>
            <w:pPr>
              <w:spacing w:after="0"/>
              <w:rPr>
                <w:sz w:val="1"/>
                <w:szCs w:val="1"/>
                <w:color w:val="auto"/>
              </w:rPr>
            </w:pPr>
          </w:p>
        </w:tc>
      </w:tr>
      <w:tr>
        <w:trPr>
          <w:trHeight w:val="21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earnings (loss) from continuing operations to net cash flow provided by</w:t>
            </w:r>
          </w:p>
        </w:tc>
        <w:tc>
          <w:tcPr>
            <w:tcW w:w="2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activities:</w:t>
            </w:r>
          </w:p>
        </w:tc>
        <w:tc>
          <w:tcPr>
            <w:tcW w:w="26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Programming charges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1,118</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226</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204</w:t>
            </w:r>
          </w:p>
        </w:tc>
        <w:tc>
          <w:tcPr>
            <w:tcW w:w="5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157</w:t>
            </w:r>
          </w:p>
        </w:tc>
        <w:tc>
          <w:tcPr>
            <w:tcW w:w="5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6,100</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(benefit) provision</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27</w:t>
            </w:r>
          </w:p>
        </w:tc>
        <w:tc>
          <w:tcPr>
            <w:tcW w:w="3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(401)</w:t>
            </w:r>
          </w:p>
        </w:tc>
        <w:tc>
          <w:tcPr>
            <w:tcW w:w="54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59</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113</w:t>
            </w:r>
          </w:p>
        </w:tc>
        <w:tc>
          <w:tcPr>
            <w:tcW w:w="5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dispositions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(35)</w:t>
            </w:r>
          </w:p>
        </w:tc>
        <w:tc>
          <w:tcPr>
            <w:tcW w:w="5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from investment</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 loss of investee companies, net of tax and distributions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179</w:t>
            </w:r>
          </w:p>
        </w:tc>
        <w:tc>
          <w:tcPr>
            <w:tcW w:w="5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assets and liabilities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(81)</w:t>
            </w:r>
          </w:p>
        </w:tc>
        <w:tc>
          <w:tcPr>
            <w:tcW w:w="3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(465)</w:t>
            </w:r>
          </w:p>
        </w:tc>
        <w:tc>
          <w:tcPr>
            <w:tcW w:w="54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(775)</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provided by operating activities</w:t>
            </w:r>
          </w:p>
        </w:tc>
        <w:tc>
          <w:tcPr>
            <w:tcW w:w="260" w:type="dxa"/>
            <w:vAlign w:val="bottom"/>
          </w:tcPr>
          <w:p>
            <w:pPr>
              <w:spacing w:after="0"/>
              <w:rPr>
                <w:sz w:val="15"/>
                <w:szCs w:val="15"/>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268</w:t>
            </w:r>
          </w:p>
        </w:tc>
        <w:tc>
          <w:tcPr>
            <w:tcW w:w="340" w:type="dxa"/>
            <w:vAlign w:val="bottom"/>
          </w:tcPr>
          <w:p>
            <w:pPr>
              <w:spacing w:after="0"/>
              <w:rPr>
                <w:sz w:val="15"/>
                <w:szCs w:val="15"/>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164</w:t>
            </w:r>
          </w:p>
        </w:tc>
        <w:tc>
          <w:tcPr>
            <w:tcW w:w="540" w:type="dxa"/>
            <w:vAlign w:val="bottom"/>
          </w:tcPr>
          <w:p>
            <w:pPr>
              <w:spacing w:after="0"/>
              <w:rPr>
                <w:sz w:val="15"/>
                <w:szCs w:val="15"/>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(205)</w:t>
            </w:r>
          </w:p>
        </w:tc>
        <w:tc>
          <w:tcPr>
            <w:tcW w:w="54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(46)</w:t>
            </w:r>
          </w:p>
        </w:tc>
        <w:tc>
          <w:tcPr>
            <w:tcW w:w="3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(134)</w:t>
            </w:r>
          </w:p>
        </w:tc>
        <w:tc>
          <w:tcPr>
            <w:tcW w:w="54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dispositions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66</w:t>
            </w:r>
          </w:p>
        </w:tc>
        <w:tc>
          <w:tcPr>
            <w:tcW w:w="5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54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used for investing activities from continuing operations</w:t>
            </w:r>
          </w:p>
        </w:tc>
        <w:tc>
          <w:tcPr>
            <w:tcW w:w="260" w:type="dxa"/>
            <w:vAlign w:val="bottom"/>
          </w:tcPr>
          <w:p>
            <w:pPr>
              <w:spacing w:after="0"/>
              <w:rPr>
                <w:sz w:val="15"/>
                <w:szCs w:val="15"/>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(42)</w:t>
            </w:r>
          </w:p>
        </w:tc>
        <w:tc>
          <w:tcPr>
            <w:tcW w:w="34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(276)</w:t>
            </w:r>
          </w:p>
        </w:tc>
        <w:tc>
          <w:tcPr>
            <w:tcW w:w="540" w:type="dxa"/>
            <w:vAlign w:val="bottom"/>
          </w:tcPr>
          <w:p>
            <w:pPr>
              <w:spacing w:after="0"/>
              <w:rPr>
                <w:sz w:val="15"/>
                <w:szCs w:val="15"/>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provided by investing activities from discontinued operations</w:t>
            </w:r>
          </w:p>
        </w:tc>
        <w:tc>
          <w:tcPr>
            <w:tcW w:w="260" w:type="dxa"/>
            <w:vAlign w:val="bottom"/>
          </w:tcPr>
          <w:p>
            <w:pPr>
              <w:spacing w:after="0"/>
              <w:rPr>
                <w:sz w:val="15"/>
                <w:szCs w:val="15"/>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used for investing activities</w:t>
            </w:r>
          </w:p>
        </w:tc>
        <w:tc>
          <w:tcPr>
            <w:tcW w:w="260" w:type="dxa"/>
            <w:vAlign w:val="bottom"/>
          </w:tcPr>
          <w:p>
            <w:pPr>
              <w:spacing w:after="0"/>
              <w:rPr>
                <w:sz w:val="15"/>
                <w:szCs w:val="15"/>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(42)</w:t>
            </w:r>
          </w:p>
        </w:tc>
        <w:tc>
          <w:tcPr>
            <w:tcW w:w="34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(276)</w:t>
            </w:r>
          </w:p>
        </w:tc>
        <w:tc>
          <w:tcPr>
            <w:tcW w:w="540" w:type="dxa"/>
            <w:vAlign w:val="bottom"/>
          </w:tcPr>
          <w:p>
            <w:pPr>
              <w:spacing w:after="0"/>
              <w:rPr>
                <w:sz w:val="15"/>
                <w:szCs w:val="15"/>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Skydance credit facility</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(720)</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 on preferred stock</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 on common stock</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(101)</w:t>
            </w:r>
          </w:p>
        </w:tc>
        <w:tc>
          <w:tcPr>
            <w:tcW w:w="54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payroll taxes in lieu of issuing shares for stock-based compensation</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(63)</w:t>
            </w:r>
          </w:p>
        </w:tc>
        <w:tc>
          <w:tcPr>
            <w:tcW w:w="3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(26)</w:t>
            </w:r>
          </w:p>
        </w:tc>
        <w:tc>
          <w:tcPr>
            <w:tcW w:w="54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to noncontrolling interests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(32)</w:t>
            </w:r>
          </w:p>
        </w:tc>
        <w:tc>
          <w:tcPr>
            <w:tcW w:w="54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used for financing activities</w:t>
            </w:r>
          </w:p>
        </w:tc>
        <w:tc>
          <w:tcPr>
            <w:tcW w:w="260" w:type="dxa"/>
            <w:vAlign w:val="bottom"/>
          </w:tcPr>
          <w:p>
            <w:pPr>
              <w:spacing w:after="0"/>
              <w:rPr>
                <w:sz w:val="15"/>
                <w:szCs w:val="15"/>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(821)</w:t>
            </w:r>
          </w:p>
        </w:tc>
        <w:tc>
          <w:tcPr>
            <w:tcW w:w="34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(159)</w:t>
            </w:r>
          </w:p>
        </w:tc>
        <w:tc>
          <w:tcPr>
            <w:tcW w:w="540" w:type="dxa"/>
            <w:vAlign w:val="bottom"/>
          </w:tcPr>
          <w:p>
            <w:pPr>
              <w:spacing w:after="0"/>
              <w:rPr>
                <w:sz w:val="15"/>
                <w:szCs w:val="15"/>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tcPr>
          <w:p>
            <w:pPr>
              <w:spacing w:after="0"/>
              <w:rPr>
                <w:sz w:val="15"/>
                <w:szCs w:val="15"/>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tcPr>
          <w:p>
            <w:pPr>
              <w:spacing w:after="0"/>
              <w:rPr>
                <w:sz w:val="15"/>
                <w:szCs w:val="15"/>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70</w:t>
            </w:r>
          </w:p>
        </w:tc>
        <w:tc>
          <w:tcPr>
            <w:tcW w:w="540" w:type="dxa"/>
            <w:vAlign w:val="bottom"/>
          </w:tcPr>
          <w:p>
            <w:pPr>
              <w:spacing w:after="0"/>
              <w:rPr>
                <w:sz w:val="15"/>
                <w:szCs w:val="15"/>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60" w:type="dxa"/>
            <w:vAlign w:val="bottom"/>
          </w:tcPr>
          <w:p>
            <w:pPr>
              <w:spacing w:after="0"/>
              <w:rPr>
                <w:sz w:val="15"/>
                <w:szCs w:val="15"/>
                <w:color w:val="auto"/>
              </w:rPr>
            </w:pPr>
          </w:p>
        </w:tc>
        <w:tc>
          <w:tcPr>
            <w:tcW w:w="9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(588)</w:t>
            </w:r>
          </w:p>
        </w:tc>
        <w:tc>
          <w:tcPr>
            <w:tcW w:w="34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(201)</w:t>
            </w:r>
          </w:p>
        </w:tc>
        <w:tc>
          <w:tcPr>
            <w:tcW w:w="540" w:type="dxa"/>
            <w:vAlign w:val="bottom"/>
          </w:tcPr>
          <w:p>
            <w:pPr>
              <w:spacing w:after="0"/>
              <w:rPr>
                <w:sz w:val="15"/>
                <w:szCs w:val="15"/>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 (Note 15)</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3,851</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2,661</w:t>
            </w:r>
          </w:p>
        </w:tc>
        <w:tc>
          <w:tcPr>
            <w:tcW w:w="5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2,460</w:t>
            </w:r>
          </w:p>
        </w:tc>
        <w:tc>
          <w:tcPr>
            <w:tcW w:w="0" w:type="dxa"/>
            <w:vAlign w:val="bottom"/>
          </w:tcPr>
          <w:p>
            <w:pPr>
              <w:spacing w:after="0"/>
              <w:rPr>
                <w:sz w:val="1"/>
                <w:szCs w:val="1"/>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 (Note 15)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3,263</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2,460</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2,443</w:t>
            </w:r>
          </w:p>
        </w:tc>
        <w:tc>
          <w:tcPr>
            <w:tcW w:w="0" w:type="dxa"/>
            <w:vAlign w:val="bottom"/>
          </w:tcPr>
          <w:p>
            <w:pPr>
              <w:spacing w:after="0"/>
              <w:rPr>
                <w:sz w:val="1"/>
                <w:szCs w:val="1"/>
                <w:color w:val="auto"/>
              </w:rPr>
            </w:pPr>
          </w:p>
        </w:tc>
      </w:tr>
      <w:tr>
        <w:trPr>
          <w:trHeight w:val="43"/>
        </w:trPr>
        <w:tc>
          <w:tcPr>
            <w:tcW w:w="7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400" w:top="744" w:right="419" w:bottom="1440" w:gutter="0" w:footer="0" w:header="0"/>
        </w:sectPr>
      </w:pPr>
    </w:p>
    <w:bookmarkStart w:id="6" w:name="page7"/>
    <w:bookmarkEnd w:id="6"/>
    <w:p>
      <w:pPr>
        <w:ind w:left="270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2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r>
      <w:tr>
        <w:trPr>
          <w:trHeight w:val="37"/>
        </w:trPr>
        <w:tc>
          <w:tcPr>
            <w:tcW w:w="22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65"/>
        </w:trPr>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7"/>
        </w:trPr>
        <w:tc>
          <w:tcPr>
            <w:tcW w:w="2240" w:type="dxa"/>
            <w:vAlign w:val="bottom"/>
          </w:tcPr>
          <w:p>
            <w:pPr>
              <w:spacing w:after="0"/>
              <w:rPr>
                <w:sz w:val="13"/>
                <w:szCs w:val="13"/>
                <w:color w:val="auto"/>
              </w:rPr>
            </w:pPr>
          </w:p>
        </w:tc>
        <w:tc>
          <w:tcPr>
            <w:tcW w:w="1080" w:type="dxa"/>
            <w:vAlign w:val="bottom"/>
            <w:gridSpan w:val="2"/>
          </w:tcPr>
          <w:p>
            <w:pPr>
              <w:jc w:val="center"/>
              <w:ind w:left="150"/>
              <w:spacing w:after="0" w:line="157" w:lineRule="exact"/>
              <w:rPr>
                <w:sz w:val="20"/>
                <w:szCs w:val="20"/>
                <w:color w:val="auto"/>
              </w:rPr>
            </w:pPr>
            <w:r>
              <w:rPr>
                <w:rFonts w:ascii="Times New Roman" w:cs="Times New Roman" w:eastAsia="Times New Roman" w:hAnsi="Times New Roman"/>
                <w:sz w:val="14"/>
                <w:szCs w:val="14"/>
                <w:b w:val="1"/>
                <w:bCs w:val="1"/>
                <w:color w:val="auto"/>
              </w:rPr>
              <w:t>Class A and B</w:t>
            </w:r>
          </w:p>
        </w:tc>
        <w:tc>
          <w:tcPr>
            <w:tcW w:w="260" w:type="dxa"/>
            <w:vAlign w:val="bottom"/>
          </w:tcPr>
          <w:p>
            <w:pPr>
              <w:spacing w:after="0"/>
              <w:rPr>
                <w:sz w:val="13"/>
                <w:szCs w:val="13"/>
                <w:color w:val="auto"/>
              </w:rPr>
            </w:pPr>
          </w:p>
        </w:tc>
        <w:tc>
          <w:tcPr>
            <w:tcW w:w="840" w:type="dxa"/>
            <w:vAlign w:val="bottom"/>
            <w:gridSpan w:val="2"/>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center"/>
              <w:ind w:right="170"/>
              <w:spacing w:after="0" w:line="157"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480" w:type="dxa"/>
            <w:vAlign w:val="bottom"/>
            <w:gridSpan w:val="2"/>
          </w:tcPr>
          <w:p>
            <w:pPr>
              <w:jc w:val="right"/>
              <w:ind w:right="110"/>
              <w:spacing w:after="0" w:line="15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80" w:type="dxa"/>
            <w:vAlign w:val="bottom"/>
            <w:gridSpan w:val="2"/>
          </w:tcPr>
          <w:p>
            <w:pPr>
              <w:jc w:val="center"/>
              <w:ind w:right="50"/>
              <w:spacing w:after="0" w:line="157" w:lineRule="exact"/>
              <w:rPr>
                <w:sz w:val="20"/>
                <w:szCs w:val="20"/>
                <w:color w:val="auto"/>
              </w:rPr>
            </w:pPr>
            <w:r>
              <w:rPr>
                <w:rFonts w:ascii="Times New Roman" w:cs="Times New Roman" w:eastAsia="Times New Roman" w:hAnsi="Times New Roman"/>
                <w:sz w:val="14"/>
                <w:szCs w:val="14"/>
                <w:b w:val="1"/>
                <w:bCs w:val="1"/>
                <w:color w:val="auto"/>
                <w:w w:val="98"/>
              </w:rPr>
              <w:t>Total Paramount</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0"/>
        </w:trPr>
        <w:tc>
          <w:tcPr>
            <w:tcW w:w="224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00" w:type="dxa"/>
            <w:vAlign w:val="bottom"/>
          </w:tcPr>
          <w:p>
            <w:pPr>
              <w:spacing w:after="0"/>
              <w:rPr>
                <w:sz w:val="14"/>
                <w:szCs w:val="1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(Accumulated</w:t>
            </w: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4"/>
                <w:szCs w:val="14"/>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5"/>
        </w:trPr>
        <w:tc>
          <w:tcPr>
            <w:tcW w:w="2240" w:type="dxa"/>
            <w:vAlign w:val="bottom"/>
          </w:tcPr>
          <w:p>
            <w:pPr>
              <w:spacing w:after="0"/>
              <w:rPr>
                <w:sz w:val="16"/>
                <w:szCs w:val="16"/>
                <w:color w:val="auto"/>
              </w:rPr>
            </w:pPr>
          </w:p>
        </w:tc>
        <w:tc>
          <w:tcPr>
            <w:tcW w:w="1080" w:type="dxa"/>
            <w:vAlign w:val="bottom"/>
            <w:gridSpan w:val="2"/>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6"/>
                <w:szCs w:val="16"/>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80" w:type="dxa"/>
            <w:vAlign w:val="bottom"/>
          </w:tcPr>
          <w:p>
            <w:pPr>
              <w:spacing w:after="0"/>
              <w:rPr>
                <w:sz w:val="16"/>
                <w:szCs w:val="16"/>
                <w:color w:val="auto"/>
              </w:rPr>
            </w:pPr>
          </w:p>
        </w:tc>
        <w:tc>
          <w:tcPr>
            <w:tcW w:w="900" w:type="dxa"/>
            <w:vAlign w:val="bottom"/>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80" w:type="dxa"/>
            <w:vAlign w:val="bottom"/>
          </w:tcPr>
          <w:p>
            <w:pPr>
              <w:spacing w:after="0"/>
              <w:rPr>
                <w:sz w:val="16"/>
                <w:szCs w:val="16"/>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6"/>
                <w:szCs w:val="16"/>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37"/>
        </w:trPr>
        <w:tc>
          <w:tcPr>
            <w:tcW w:w="2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9"/>
        </w:trPr>
        <w:tc>
          <w:tcPr>
            <w:tcW w:w="2240" w:type="dxa"/>
            <w:vAlign w:val="bottom"/>
          </w:tcPr>
          <w:p>
            <w:pPr>
              <w:spacing w:after="0"/>
              <w:rPr>
                <w:sz w:val="15"/>
                <w:szCs w:val="15"/>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7"/>
        </w:trPr>
        <w:tc>
          <w:tcPr>
            <w:tcW w:w="2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 (Predecessor)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674</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33,455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(22,958)</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7,626</w:t>
            </w:r>
          </w:p>
        </w:tc>
        <w:tc>
          <w:tcPr>
            <w:tcW w:w="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(1,419)</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16,705</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406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17,111</w:t>
            </w: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w:t>
            </w: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(244)</w:t>
            </w:r>
          </w:p>
        </w:tc>
        <w:tc>
          <w:tcPr>
            <w:tcW w:w="5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(244)</w:t>
            </w:r>
          </w:p>
        </w:tc>
        <w:tc>
          <w:tcPr>
            <w:tcW w:w="2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434</w:t>
            </w:r>
          </w:p>
        </w:tc>
        <w:tc>
          <w:tcPr>
            <w:tcW w:w="2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190</w:t>
            </w: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(45)</w:t>
            </w:r>
          </w:p>
        </w:tc>
        <w:tc>
          <w:tcPr>
            <w:tcW w:w="28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(45)</w:t>
            </w:r>
          </w:p>
        </w:tc>
        <w:tc>
          <w:tcPr>
            <w:tcW w:w="28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11"/>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treasury stock</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8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10)</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(22,958)</w:t>
            </w:r>
          </w:p>
        </w:tc>
        <w:tc>
          <w:tcPr>
            <w:tcW w:w="180" w:type="dxa"/>
            <w:vAlign w:val="bottom"/>
          </w:tcPr>
          <w:p>
            <w:pPr>
              <w:spacing w:after="0"/>
              <w:rPr>
                <w:sz w:val="15"/>
                <w:szCs w:val="15"/>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22,958</w:t>
            </w:r>
          </w:p>
        </w:tc>
        <w:tc>
          <w:tcPr>
            <w:tcW w:w="30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August 6, 2025 (Predecessor)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674</w:t>
            </w:r>
          </w:p>
        </w:tc>
        <w:tc>
          <w:tcPr>
            <w:tcW w:w="40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10,521</w:t>
            </w:r>
          </w:p>
        </w:tc>
        <w:tc>
          <w:tcPr>
            <w:tcW w:w="180" w:type="dxa"/>
            <w:vAlign w:val="bottom"/>
          </w:tcPr>
          <w:p>
            <w:pPr>
              <w:spacing w:after="0"/>
              <w:rPr>
                <w:sz w:val="15"/>
                <w:szCs w:val="15"/>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7,382</w:t>
            </w:r>
          </w:p>
        </w:tc>
        <w:tc>
          <w:tcPr>
            <w:tcW w:w="540" w:type="dxa"/>
            <w:vAlign w:val="bottom"/>
          </w:tcPr>
          <w:p>
            <w:pPr>
              <w:spacing w:after="0"/>
              <w:rPr>
                <w:sz w:val="15"/>
                <w:szCs w:val="15"/>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(1,464)</w:t>
            </w:r>
          </w:p>
        </w:tc>
        <w:tc>
          <w:tcPr>
            <w:tcW w:w="280" w:type="dxa"/>
            <w:vAlign w:val="bottom"/>
          </w:tcPr>
          <w:p>
            <w:pPr>
              <w:spacing w:after="0"/>
              <w:rPr>
                <w:sz w:val="15"/>
                <w:szCs w:val="15"/>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16,440</w:t>
            </w:r>
          </w:p>
        </w:tc>
        <w:tc>
          <w:tcPr>
            <w:tcW w:w="2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873</w:t>
            </w:r>
          </w:p>
        </w:tc>
        <w:tc>
          <w:tcPr>
            <w:tcW w:w="24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17,313</w:t>
            </w:r>
          </w:p>
        </w:tc>
      </w:tr>
      <w:tr>
        <w:trPr>
          <w:trHeight w:val="43"/>
        </w:trPr>
        <w:tc>
          <w:tcPr>
            <w:tcW w:w="2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4"/>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Paramount Global’s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basis (Note 2)</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(451)</w:t>
            </w:r>
          </w:p>
        </w:tc>
        <w:tc>
          <w:tcPr>
            <w:tcW w:w="180" w:type="dxa"/>
            <w:vAlign w:val="bottom"/>
          </w:tcPr>
          <w:p>
            <w:pPr>
              <w:spacing w:after="0"/>
              <w:rPr>
                <w:sz w:val="15"/>
                <w:szCs w:val="15"/>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(7,382)</w:t>
            </w:r>
          </w:p>
        </w:tc>
        <w:tc>
          <w:tcPr>
            <w:tcW w:w="540" w:type="dxa"/>
            <w:vAlign w:val="bottom"/>
          </w:tcPr>
          <w:p>
            <w:pPr>
              <w:spacing w:after="0"/>
              <w:rPr>
                <w:sz w:val="15"/>
                <w:szCs w:val="15"/>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1,464</w:t>
            </w:r>
          </w:p>
        </w:tc>
        <w:tc>
          <w:tcPr>
            <w:tcW w:w="280" w:type="dxa"/>
            <w:vAlign w:val="bottom"/>
          </w:tcPr>
          <w:p>
            <w:pPr>
              <w:spacing w:after="0"/>
              <w:rPr>
                <w:sz w:val="15"/>
                <w:szCs w:val="15"/>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(6,369)</w:t>
            </w:r>
          </w:p>
        </w:tc>
        <w:tc>
          <w:tcPr>
            <w:tcW w:w="2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376</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(5,993)</w:t>
            </w: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PIPE Transaction (Note 10)</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108</w:t>
            </w:r>
          </w:p>
        </w:tc>
        <w:tc>
          <w:tcPr>
            <w:tcW w:w="40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1,517</w:t>
            </w:r>
          </w:p>
        </w:tc>
        <w:tc>
          <w:tcPr>
            <w:tcW w:w="1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1,517</w:t>
            </w:r>
          </w:p>
        </w:tc>
        <w:tc>
          <w:tcPr>
            <w:tcW w:w="2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1,517</w:t>
            </w: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 of Skydance</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314</w:t>
            </w:r>
          </w:p>
        </w:tc>
        <w:tc>
          <w:tcPr>
            <w:tcW w:w="40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1,589</w:t>
            </w:r>
          </w:p>
        </w:tc>
        <w:tc>
          <w:tcPr>
            <w:tcW w:w="1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(1,167)</w:t>
            </w:r>
          </w:p>
        </w:tc>
        <w:tc>
          <w:tcPr>
            <w:tcW w:w="5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422</w:t>
            </w:r>
          </w:p>
        </w:tc>
        <w:tc>
          <w:tcPr>
            <w:tcW w:w="2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422</w:t>
            </w:r>
          </w:p>
        </w:tc>
      </w:tr>
      <w:tr>
        <w:trPr>
          <w:trHeight w:val="37"/>
        </w:trPr>
        <w:tc>
          <w:tcPr>
            <w:tcW w:w="2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August 7, 2025 (Successor)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1,096</w:t>
            </w:r>
          </w:p>
        </w:tc>
        <w:tc>
          <w:tcPr>
            <w:tcW w:w="40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13,176</w:t>
            </w:r>
          </w:p>
        </w:tc>
        <w:tc>
          <w:tcPr>
            <w:tcW w:w="180" w:type="dxa"/>
            <w:vAlign w:val="bottom"/>
          </w:tcPr>
          <w:p>
            <w:pPr>
              <w:spacing w:after="0"/>
              <w:rPr>
                <w:sz w:val="15"/>
                <w:szCs w:val="15"/>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(1,167)</w:t>
            </w:r>
          </w:p>
        </w:tc>
        <w:tc>
          <w:tcPr>
            <w:tcW w:w="540" w:type="dxa"/>
            <w:vAlign w:val="bottom"/>
          </w:tcPr>
          <w:p>
            <w:pPr>
              <w:spacing w:after="0"/>
              <w:rPr>
                <w:sz w:val="15"/>
                <w:szCs w:val="15"/>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12,010</w:t>
            </w:r>
          </w:p>
        </w:tc>
        <w:tc>
          <w:tcPr>
            <w:tcW w:w="2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1,249</w:t>
            </w:r>
          </w:p>
        </w:tc>
        <w:tc>
          <w:tcPr>
            <w:tcW w:w="24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13,259</w:t>
            </w:r>
          </w:p>
        </w:tc>
      </w:tr>
      <w:tr>
        <w:trPr>
          <w:trHeight w:val="37"/>
        </w:trPr>
        <w:tc>
          <w:tcPr>
            <w:tcW w:w="2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40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spacing w:after="0"/>
              <w:rPr>
                <w:sz w:val="15"/>
                <w:szCs w:val="15"/>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41</w:t>
            </w:r>
          </w:p>
        </w:tc>
        <w:tc>
          <w:tcPr>
            <w:tcW w:w="2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w:t>
            </w: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w:t>
            </w:r>
          </w:p>
        </w:tc>
        <w:tc>
          <w:tcPr>
            <w:tcW w:w="5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w:t>
            </w:r>
          </w:p>
        </w:tc>
      </w:tr>
      <w:tr>
        <w:trPr>
          <w:trHeight w:val="37"/>
        </w:trPr>
        <w:tc>
          <w:tcPr>
            <w:tcW w:w="2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 (Successor)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1,098</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13,159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(1,180)</w:t>
            </w:r>
          </w:p>
        </w:tc>
        <w:tc>
          <w:tcPr>
            <w:tcW w:w="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12,005</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1,266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13,271</w:t>
            </w:r>
          </w:p>
        </w:tc>
      </w:tr>
      <w:tr>
        <w:trPr>
          <w:trHeight w:val="43"/>
        </w:trPr>
        <w:tc>
          <w:tcPr>
            <w:tcW w:w="2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bl>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200" w:type="dxa"/>
            <w:vAlign w:val="bottom"/>
          </w:tcPr>
          <w:p>
            <w:pPr>
              <w:spacing w:after="0"/>
              <w:rPr>
                <w:sz w:val="14"/>
                <w:szCs w:val="14"/>
                <w:color w:val="auto"/>
              </w:rPr>
            </w:pPr>
          </w:p>
        </w:tc>
        <w:tc>
          <w:tcPr>
            <w:tcW w:w="108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9"/>
              </w:rPr>
              <w:t>Class A and B</w:t>
            </w:r>
          </w:p>
        </w:tc>
        <w:tc>
          <w:tcPr>
            <w:tcW w:w="20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70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Paramount</w:t>
            </w:r>
          </w:p>
        </w:tc>
        <w:tc>
          <w:tcPr>
            <w:tcW w:w="11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4"/>
                <w:szCs w:val="14"/>
                <w:color w:val="auto"/>
              </w:rPr>
            </w:pPr>
          </w:p>
        </w:tc>
        <w:tc>
          <w:tcPr>
            <w:tcW w:w="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7"/>
        </w:trPr>
        <w:tc>
          <w:tcPr>
            <w:tcW w:w="2200" w:type="dxa"/>
            <w:vAlign w:val="bottom"/>
          </w:tcPr>
          <w:p>
            <w:pPr>
              <w:spacing w:after="0"/>
              <w:rPr>
                <w:sz w:val="13"/>
                <w:szCs w:val="13"/>
                <w:color w:val="auto"/>
              </w:rPr>
            </w:pPr>
          </w:p>
        </w:tc>
        <w:tc>
          <w:tcPr>
            <w:tcW w:w="128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(Accumulated</w:t>
            </w:r>
          </w:p>
        </w:tc>
        <w:tc>
          <w:tcPr>
            <w:tcW w:w="1340" w:type="dxa"/>
            <w:vAlign w:val="bottom"/>
            <w:gridSpan w:val="2"/>
          </w:tcPr>
          <w:p>
            <w:pPr>
              <w:jc w:val="right"/>
              <w:ind w:right="13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4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1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200" w:type="dxa"/>
            <w:vAlign w:val="bottom"/>
          </w:tcPr>
          <w:p>
            <w:pPr>
              <w:spacing w:after="0"/>
              <w:rPr>
                <w:sz w:val="17"/>
                <w:szCs w:val="17"/>
                <w:color w:val="auto"/>
              </w:rPr>
            </w:pPr>
          </w:p>
        </w:tc>
        <w:tc>
          <w:tcPr>
            <w:tcW w:w="108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7"/>
                <w:szCs w:val="17"/>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94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60" w:type="dxa"/>
            <w:vAlign w:val="bottom"/>
          </w:tcPr>
          <w:p>
            <w:pPr>
              <w:spacing w:after="0"/>
              <w:rPr>
                <w:sz w:val="17"/>
                <w:szCs w:val="17"/>
                <w:color w:val="auto"/>
              </w:rPr>
            </w:pPr>
          </w:p>
        </w:tc>
        <w:tc>
          <w:tcPr>
            <w:tcW w:w="880" w:type="dxa"/>
            <w:vAlign w:val="bottom"/>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2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2024 (Predecessor)</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33,394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(22,958)</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7,487</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(1,604)</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16,320</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462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16,782</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85</w:t>
            </w:r>
          </w:p>
        </w:tc>
        <w:tc>
          <w:tcPr>
            <w:tcW w:w="460" w:type="dxa"/>
            <w:vAlign w:val="bottom"/>
          </w:tcPr>
          <w:p>
            <w:pPr>
              <w:spacing w:after="0"/>
              <w:rPr>
                <w:sz w:val="19"/>
                <w:szCs w:val="19"/>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dividends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(70)</w:t>
            </w:r>
          </w:p>
        </w:tc>
        <w:tc>
          <w:tcPr>
            <w:tcW w:w="4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(70)</w:t>
            </w:r>
          </w:p>
        </w:tc>
        <w:tc>
          <w:tcPr>
            <w:tcW w:w="460" w:type="dxa"/>
            <w:vAlign w:val="bottom"/>
          </w:tcPr>
          <w:p>
            <w:pPr>
              <w:spacing w:after="0"/>
              <w:rPr>
                <w:sz w:val="19"/>
                <w:szCs w:val="19"/>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(35)</w:t>
            </w:r>
          </w:p>
        </w:tc>
        <w:tc>
          <w:tcPr>
            <w:tcW w:w="4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(35)</w:t>
            </w:r>
          </w:p>
        </w:tc>
        <w:tc>
          <w:tcPr>
            <w:tcW w:w="460" w:type="dxa"/>
            <w:vAlign w:val="bottom"/>
          </w:tcPr>
          <w:p>
            <w:pPr>
              <w:spacing w:after="0"/>
              <w:rPr>
                <w:sz w:val="19"/>
                <w:szCs w:val="19"/>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447</w:t>
            </w:r>
          </w:p>
        </w:tc>
        <w:tc>
          <w:tcPr>
            <w:tcW w:w="2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140</w:t>
            </w:r>
          </w:p>
        </w:tc>
        <w:tc>
          <w:tcPr>
            <w:tcW w:w="3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140</w:t>
            </w:r>
          </w:p>
        </w:tc>
        <w:tc>
          <w:tcPr>
            <w:tcW w:w="460" w:type="dxa"/>
            <w:vAlign w:val="bottom"/>
          </w:tcPr>
          <w:p>
            <w:pPr>
              <w:spacing w:after="0"/>
              <w:rPr>
                <w:sz w:val="19"/>
                <w:szCs w:val="19"/>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1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Cancellation of treasury stock (Note</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(22,958)</w:t>
            </w:r>
          </w:p>
        </w:tc>
        <w:tc>
          <w:tcPr>
            <w:tcW w:w="12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22,958</w:t>
            </w:r>
          </w:p>
        </w:tc>
        <w:tc>
          <w:tcPr>
            <w:tcW w:w="340" w:type="dxa"/>
            <w:vAlign w:val="bottom"/>
          </w:tcPr>
          <w:p>
            <w:pPr>
              <w:spacing w:after="0"/>
              <w:rPr>
                <w:sz w:val="15"/>
                <w:szCs w:val="15"/>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August 6, 2025 (Predecessor)</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674</w:t>
            </w:r>
          </w:p>
        </w:tc>
        <w:tc>
          <w:tcPr>
            <w:tcW w:w="4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5"/>
                <w:szCs w:val="15"/>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10,521</w:t>
            </w:r>
          </w:p>
        </w:tc>
        <w:tc>
          <w:tcPr>
            <w:tcW w:w="12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7,382</w:t>
            </w:r>
          </w:p>
        </w:tc>
        <w:tc>
          <w:tcPr>
            <w:tcW w:w="480" w:type="dxa"/>
            <w:vAlign w:val="bottom"/>
          </w:tcPr>
          <w:p>
            <w:pPr>
              <w:spacing w:after="0"/>
              <w:rPr>
                <w:sz w:val="15"/>
                <w:szCs w:val="15"/>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(1,464)</w:t>
            </w:r>
          </w:p>
        </w:tc>
        <w:tc>
          <w:tcPr>
            <w:tcW w:w="360" w:type="dxa"/>
            <w:vAlign w:val="bottom"/>
          </w:tcPr>
          <w:p>
            <w:pPr>
              <w:spacing w:after="0"/>
              <w:rPr>
                <w:sz w:val="15"/>
                <w:szCs w:val="15"/>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16,440</w:t>
            </w:r>
          </w:p>
        </w:tc>
        <w:tc>
          <w:tcPr>
            <w:tcW w:w="460" w:type="dxa"/>
            <w:vAlign w:val="bottom"/>
          </w:tcPr>
          <w:p>
            <w:pPr>
              <w:spacing w:after="0"/>
              <w:rPr>
                <w:sz w:val="15"/>
                <w:szCs w:val="15"/>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873</w:t>
            </w:r>
          </w:p>
        </w:tc>
        <w:tc>
          <w:tcPr>
            <w:tcW w:w="220" w:type="dxa"/>
            <w:vAlign w:val="bottom"/>
          </w:tcPr>
          <w:p>
            <w:pPr>
              <w:spacing w:after="0"/>
              <w:rPr>
                <w:sz w:val="15"/>
                <w:szCs w:val="15"/>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17,313</w:t>
            </w:r>
          </w:p>
        </w:tc>
        <w:tc>
          <w:tcPr>
            <w:tcW w:w="0" w:type="dxa"/>
            <w:vAlign w:val="bottom"/>
          </w:tcPr>
          <w:p>
            <w:pPr>
              <w:spacing w:after="0"/>
              <w:rPr>
                <w:sz w:val="1"/>
                <w:szCs w:val="1"/>
                <w:color w:val="auto"/>
              </w:rPr>
            </w:pPr>
          </w:p>
        </w:tc>
      </w:tr>
      <w:tr>
        <w:trPr>
          <w:trHeight w:val="43"/>
        </w:trPr>
        <w:tc>
          <w:tcPr>
            <w:tcW w:w="2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Paramount Global’s</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basis (Note 2)</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(7,382)</w:t>
            </w:r>
          </w:p>
        </w:tc>
        <w:tc>
          <w:tcPr>
            <w:tcW w:w="480" w:type="dxa"/>
            <w:vAlign w:val="bottom"/>
          </w:tcPr>
          <w:p>
            <w:pPr>
              <w:spacing w:after="0"/>
              <w:rPr>
                <w:sz w:val="15"/>
                <w:szCs w:val="15"/>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1,464</w:t>
            </w:r>
          </w:p>
        </w:tc>
        <w:tc>
          <w:tcPr>
            <w:tcW w:w="360" w:type="dxa"/>
            <w:vAlign w:val="bottom"/>
          </w:tcPr>
          <w:p>
            <w:pPr>
              <w:spacing w:after="0"/>
              <w:rPr>
                <w:sz w:val="15"/>
                <w:szCs w:val="15"/>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(6,369)</w:t>
            </w:r>
          </w:p>
        </w:tc>
        <w:tc>
          <w:tcPr>
            <w:tcW w:w="460" w:type="dxa"/>
            <w:vAlign w:val="bottom"/>
          </w:tcPr>
          <w:p>
            <w:pPr>
              <w:spacing w:after="0"/>
              <w:rPr>
                <w:sz w:val="15"/>
                <w:szCs w:val="15"/>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376</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(5,993)</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PIPE Transaction (Note 10)</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108</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1,517</w:t>
            </w: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1,517</w:t>
            </w:r>
          </w:p>
        </w:tc>
        <w:tc>
          <w:tcPr>
            <w:tcW w:w="460" w:type="dxa"/>
            <w:vAlign w:val="bottom"/>
          </w:tcPr>
          <w:p>
            <w:pPr>
              <w:spacing w:after="0"/>
              <w:rPr>
                <w:sz w:val="19"/>
                <w:szCs w:val="19"/>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Addition of Skydance</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314</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1,589</w:t>
            </w: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(1,167)</w:t>
            </w:r>
          </w:p>
        </w:tc>
        <w:tc>
          <w:tcPr>
            <w:tcW w:w="4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422</w:t>
            </w:r>
          </w:p>
        </w:tc>
        <w:tc>
          <w:tcPr>
            <w:tcW w:w="460" w:type="dxa"/>
            <w:vAlign w:val="bottom"/>
          </w:tcPr>
          <w:p>
            <w:pPr>
              <w:spacing w:after="0"/>
              <w:rPr>
                <w:sz w:val="19"/>
                <w:szCs w:val="19"/>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37"/>
        </w:trPr>
        <w:tc>
          <w:tcPr>
            <w:tcW w:w="2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August 7, 2025 (Successor)</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1,096</w:t>
            </w:r>
          </w:p>
        </w:tc>
        <w:tc>
          <w:tcPr>
            <w:tcW w:w="4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5"/>
                <w:szCs w:val="15"/>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13,176</w:t>
            </w:r>
          </w:p>
        </w:tc>
        <w:tc>
          <w:tcPr>
            <w:tcW w:w="12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(1,167)</w:t>
            </w:r>
          </w:p>
        </w:tc>
        <w:tc>
          <w:tcPr>
            <w:tcW w:w="480" w:type="dxa"/>
            <w:vAlign w:val="bottom"/>
          </w:tcPr>
          <w:p>
            <w:pPr>
              <w:spacing w:after="0"/>
              <w:rPr>
                <w:sz w:val="15"/>
                <w:szCs w:val="15"/>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12,010</w:t>
            </w:r>
          </w:p>
        </w:tc>
        <w:tc>
          <w:tcPr>
            <w:tcW w:w="460" w:type="dxa"/>
            <w:vAlign w:val="bottom"/>
          </w:tcPr>
          <w:p>
            <w:pPr>
              <w:spacing w:after="0"/>
              <w:rPr>
                <w:sz w:val="15"/>
                <w:szCs w:val="15"/>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1,249</w:t>
            </w:r>
          </w:p>
        </w:tc>
        <w:tc>
          <w:tcPr>
            <w:tcW w:w="220" w:type="dxa"/>
            <w:vAlign w:val="bottom"/>
          </w:tcPr>
          <w:p>
            <w:pPr>
              <w:spacing w:after="0"/>
              <w:rPr>
                <w:sz w:val="15"/>
                <w:szCs w:val="15"/>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13,259</w:t>
            </w:r>
          </w:p>
        </w:tc>
        <w:tc>
          <w:tcPr>
            <w:tcW w:w="0" w:type="dxa"/>
            <w:vAlign w:val="bottom"/>
          </w:tcPr>
          <w:p>
            <w:pPr>
              <w:spacing w:after="0"/>
              <w:rPr>
                <w:sz w:val="1"/>
                <w:szCs w:val="1"/>
                <w:color w:val="auto"/>
              </w:rPr>
            </w:pPr>
          </w:p>
        </w:tc>
      </w:tr>
      <w:tr>
        <w:trPr>
          <w:trHeight w:val="37"/>
        </w:trPr>
        <w:tc>
          <w:tcPr>
            <w:tcW w:w="2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5"/>
                <w:szCs w:val="15"/>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41</w:t>
            </w:r>
          </w:p>
        </w:tc>
        <w:tc>
          <w:tcPr>
            <w:tcW w:w="460" w:type="dxa"/>
            <w:vAlign w:val="bottom"/>
          </w:tcPr>
          <w:p>
            <w:pPr>
              <w:spacing w:after="0"/>
              <w:rPr>
                <w:sz w:val="15"/>
                <w:szCs w:val="15"/>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dividends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(58)</w:t>
            </w:r>
          </w:p>
        </w:tc>
        <w:tc>
          <w:tcPr>
            <w:tcW w:w="460" w:type="dxa"/>
            <w:vAlign w:val="bottom"/>
          </w:tcPr>
          <w:p>
            <w:pPr>
              <w:spacing w:after="0"/>
              <w:rPr>
                <w:sz w:val="19"/>
                <w:szCs w:val="19"/>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w:t>
            </w:r>
          </w:p>
        </w:tc>
        <w:tc>
          <w:tcPr>
            <w:tcW w:w="4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tcPr>
          <w:p>
            <w:pPr>
              <w:spacing w:after="0"/>
              <w:rPr>
                <w:sz w:val="19"/>
                <w:szCs w:val="19"/>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25</w:t>
            </w:r>
          </w:p>
        </w:tc>
        <w:tc>
          <w:tcPr>
            <w:tcW w:w="3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25</w:t>
            </w:r>
          </w:p>
        </w:tc>
        <w:tc>
          <w:tcPr>
            <w:tcW w:w="460" w:type="dxa"/>
            <w:vAlign w:val="bottom"/>
          </w:tcPr>
          <w:p>
            <w:pPr>
              <w:spacing w:after="0"/>
              <w:rPr>
                <w:sz w:val="19"/>
                <w:szCs w:val="19"/>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37"/>
        </w:trPr>
        <w:tc>
          <w:tcPr>
            <w:tcW w:w="2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2025 (Successor)</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1,098</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13,159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(1,180)</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25</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12,005</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1,266</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13,271</w:t>
            </w:r>
          </w:p>
        </w:tc>
        <w:tc>
          <w:tcPr>
            <w:tcW w:w="0" w:type="dxa"/>
            <w:vAlign w:val="bottom"/>
          </w:tcPr>
          <w:p>
            <w:pPr>
              <w:spacing w:after="0"/>
              <w:rPr>
                <w:sz w:val="1"/>
                <w:szCs w:val="1"/>
                <w:color w:val="auto"/>
              </w:rPr>
            </w:pPr>
          </w:p>
        </w:tc>
      </w:tr>
      <w:tr>
        <w:trPr>
          <w:trHeight w:val="43"/>
        </w:trPr>
        <w:tc>
          <w:tcPr>
            <w:tcW w:w="2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sectPr>
      </w:pPr>
    </w:p>
    <w:bookmarkStart w:id="7" w:name="page8"/>
    <w:bookmarkEnd w:id="7"/>
    <w:p>
      <w:pPr>
        <w:ind w:left="270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2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234" w:lineRule="exact"/>
        <w:rPr>
          <w:sz w:val="20"/>
          <w:szCs w:val="20"/>
          <w:color w:val="auto"/>
        </w:rPr>
      </w:pPr>
    </w:p>
    <w:tbl>
      <w:tblPr>
        <w:tblLayout w:type="fixed"/>
        <w:tblInd w:w="180" w:type="dxa"/>
        <w:tblCellMar>
          <w:top w:w="0" w:type="dxa"/>
          <w:left w:w="0" w:type="dxa"/>
          <w:bottom w:w="0" w:type="dxa"/>
          <w:right w:w="0" w:type="dxa"/>
        </w:tblCellMar>
      </w:tblPr>
      <w:tr>
        <w:trPr>
          <w:trHeight w:val="212"/>
        </w:trPr>
        <w:tc>
          <w:tcPr>
            <w:tcW w:w="2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2024</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1060" w:type="dxa"/>
            <w:vAlign w:val="bottom"/>
            <w:gridSpan w:val="2"/>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Class A and B</w:t>
            </w:r>
          </w:p>
        </w:tc>
        <w:tc>
          <w:tcPr>
            <w:tcW w:w="20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1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Total Paramount</w:t>
            </w:r>
          </w:p>
        </w:tc>
        <w:tc>
          <w:tcPr>
            <w:tcW w:w="11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4"/>
                <w:szCs w:val="14"/>
                <w:color w:val="auto"/>
              </w:rPr>
            </w:pPr>
          </w:p>
        </w:tc>
        <w:tc>
          <w:tcPr>
            <w:tcW w:w="5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126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5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160" w:type="dxa"/>
            <w:vAlign w:val="bottom"/>
            <w:gridSpan w:val="2"/>
          </w:tcPr>
          <w:p>
            <w:pPr>
              <w:jc w:val="center"/>
              <w:ind w:right="70"/>
              <w:spacing w:after="0" w:line="15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06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80" w:type="dxa"/>
            <w:vAlign w:val="bottom"/>
          </w:tcPr>
          <w:p>
            <w:pPr>
              <w:spacing w:after="0"/>
              <w:rPr>
                <w:sz w:val="16"/>
                <w:szCs w:val="16"/>
                <w:color w:val="auto"/>
              </w:rPr>
            </w:pPr>
          </w:p>
        </w:tc>
        <w:tc>
          <w:tcPr>
            <w:tcW w:w="1020" w:type="dxa"/>
            <w:vAlign w:val="bottom"/>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6"/>
                <w:szCs w:val="16"/>
                <w:color w:val="auto"/>
              </w:rPr>
            </w:pPr>
          </w:p>
        </w:tc>
        <w:tc>
          <w:tcPr>
            <w:tcW w:w="880" w:type="dxa"/>
            <w:vAlign w:val="bottom"/>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340" w:type="dxa"/>
            <w:vAlign w:val="bottom"/>
          </w:tcPr>
          <w:p>
            <w:pPr>
              <w:spacing w:after="0"/>
              <w:rPr>
                <w:sz w:val="16"/>
                <w:szCs w:val="16"/>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200" w:type="dxa"/>
            <w:vAlign w:val="bottom"/>
          </w:tcPr>
          <w:p>
            <w:pPr>
              <w:spacing w:after="0"/>
              <w:rPr>
                <w:sz w:val="16"/>
                <w:szCs w:val="16"/>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7"/>
        </w:trPr>
        <w:tc>
          <w:tcPr>
            <w:tcW w:w="2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667</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33,299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(22,958)</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7,779</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(1,624)</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16,497</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449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16,946</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9"/>
                <w:szCs w:val="19"/>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65</w:t>
            </w:r>
          </w:p>
        </w:tc>
        <w:tc>
          <w:tcPr>
            <w:tcW w:w="34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w:t>
            </w:r>
          </w:p>
        </w:tc>
        <w:tc>
          <w:tcPr>
            <w:tcW w:w="48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(35)</w:t>
            </w:r>
          </w:p>
        </w:tc>
        <w:tc>
          <w:tcPr>
            <w:tcW w:w="34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48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100</w:t>
            </w:r>
          </w:p>
        </w:tc>
        <w:tc>
          <w:tcPr>
            <w:tcW w:w="28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100</w:t>
            </w:r>
          </w:p>
        </w:tc>
        <w:tc>
          <w:tcPr>
            <w:tcW w:w="34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7"/>
        </w:trPr>
        <w:tc>
          <w:tcPr>
            <w:tcW w:w="2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667</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33,364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(22,958)</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7,745</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(1,524)</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16,628</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447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17,075</w:t>
            </w:r>
          </w:p>
        </w:tc>
        <w:tc>
          <w:tcPr>
            <w:tcW w:w="0" w:type="dxa"/>
            <w:vAlign w:val="bottom"/>
          </w:tcPr>
          <w:p>
            <w:pPr>
              <w:spacing w:after="0"/>
              <w:rPr>
                <w:sz w:val="1"/>
                <w:szCs w:val="1"/>
                <w:color w:val="auto"/>
              </w:rPr>
            </w:pPr>
          </w:p>
        </w:tc>
      </w:tr>
      <w:tr>
        <w:trPr>
          <w:trHeight w:val="43"/>
        </w:trPr>
        <w:tc>
          <w:tcPr>
            <w:tcW w:w="2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3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1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8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9"/>
              </w:rPr>
              <w:t>Class A and B</w:t>
            </w:r>
          </w:p>
        </w:tc>
        <w:tc>
          <w:tcPr>
            <w:tcW w:w="18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Paramount</w:t>
            </w:r>
          </w:p>
        </w:tc>
        <w:tc>
          <w:tcPr>
            <w:tcW w:w="11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4"/>
                <w:szCs w:val="14"/>
                <w:color w:val="auto"/>
              </w:rPr>
            </w:pPr>
          </w:p>
        </w:tc>
        <w:tc>
          <w:tcPr>
            <w:tcW w:w="5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26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3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4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1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7"/>
                <w:szCs w:val="17"/>
                <w:color w:val="auto"/>
              </w:rPr>
            </w:pPr>
          </w:p>
        </w:tc>
        <w:tc>
          <w:tcPr>
            <w:tcW w:w="108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7"/>
                <w:szCs w:val="17"/>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80" w:type="dxa"/>
            <w:vAlign w:val="bottom"/>
          </w:tcPr>
          <w:p>
            <w:pPr>
              <w:spacing w:after="0"/>
              <w:rPr>
                <w:sz w:val="17"/>
                <w:szCs w:val="17"/>
                <w:color w:val="auto"/>
              </w:rPr>
            </w:pPr>
          </w:p>
        </w:tc>
        <w:tc>
          <w:tcPr>
            <w:tcW w:w="900" w:type="dxa"/>
            <w:vAlign w:val="bottom"/>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60" w:type="dxa"/>
            <w:vAlign w:val="bottom"/>
          </w:tcPr>
          <w:p>
            <w:pPr>
              <w:spacing w:after="0"/>
              <w:rPr>
                <w:sz w:val="17"/>
                <w:szCs w:val="17"/>
                <w:color w:val="auto"/>
              </w:rPr>
            </w:pPr>
          </w:p>
        </w:tc>
        <w:tc>
          <w:tcPr>
            <w:tcW w:w="880" w:type="dxa"/>
            <w:vAlign w:val="bottom"/>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320" w:type="dxa"/>
            <w:vAlign w:val="bottom"/>
          </w:tcPr>
          <w:p>
            <w:pPr>
              <w:spacing w:after="0"/>
              <w:rPr>
                <w:sz w:val="17"/>
                <w:szCs w:val="17"/>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220" w:type="dxa"/>
            <w:vAlign w:val="bottom"/>
          </w:tcPr>
          <w:p>
            <w:pPr>
              <w:spacing w:after="0"/>
              <w:rPr>
                <w:sz w:val="17"/>
                <w:szCs w:val="17"/>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10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653</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33,210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13,829</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(1,556)</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22,526</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524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23,050</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compensation</w:t>
            </w:r>
          </w:p>
        </w:tc>
        <w:tc>
          <w:tcPr>
            <w:tcW w:w="680" w:type="dxa"/>
            <w:vAlign w:val="bottom"/>
            <w:vMerge w:val="restart"/>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4"/>
                <w:szCs w:val="14"/>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spacing w:after="0"/>
              <w:rPr>
                <w:sz w:val="14"/>
                <w:szCs w:val="14"/>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4"/>
                <w:szCs w:val="14"/>
                <w:color w:val="auto"/>
              </w:rPr>
            </w:pPr>
          </w:p>
        </w:tc>
        <w:tc>
          <w:tcPr>
            <w:tcW w:w="7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color w:val="auto"/>
              </w:rPr>
              <w:t>154</w:t>
            </w:r>
          </w:p>
        </w:tc>
        <w:tc>
          <w:tcPr>
            <w:tcW w:w="320" w:type="dxa"/>
            <w:vAlign w:val="bottom"/>
          </w:tcPr>
          <w:p>
            <w:pPr>
              <w:spacing w:after="0"/>
              <w:rPr>
                <w:sz w:val="14"/>
                <w:szCs w:val="14"/>
                <w:color w:val="auto"/>
              </w:rPr>
            </w:pPr>
          </w:p>
        </w:tc>
        <w:tc>
          <w:tcPr>
            <w:tcW w:w="84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3"/>
        </w:trPr>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activity</w:t>
            </w:r>
          </w:p>
        </w:tc>
        <w:tc>
          <w:tcPr>
            <w:tcW w:w="6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conversion</w:t>
            </w:r>
          </w:p>
        </w:tc>
        <w:tc>
          <w:tcPr>
            <w:tcW w:w="68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8"/>
                <w:szCs w:val="18"/>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spacing w:after="0"/>
              <w:rPr>
                <w:sz w:val="15"/>
                <w:szCs w:val="15"/>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(14)</w:t>
            </w:r>
          </w:p>
        </w:tc>
        <w:tc>
          <w:tcPr>
            <w:tcW w:w="480" w:type="dxa"/>
            <w:vAlign w:val="bottom"/>
          </w:tcPr>
          <w:p>
            <w:pPr>
              <w:spacing w:after="0"/>
              <w:rPr>
                <w:sz w:val="15"/>
                <w:szCs w:val="15"/>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(14)</w:t>
            </w:r>
          </w:p>
        </w:tc>
        <w:tc>
          <w:tcPr>
            <w:tcW w:w="320" w:type="dxa"/>
            <w:vAlign w:val="bottom"/>
          </w:tcPr>
          <w:p>
            <w:pPr>
              <w:spacing w:after="0"/>
              <w:rPr>
                <w:sz w:val="15"/>
                <w:szCs w:val="15"/>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spacing w:after="0"/>
              <w:rPr>
                <w:sz w:val="15"/>
                <w:szCs w:val="15"/>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(104)</w:t>
            </w:r>
          </w:p>
        </w:tc>
        <w:tc>
          <w:tcPr>
            <w:tcW w:w="480" w:type="dxa"/>
            <w:vAlign w:val="bottom"/>
          </w:tcPr>
          <w:p>
            <w:pPr>
              <w:spacing w:after="0"/>
              <w:rPr>
                <w:sz w:val="15"/>
                <w:szCs w:val="15"/>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(104)</w:t>
            </w:r>
          </w:p>
        </w:tc>
        <w:tc>
          <w:tcPr>
            <w:tcW w:w="320" w:type="dxa"/>
            <w:vAlign w:val="bottom"/>
          </w:tcPr>
          <w:p>
            <w:pPr>
              <w:spacing w:after="0"/>
              <w:rPr>
                <w:sz w:val="15"/>
                <w:szCs w:val="15"/>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spacing w:after="0"/>
              <w:rPr>
                <w:sz w:val="15"/>
                <w:szCs w:val="15"/>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(115)</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23"/>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(5,966)</w:t>
            </w:r>
          </w:p>
        </w:tc>
        <w:tc>
          <w:tcPr>
            <w:tcW w:w="480" w:type="dxa"/>
            <w:vAlign w:val="bottom"/>
          </w:tcPr>
          <w:p>
            <w:pPr>
              <w:spacing w:after="0"/>
              <w:rPr>
                <w:sz w:val="19"/>
                <w:szCs w:val="19"/>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(5,966)</w:t>
            </w:r>
          </w:p>
        </w:tc>
        <w:tc>
          <w:tcPr>
            <w:tcW w:w="32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spacing w:after="0"/>
              <w:rPr>
                <w:sz w:val="15"/>
                <w:szCs w:val="15"/>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32</w:t>
            </w:r>
          </w:p>
        </w:tc>
        <w:tc>
          <w:tcPr>
            <w:tcW w:w="360" w:type="dxa"/>
            <w:vAlign w:val="bottom"/>
          </w:tcPr>
          <w:p>
            <w:pPr>
              <w:spacing w:after="0"/>
              <w:rPr>
                <w:sz w:val="15"/>
                <w:szCs w:val="15"/>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tcPr>
          <w:p>
            <w:pPr>
              <w:spacing w:after="0"/>
              <w:rPr>
                <w:sz w:val="15"/>
                <w:szCs w:val="15"/>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37"/>
        </w:trPr>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667</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33,364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7,745</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(1,524)</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16,628</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447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17,075</w:t>
            </w:r>
          </w:p>
        </w:tc>
        <w:tc>
          <w:tcPr>
            <w:tcW w:w="0" w:type="dxa"/>
            <w:vAlign w:val="bottom"/>
          </w:tcPr>
          <w:p>
            <w:pPr>
              <w:spacing w:after="0"/>
              <w:rPr>
                <w:sz w:val="1"/>
                <w:szCs w:val="1"/>
                <w:color w:val="auto"/>
              </w:rPr>
            </w:pPr>
          </w:p>
        </w:tc>
      </w:tr>
      <w:tr>
        <w:trPr>
          <w:trHeight w:val="43"/>
        </w:trPr>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823"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DESCRIPTION OF BUSINESS AND BASIS OF PRESENTATION</w:t>
      </w:r>
    </w:p>
    <w:p>
      <w:pPr>
        <w:spacing w:after="0" w:line="1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i w:val="1"/>
          <w:iCs w:val="1"/>
          <w:color w:val="auto"/>
        </w:rPr>
        <w:t>Description of Business</w:t>
      </w:r>
      <w:r>
        <w:rPr>
          <w:rFonts w:ascii="Times New Roman" w:cs="Times New Roman" w:eastAsia="Times New Roman" w:hAnsi="Times New Roman"/>
          <w:sz w:val="19"/>
          <w:szCs w:val="19"/>
          <w:color w:val="auto"/>
        </w:rPr>
        <w:t>—Paramount Skydance Corporation is a global media and entertainment company with a portfolio that includes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Paramount Pictures, Paramount Television, CBS, CBS News, CBS Sports, Nickelodeon, MTV, BET, Comedy Central, Showtime, Paramount+, Pluto TV, and Skydance's Animation, Film, Television, Interactive/Games, and Sports divisions. The Company is comprised of three segments: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Direct-to-Consumer</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(see Note 13). We are in the process of transitioning our reporting structure into three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new segments: Studios, Direct-to-Consumer, and TV Media, which will be completed and reflected in our Quarterly Report on Form 10-Q for the first quarter of 2026. References to “Paramount,” the “Company,” “we,” “us” and “our” refer to Paramount Skydance Corporation and its consolidated subsidiaries, unless the context otherwise requires.</w:t>
      </w:r>
    </w:p>
    <w:p>
      <w:pPr>
        <w:spacing w:after="0" w:line="20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9"/>
          <w:szCs w:val="19"/>
          <w:i w:val="1"/>
          <w:iCs w:val="1"/>
          <w:color w:val="auto"/>
        </w:rPr>
        <w:t>The NAI Transaction</w:t>
      </w:r>
      <w:r>
        <w:rPr>
          <w:rFonts w:ascii="Times New Roman" w:cs="Times New Roman" w:eastAsia="Times New Roman" w:hAnsi="Times New Roman"/>
          <w:sz w:val="19"/>
          <w:szCs w:val="19"/>
          <w:color w:val="auto"/>
        </w:rPr>
        <w:t>—On August 7, 2025, pursuant to a purchase and sale agreement dated July 7, 2024, certain affiliates of investors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Skydance Media, LLC (“Skydance”), comprised of entities controlled by the Ellison Family (as defined below), and affiliates of RedBird Capital Partners (collectively the “NAI Equity Investors”), purchased all of the outstanding equity interests of National Amusements, Inc. (“NAI”), which had previously been the controlling stockholder of Paramount Global, from the shareholders of NAI (the “NAI Transaction”).</w:t>
      </w:r>
    </w:p>
    <w:p>
      <w:pPr>
        <w:spacing w:after="0" w:line="1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i w:val="1"/>
          <w:iCs w:val="1"/>
          <w:color w:val="auto"/>
        </w:rPr>
        <w:t>The Transactions</w:t>
      </w:r>
      <w:r>
        <w:rPr>
          <w:rFonts w:ascii="Times New Roman" w:cs="Times New Roman" w:eastAsia="Times New Roman" w:hAnsi="Times New Roman"/>
          <w:sz w:val="19"/>
          <w:szCs w:val="19"/>
          <w:color w:val="auto"/>
        </w:rPr>
        <w:t>—Also on August 7, 2025 (the “Closing Date”), following the completion of the NAI Transaction and pursuant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 Agreement dated as of July 7, 2024, Paramount Global and Skydance became wholly-owned subsidiaries of Paramount Skydance Corporation (the transactions contemplated by the Transaction Agreement, the “Transactions”). Paramount Skydance Corporation was formerly known as New Pluto Global, Inc., which was formed on June 3, 2024 for purposes of consummating the Transactions and was a wholly-owned direct subsidiary of Paramount Global prior to the closing of the Transactions when, through a series of mergers contemplated by the Transaction Agreement, it became the holding company of Paramount Global and Skydance.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Concurrent with the NAI Transaction, the NAI Equity Investors and certain other affiliates of investors in Skydance made an investment of $6.0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billion into Paramount Skydance Corporation (the “PIPE Transaction”) in exchange for 400 million newly issued shares of Class B common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of Paramount Skydance Corporation (“Paramount Skydance Corporation Class B Common Stock”) for a purchase price of $15.00 per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share, and the NAI Equity Investors also received warrants to purchase 200 million shares of Paramount Skydance Corporation Class B Common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at an initial exercise price of $30.50 per share (subject to customary anti-dilution adjustments), which expire five years after issuance.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$4.45 billion of the PIPE Transaction investment was used to fund the cash-stock election discussed below and $1.52 billion of cash was provided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Company.</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The Transactions also included: (1) a transaction pursuant to which each outstanding Skydance membership unit held by Skydance investors and each Skydance Phantom Unit was converted into the right to receive the applicable portion of 316.7 million shares of Paramount Skydance Corporation Class B Common Stock (313.8 million shares after reduction in connection with certain tax withholding requirements), and (2) a cash-stock election offered to holders of Paramount Global common stock pursuant to which (a) shares of Paramount Global Class A Common Stock held by stockholders other than NAI or its subsidiaries were converted, at the stockholders’ election, into the right to receive either $23.00 in cash (“Class A Cash Consideration”) or 1.5333 shares of Paramount Skydance Corporation Class B Common Stock (“Class A Stock Consideration”), and (b) shares of Paramount Global Class B Common Stock held by stockholders other than NAI or its subsidiaries, the NAI Equity Investors and certain other affiliates of investors in Skydance referred to above were converted, at the stockholders’ election, into the right to receive either $15.00 in cash (“Class B Cash Consideration”), subject to proration, or one share of Paramount Skydance Corporation Class B Common Stock (“Class B Stock Consideration”). The shares of Paramount Class A Common Stock held by NAI and its subsidiaries converted into shares of Class A common stock, par value $0.001 per share. Shares of Paramount Global Class A Common Stock for which elections to receive Class A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9" w:name="page10"/>
    <w:bookmarkEnd w:id="9"/>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9"/>
          <w:szCs w:val="19"/>
          <w:color w:val="auto"/>
        </w:rPr>
        <w:t>Consideration or Class A Stock Consideration were not made or were validly revoked were automatically converted into Class A Stock Consideration. Shares of Paramount Global Class B Common Stock for which elections to receive Class B Cash Consideration were not made or were validly revoked were converted automatically into one share of Paramount Skydance Corporation Class B Common Stock. See Note 10.</w:t>
      </w:r>
    </w:p>
    <w:p>
      <w:pPr>
        <w:spacing w:after="0" w:line="19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Shares of Paramount Skydance Corporation Class B Common Stock now trade on the Nasdaq Stock Market LLC (“Nasdaq”) under the ticker symbol “PSKY”. All shares of Paramount Global Class A Common Stock and Class B Common Stock have been delisted from Nasdaq and have been cancelled and ceased to exist.</w:t>
      </w:r>
    </w:p>
    <w:p>
      <w:pPr>
        <w:spacing w:after="0" w:line="1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Holders of shares of Class A common stock of Paramount Skydance Corporation (“Paramount Skydance Corporation Class A Common Stock”) are entitled to one vote per share with respect to all matters on which the holders of Paramount Skydance Corporation common stock are entitled to vote. Holders of Paramount Skydance Corporation Class B Common Stock do not have voting rights. Following the closing of the Transactions and the NAI Transaction, NAI, which was renamed Harbor Lights Entertainment, Inc., and its subsidiaries held 100.0% of the Paramount Skydance Corporation Class A Common Stock. Accordingly, entities controlled by the Ellison Family (as defined below) indirectly hold approximately 77.5% of the Paramount Skydance Corporation Class A Common Stock through their collective approximate 77.5% ownership interest in Harbor Lights Entertainment, Inc., and as a result the Ellison Family is the controlling stockholder of Paramount. For the purpose of determining the controlling ownership of Paramount, the Ellison family is comprised of Lawrence Ellison and David Ellison (the “Ellison Family”). David Ellison is the son of Lawrence Ellison, and Lawrence Ellison and David Ellison are accordingly considered immediate family members. The Ellison Family either individually or through ownership of various entities are collectively the ultimate parent of Paramount (“Ultimate Parent”).</w:t>
      </w:r>
    </w:p>
    <w:p>
      <w:pPr>
        <w:spacing w:after="0" w:line="1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i w:val="1"/>
          <w:iCs w:val="1"/>
          <w:color w:val="auto"/>
        </w:rPr>
        <w:t>Pushdown of Ultimate Parent’s Basis</w:t>
      </w:r>
      <w:r>
        <w:rPr>
          <w:rFonts w:ascii="Times New Roman" w:cs="Times New Roman" w:eastAsia="Times New Roman" w:hAnsi="Times New Roman"/>
          <w:sz w:val="19"/>
          <w:szCs w:val="19"/>
          <w:color w:val="auto"/>
        </w:rPr>
        <w:t>— At the time Paramount Global and Skydance became subsidiaries of Paramount Skydance Corporation,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Ellison Family controlled both Paramount Global and Skydance, and as a result, this transaction has been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(see Note 2). As a result, the net assets of Paramount Global were recorded at their fair value as of this date. Since the net assets of Skydance were already at the Ultimate Parent’s basis, no adjustment to the fair value of net assets was necessary, and Skydance was combined with Paramount Global’s net assets at the Ultimate Parent’s basis as of this date.</w:t>
      </w:r>
    </w:p>
    <w:p>
      <w:pPr>
        <w:spacing w:after="0" w:line="2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9"/>
          <w:szCs w:val="19"/>
          <w:color w:val="auto"/>
        </w:rPr>
        <w:t>Our consolidated financial statements and footnote disclosures are presented in two distinct periods to indicate the pushdown of the Ultimate Parent’s basis, which resulted in a new basis of accounting. The periods prior to the closing of the Transactions include only Paramount Global and are identified as “Predecessor”, and the periods beginning on August 7, 2025 reflect Paramount Skydance Corporation and are identified as “Successor”. Due to the application of pushdown accounting, the results of operations, financial position and cash flows are not comparable between the Successor and Predecessor periods. Paramount Global has been identified as the predecessor entity to Paramount Skydance Corporation based on the relative size and fair value of Paramount Global and Skydance, and the fact that Paramount Global was an existing publicly traded company prior to the completion of the Transactions. No single factor was the sole determinant in the overall conclusion that Paramount Global is the predecessor; rather all factors were considered in arriving at such conclusion.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0" w:name="page11"/>
    <w:bookmarkEnd w:id="10"/>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i w:val="1"/>
          <w:iCs w:val="1"/>
          <w:color w:val="auto"/>
        </w:rPr>
        <w:t>Basis of Presentation—</w:t>
      </w:r>
      <w:r>
        <w:rPr>
          <w:rFonts w:ascii="Times New Roman" w:cs="Times New Roman" w:eastAsia="Times New Roman" w:hAnsi="Times New Roman"/>
          <w:sz w:val="19"/>
          <w:szCs w:val="19"/>
          <w:color w:val="auto"/>
        </w:rPr>
        <w:t>The accompanying unaudited consolidated financial statements have been prepared on a basis consistent with accounting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principles generally accepted in the United States (“U.S. GAAP” or “GAAP”) for interim financial information and pursuant to the rules of the Securities and Exchange Commission. These financial statements should be read in conjunction with the more detailed financial statements and notes thereto included in the Annual Report on Form 10-K of our Predecessor, Paramount Global, for the year ended December 31, 2024.</w:t>
      </w:r>
    </w:p>
    <w:p>
      <w:pPr>
        <w:spacing w:after="0" w:line="184"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9"/>
          <w:szCs w:val="19"/>
          <w:color w:val="auto"/>
        </w:rPr>
        <w:t>In the opinion of management, the accompanying unaudited consolidated financial statements reflect all adjustments, consisting only of normal and recurring adjustments, necessary for a fair statement of our financial position, results of operations and cash flows for the periods presented. Certain previously reported amounts have been reclassified to conform to the current presentation.</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i w:val="1"/>
          <w:iCs w:val="1"/>
          <w:color w:val="auto"/>
        </w:rPr>
        <w:t>Use of Estimates—</w:t>
      </w:r>
      <w:r>
        <w:rPr>
          <w:rFonts w:ascii="Times New Roman" w:cs="Times New Roman" w:eastAsia="Times New Roman" w:hAnsi="Times New Roman"/>
          <w:sz w:val="19"/>
          <w:szCs w:val="19"/>
          <w:color w:val="auto"/>
        </w:rPr>
        <w:t>The preparation of our consolidated financial statements in conformity with U.S. GAAP requires management to make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estimates, judgments and assumptions that affect the reported amounts of assets and liabilities, the disclosures of contingent assets and liabilities as of the date of the financial statements and the reported amounts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20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i w:val="1"/>
          <w:iCs w:val="1"/>
          <w:color w:val="auto"/>
        </w:rPr>
        <w:t>Change in Accounting Estimate—</w:t>
      </w:r>
      <w:r>
        <w:rPr>
          <w:rFonts w:ascii="Times New Roman" w:cs="Times New Roman" w:eastAsia="Times New Roman" w:hAnsi="Times New Roman"/>
          <w:sz w:val="19"/>
          <w:szCs w:val="19"/>
          <w:color w:val="auto"/>
        </w:rPr>
        <w:t>FCC licenses have historically been classified as indefinite-lived intangible assets. However, as a result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sustained declines in industry projections, including in long-term growth rate assumptions, we reassessed this classification and determined that FCC licenses would be classified as finite-lived intangible assets. Accordingly, during the third quarter of 2025, we began amortizing FCC licenses on a straight-line basis over a period of 30 years. As of September 30, 2025, the unamortized FCC licenses balance was $2.49 billion, which was included within “Intangible assets, net” on the Consolidated Balance Sheet.</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i w:val="1"/>
          <w:iCs w:val="1"/>
          <w:color w:val="auto"/>
        </w:rPr>
        <w:t>Net Earnings (Loss) per Common Share—</w:t>
      </w:r>
      <w:r>
        <w:rPr>
          <w:rFonts w:ascii="Times New Roman" w:cs="Times New Roman" w:eastAsia="Times New Roman" w:hAnsi="Times New Roman"/>
          <w:sz w:val="19"/>
          <w:szCs w:val="19"/>
          <w:color w:val="auto"/>
        </w:rPr>
        <w:t>Basic net earnings (loss) per share (“EPS”) is based upon net earnings (loss) available to common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stockholders divided by the weighted average number of common shares outstanding during the period. Net earnings (loss) available to common stockholders is calculated as net earnings (loss) from continuing operations or net earnings (loss), as applicable, adjusted to include a reduction for dividends recorded during the applicable Predecessor period on Paramount Global’s 5.75% Series A Mandatory Convertible Preferred Stock (“Mandatory Convertible Preferred Stock”). On April 1, 2024, all outstanding shares of Mandatory Convertible Preferred Stock were automatically and mandatorily converted into shares of Paramount Global Class B Common Stock. The final dividend on the Mandatory Convertible Preferred Stock was declared during the first quarter of 2024 and paid on April 1, 2024 (see Note 10).</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Weighted average shares for diluted EPS reflect the effect of the assumed exercise of stock options and warrants, and vesting of restricted share units (“RSUs”) or performance share units only in the periods in which such effect would have been dilutive. In periods prior to the preferred stock conversion described above, diluted EPS also reflected the effect of the assumed conversion of preferred stock, when dilutive, which included the issuance of common shares in the weighted average number of shares and excluded the above-mentioned preferred stock dividend adjustment to net earnings (loss) available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731" w:right="439" w:bottom="1440" w:gutter="0" w:footer="0" w:header="0"/>
        </w:sectPr>
      </w:pPr>
    </w:p>
    <w:bookmarkStart w:id="11" w:name="page12"/>
    <w:bookmarkEnd w:id="11"/>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tables below present a reconciliation of weighted average shares used in the calculation of basic and diluted EPS.</w:t>
      </w:r>
    </w:p>
    <w:p>
      <w:pPr>
        <w:spacing w:after="0" w:line="178" w:lineRule="exact"/>
        <w:rPr>
          <w:sz w:val="20"/>
          <w:szCs w:val="20"/>
          <w:color w:val="auto"/>
        </w:rPr>
      </w:pPr>
    </w:p>
    <w:tbl>
      <w:tblPr>
        <w:tblLayout w:type="fixed"/>
        <w:tblInd w:w="1060" w:type="dxa"/>
        <w:tblCellMar>
          <w:top w:w="0" w:type="dxa"/>
          <w:left w:w="0" w:type="dxa"/>
          <w:bottom w:w="0" w:type="dxa"/>
          <w:right w:w="0" w:type="dxa"/>
        </w:tblCellMar>
      </w:tblPr>
      <w:tr>
        <w:trPr>
          <w:trHeight w:val="255"/>
        </w:trPr>
        <w:tc>
          <w:tcPr>
            <w:tcW w:w="4680" w:type="dxa"/>
            <w:vAlign w:val="bottom"/>
            <w:tcBorders>
              <w:top w:val="single" w:sz="8" w:color="auto"/>
            </w:tcBorders>
          </w:tcPr>
          <w:p>
            <w:pPr>
              <w:spacing w:after="0"/>
              <w:rPr>
                <w:sz w:val="22"/>
                <w:szCs w:val="22"/>
                <w:color w:val="auto"/>
              </w:rPr>
            </w:pPr>
          </w:p>
        </w:tc>
        <w:tc>
          <w:tcPr>
            <w:tcW w:w="1480" w:type="dxa"/>
            <w:vAlign w:val="bottom"/>
            <w:tcBorders>
              <w:top w:val="single" w:sz="8" w:color="auto"/>
              <w:bottom w:val="single" w:sz="8" w:color="auto"/>
              <w:right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960" w:type="dxa"/>
            <w:vAlign w:val="bottom"/>
            <w:tcBorders>
              <w:top w:val="single" w:sz="8" w:color="auto"/>
              <w:bottom w:val="single" w:sz="8" w:color="auto"/>
            </w:tcBorders>
            <w:gridSpan w:val="2"/>
          </w:tcPr>
          <w:p>
            <w:pPr>
              <w:jc w:val="right"/>
              <w:ind w:right="957"/>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7"/>
                <w:szCs w:val="17"/>
                <w:color w:val="auto"/>
              </w:rPr>
            </w:pPr>
          </w:p>
        </w:tc>
        <w:tc>
          <w:tcPr>
            <w:tcW w:w="1480" w:type="dxa"/>
            <w:vAlign w:val="bottom"/>
            <w:tcBorders>
              <w:right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1480" w:type="dxa"/>
            <w:vAlign w:val="bottom"/>
            <w:tcBorders>
              <w:right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0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680" w:type="dxa"/>
            <w:vAlign w:val="bottom"/>
          </w:tcPr>
          <w:p>
            <w:pPr>
              <w:spacing w:after="0"/>
              <w:rPr>
                <w:sz w:val="19"/>
                <w:szCs w:val="19"/>
                <w:color w:val="auto"/>
              </w:rPr>
            </w:pPr>
          </w:p>
        </w:tc>
        <w:tc>
          <w:tcPr>
            <w:tcW w:w="1480" w:type="dxa"/>
            <w:vAlign w:val="bottom"/>
            <w:tcBorders>
              <w:bottom w:val="single" w:sz="8" w:color="auto"/>
              <w:right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242"/>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480" w:type="dxa"/>
            <w:vAlign w:val="bottom"/>
            <w:tcBorders>
              <w:bottom w:val="single" w:sz="8" w:color="auto"/>
              <w:right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for basic EPS</w:t>
            </w:r>
          </w:p>
        </w:tc>
        <w:tc>
          <w:tcPr>
            <w:tcW w:w="148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rPr>
              <w:t>1,098</w:t>
            </w:r>
          </w:p>
        </w:tc>
        <w:tc>
          <w:tcPr>
            <w:tcW w:w="14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675</w:t>
            </w:r>
          </w:p>
        </w:tc>
        <w:tc>
          <w:tcPr>
            <w:tcW w:w="156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667</w:t>
            </w:r>
          </w:p>
        </w:tc>
        <w:tc>
          <w:tcPr>
            <w:tcW w:w="0" w:type="dxa"/>
            <w:vAlign w:val="bottom"/>
          </w:tcPr>
          <w:p>
            <w:pPr>
              <w:spacing w:after="0"/>
              <w:rPr>
                <w:sz w:val="1"/>
                <w:szCs w:val="1"/>
                <w:color w:val="auto"/>
              </w:rPr>
            </w:pPr>
          </w:p>
        </w:tc>
      </w:tr>
      <w:tr>
        <w:trPr>
          <w:trHeight w:val="244"/>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effect of shares issuable under stock-based</w:t>
            </w:r>
          </w:p>
        </w:tc>
        <w:tc>
          <w:tcPr>
            <w:tcW w:w="1480" w:type="dxa"/>
            <w:vAlign w:val="bottom"/>
            <w:tcBorders>
              <w:right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plans</w:t>
            </w:r>
          </w:p>
        </w:tc>
        <w:tc>
          <w:tcPr>
            <w:tcW w:w="148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for diluted EPS</w:t>
            </w:r>
          </w:p>
        </w:tc>
        <w:tc>
          <w:tcPr>
            <w:tcW w:w="148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rPr>
              <w:t>1,098</w:t>
            </w:r>
          </w:p>
        </w:tc>
        <w:tc>
          <w:tcPr>
            <w:tcW w:w="14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675</w:t>
            </w:r>
          </w:p>
        </w:tc>
        <w:tc>
          <w:tcPr>
            <w:tcW w:w="156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r>
        <w:trPr>
          <w:trHeight w:val="33"/>
        </w:trPr>
        <w:tc>
          <w:tcPr>
            <w:tcW w:w="4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46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19"/>
                <w:szCs w:val="19"/>
                <w:color w:val="auto"/>
              </w:rPr>
            </w:pPr>
          </w:p>
        </w:tc>
        <w:tc>
          <w:tcPr>
            <w:tcW w:w="1480" w:type="dxa"/>
            <w:vAlign w:val="bottom"/>
            <w:tcBorders>
              <w:bottom w:val="single" w:sz="8" w:color="auto"/>
              <w:right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960" w:type="dxa"/>
            <w:vAlign w:val="bottom"/>
            <w:tcBorders>
              <w:bottom w:val="single" w:sz="8" w:color="auto"/>
            </w:tcBorders>
            <w:gridSpan w:val="2"/>
          </w:tcPr>
          <w:p>
            <w:pPr>
              <w:jc w:val="right"/>
              <w:ind w:right="957"/>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94"/>
        </w:trPr>
        <w:tc>
          <w:tcPr>
            <w:tcW w:w="4680" w:type="dxa"/>
            <w:vAlign w:val="bottom"/>
          </w:tcPr>
          <w:p>
            <w:pPr>
              <w:spacing w:after="0"/>
              <w:rPr>
                <w:sz w:val="16"/>
                <w:szCs w:val="16"/>
                <w:color w:val="auto"/>
              </w:rPr>
            </w:pPr>
          </w:p>
        </w:tc>
        <w:tc>
          <w:tcPr>
            <w:tcW w:w="1480" w:type="dxa"/>
            <w:vAlign w:val="bottom"/>
            <w:tcBorders>
              <w:right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1480" w:type="dxa"/>
            <w:vAlign w:val="bottom"/>
            <w:tcBorders>
              <w:right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0" w:type="dxa"/>
            <w:vAlign w:val="bottom"/>
          </w:tcPr>
          <w:p>
            <w:pPr>
              <w:spacing w:after="0"/>
              <w:rPr>
                <w:sz w:val="1"/>
                <w:szCs w:val="1"/>
                <w:color w:val="auto"/>
              </w:rPr>
            </w:pPr>
          </w:p>
        </w:tc>
      </w:tr>
      <w:tr>
        <w:trPr>
          <w:trHeight w:val="232"/>
        </w:trPr>
        <w:tc>
          <w:tcPr>
            <w:tcW w:w="4680" w:type="dxa"/>
            <w:vAlign w:val="bottom"/>
          </w:tcPr>
          <w:p>
            <w:pPr>
              <w:spacing w:after="0"/>
              <w:rPr>
                <w:sz w:val="20"/>
                <w:szCs w:val="20"/>
                <w:color w:val="auto"/>
              </w:rPr>
            </w:pPr>
          </w:p>
        </w:tc>
        <w:tc>
          <w:tcPr>
            <w:tcW w:w="1480" w:type="dxa"/>
            <w:vAlign w:val="bottom"/>
            <w:tcBorders>
              <w:bottom w:val="single" w:sz="8" w:color="auto"/>
              <w:right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242"/>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480" w:type="dxa"/>
            <w:vAlign w:val="bottom"/>
            <w:tcBorders>
              <w:bottom w:val="single" w:sz="8" w:color="auto"/>
              <w:right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for basic EPS</w:t>
            </w:r>
          </w:p>
        </w:tc>
        <w:tc>
          <w:tcPr>
            <w:tcW w:w="148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rPr>
              <w:t>1,098</w:t>
            </w:r>
          </w:p>
        </w:tc>
        <w:tc>
          <w:tcPr>
            <w:tcW w:w="14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674</w:t>
            </w:r>
          </w:p>
        </w:tc>
        <w:tc>
          <w:tcPr>
            <w:tcW w:w="156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663</w:t>
            </w:r>
          </w:p>
        </w:tc>
        <w:tc>
          <w:tcPr>
            <w:tcW w:w="0" w:type="dxa"/>
            <w:vAlign w:val="bottom"/>
          </w:tcPr>
          <w:p>
            <w:pPr>
              <w:spacing w:after="0"/>
              <w:rPr>
                <w:sz w:val="1"/>
                <w:szCs w:val="1"/>
                <w:color w:val="auto"/>
              </w:rPr>
            </w:pPr>
          </w:p>
        </w:tc>
      </w:tr>
      <w:tr>
        <w:trPr>
          <w:trHeight w:val="244"/>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effect of shares issuable under stock-based</w:t>
            </w:r>
          </w:p>
        </w:tc>
        <w:tc>
          <w:tcPr>
            <w:tcW w:w="1480" w:type="dxa"/>
            <w:vAlign w:val="bottom"/>
            <w:tcBorders>
              <w:right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plans</w:t>
            </w:r>
          </w:p>
        </w:tc>
        <w:tc>
          <w:tcPr>
            <w:tcW w:w="148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for diluted EPS</w:t>
            </w:r>
          </w:p>
        </w:tc>
        <w:tc>
          <w:tcPr>
            <w:tcW w:w="148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rPr>
              <w:t>1,098</w:t>
            </w:r>
          </w:p>
        </w:tc>
        <w:tc>
          <w:tcPr>
            <w:tcW w:w="14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674</w:t>
            </w:r>
          </w:p>
        </w:tc>
        <w:tc>
          <w:tcPr>
            <w:tcW w:w="156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663</w:t>
            </w:r>
          </w:p>
        </w:tc>
        <w:tc>
          <w:tcPr>
            <w:tcW w:w="0" w:type="dxa"/>
            <w:vAlign w:val="bottom"/>
          </w:tcPr>
          <w:p>
            <w:pPr>
              <w:spacing w:after="0"/>
              <w:rPr>
                <w:sz w:val="1"/>
                <w:szCs w:val="1"/>
                <w:color w:val="auto"/>
              </w:rPr>
            </w:pPr>
          </w:p>
        </w:tc>
      </w:tr>
      <w:tr>
        <w:trPr>
          <w:trHeight w:val="33"/>
        </w:trPr>
        <w:tc>
          <w:tcPr>
            <w:tcW w:w="4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tables below present stock options, RSUs, and warrants excluded from the calculations of diluted EPS. In each period except for the three months ended September 30, 2024, all outstanding stock options, RSUs, and warrants were excluded because their inclusion would have been antidilutive because we reported a net loss.</w:t>
      </w:r>
    </w:p>
    <w:p>
      <w:pPr>
        <w:spacing w:after="0" w:line="118" w:lineRule="exact"/>
        <w:rPr>
          <w:sz w:val="20"/>
          <w:szCs w:val="20"/>
          <w:color w:val="auto"/>
        </w:rPr>
      </w:pPr>
    </w:p>
    <w:tbl>
      <w:tblPr>
        <w:tblLayout w:type="fixed"/>
        <w:tblInd w:w="1060" w:type="dxa"/>
        <w:tblCellMar>
          <w:top w:w="0" w:type="dxa"/>
          <w:left w:w="0" w:type="dxa"/>
          <w:bottom w:w="0" w:type="dxa"/>
          <w:right w:w="0" w:type="dxa"/>
        </w:tblCellMar>
      </w:tblPr>
      <w:tr>
        <w:trPr>
          <w:trHeight w:val="255"/>
        </w:trPr>
        <w:tc>
          <w:tcPr>
            <w:tcW w:w="4680" w:type="dxa"/>
            <w:vAlign w:val="bottom"/>
            <w:tcBorders>
              <w:top w:val="single" w:sz="8" w:color="auto"/>
            </w:tcBorders>
          </w:tcPr>
          <w:p>
            <w:pPr>
              <w:spacing w:after="0"/>
              <w:rPr>
                <w:sz w:val="22"/>
                <w:szCs w:val="22"/>
                <w:color w:val="auto"/>
              </w:rPr>
            </w:pPr>
          </w:p>
        </w:tc>
        <w:tc>
          <w:tcPr>
            <w:tcW w:w="1480" w:type="dxa"/>
            <w:vAlign w:val="bottom"/>
            <w:tcBorders>
              <w:top w:val="single" w:sz="8" w:color="auto"/>
              <w:bottom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960" w:type="dxa"/>
            <w:vAlign w:val="bottom"/>
            <w:tcBorders>
              <w:top w:val="single" w:sz="8" w:color="auto"/>
              <w:bottom w:val="single" w:sz="8" w:color="auto"/>
            </w:tcBorders>
            <w:gridSpan w:val="2"/>
          </w:tcPr>
          <w:p>
            <w:pPr>
              <w:jc w:val="right"/>
              <w:ind w:right="958"/>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94"/>
        </w:trPr>
        <w:tc>
          <w:tcPr>
            <w:tcW w:w="4680" w:type="dxa"/>
            <w:vAlign w:val="bottom"/>
          </w:tcPr>
          <w:p>
            <w:pPr>
              <w:spacing w:after="0"/>
              <w:rPr>
                <w:sz w:val="16"/>
                <w:szCs w:val="16"/>
                <w:color w:val="auto"/>
              </w:rPr>
            </w:pPr>
          </w:p>
        </w:tc>
        <w:tc>
          <w:tcPr>
            <w:tcW w:w="148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148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0" w:type="dxa"/>
            <w:vAlign w:val="bottom"/>
          </w:tcPr>
          <w:p>
            <w:pPr>
              <w:spacing w:after="0"/>
              <w:rPr>
                <w:sz w:val="1"/>
                <w:szCs w:val="1"/>
                <w:color w:val="auto"/>
              </w:rPr>
            </w:pPr>
          </w:p>
        </w:tc>
      </w:tr>
      <w:tr>
        <w:trPr>
          <w:trHeight w:val="232"/>
        </w:trPr>
        <w:tc>
          <w:tcPr>
            <w:tcW w:w="4680" w:type="dxa"/>
            <w:vAlign w:val="bottom"/>
          </w:tcPr>
          <w:p>
            <w:pPr>
              <w:spacing w:after="0"/>
              <w:rPr>
                <w:sz w:val="20"/>
                <w:szCs w:val="20"/>
                <w:color w:val="auto"/>
              </w:rPr>
            </w:pPr>
          </w:p>
        </w:tc>
        <w:tc>
          <w:tcPr>
            <w:tcW w:w="148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242"/>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48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options and RSUs</w:t>
            </w:r>
          </w:p>
        </w:tc>
        <w:tc>
          <w:tcPr>
            <w:tcW w:w="148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7"/>
                <w:szCs w:val="17"/>
                <w:color w:val="auto"/>
              </w:rPr>
              <w:t>66</w:t>
            </w: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32</w:t>
            </w:r>
          </w:p>
        </w:tc>
        <w:tc>
          <w:tcPr>
            <w:tcW w:w="1560" w:type="dxa"/>
            <w:vAlign w:val="bottom"/>
          </w:tcPr>
          <w:p>
            <w:pPr>
              <w:jc w:val="right"/>
              <w:ind w:right="238"/>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62"/>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148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2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3"/>
        </w:trPr>
        <w:tc>
          <w:tcPr>
            <w:tcW w:w="4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19"/>
                <w:szCs w:val="19"/>
                <w:color w:val="auto"/>
              </w:rPr>
            </w:pPr>
          </w:p>
        </w:tc>
        <w:tc>
          <w:tcPr>
            <w:tcW w:w="1480" w:type="dxa"/>
            <w:vAlign w:val="bottom"/>
            <w:tcBorders>
              <w:bottom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960" w:type="dxa"/>
            <w:vAlign w:val="bottom"/>
            <w:tcBorders>
              <w:bottom w:val="single" w:sz="8" w:color="auto"/>
            </w:tcBorders>
            <w:gridSpan w:val="2"/>
          </w:tcPr>
          <w:p>
            <w:pPr>
              <w:jc w:val="right"/>
              <w:ind w:right="958"/>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7"/>
                <w:szCs w:val="17"/>
                <w:color w:val="auto"/>
              </w:rPr>
            </w:pPr>
          </w:p>
        </w:tc>
        <w:tc>
          <w:tcPr>
            <w:tcW w:w="148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148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680" w:type="dxa"/>
            <w:vAlign w:val="bottom"/>
          </w:tcPr>
          <w:p>
            <w:pPr>
              <w:spacing w:after="0"/>
              <w:rPr>
                <w:sz w:val="19"/>
                <w:szCs w:val="19"/>
                <w:color w:val="auto"/>
              </w:rPr>
            </w:pPr>
          </w:p>
        </w:tc>
        <w:tc>
          <w:tcPr>
            <w:tcW w:w="148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242"/>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48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options and RSUs</w:t>
            </w:r>
          </w:p>
        </w:tc>
        <w:tc>
          <w:tcPr>
            <w:tcW w:w="148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7"/>
                <w:szCs w:val="17"/>
                <w:color w:val="auto"/>
              </w:rPr>
              <w:t>66</w:t>
            </w: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33</w:t>
            </w:r>
          </w:p>
        </w:tc>
        <w:tc>
          <w:tcPr>
            <w:tcW w:w="1560" w:type="dxa"/>
            <w:vAlign w:val="bottom"/>
          </w:tcPr>
          <w:p>
            <w:pPr>
              <w:jc w:val="right"/>
              <w:ind w:right="238"/>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62"/>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148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2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3"/>
        </w:trPr>
        <w:tc>
          <w:tcPr>
            <w:tcW w:w="4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9"/>
          <w:szCs w:val="19"/>
          <w:color w:val="auto"/>
        </w:rPr>
        <w:t>Also excluded from the calculation of diluted EPS for the nine months ended September 30, 2024 (Predecessor) prior to the preferred stock conversion discussed above, was the effect of the assumed conversion of 10 million shares of Paramount Global’s Mandatory Convertible Preferred Stock into shares of common stock because the impact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731" w:right="639" w:bottom="1440" w:gutter="0" w:footer="0" w:header="0"/>
        </w:sectPr>
      </w:pPr>
    </w:p>
    <w:bookmarkStart w:id="12" w:name="page13"/>
    <w:bookmarkEnd w:id="12"/>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Because the impact of the assumed conversion of Paramount Global’s Mandatory Convertible Preferred Stock would have been antidilutive, net loss from continuing operations and net loss used in our calculations of diluted EPS for the nine months ended September 30, 2024 (Predecessor) included a reduction of $14 million for the preferred stock dividends recorded during the period. Net loss from continuing operations and net loss used in the calculations of basic and diluted EPS were $5.99 billion and $5.98 billion,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Accounting Pronouncements Not Yet Adopted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Taxes</w:t>
      </w:r>
    </w:p>
    <w:p>
      <w:pPr>
        <w:spacing w:after="0" w:line="151"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9"/>
          <w:szCs w:val="19"/>
          <w:color w:val="auto"/>
        </w:rPr>
        <w:t>In December 2023, the Financial Accounting Standards Board (“FASB”) issued guidance enhancing annual income tax disclosures. Under this guidance, certain enhancements to the effective tax rate reconciliation disclosure are required, including the disclosure of both percentages and amounts, specific categories, and additional information for reconciling items meeting a quantitative threshold defined by the guidance.</w:t>
      </w:r>
    </w:p>
    <w:p>
      <w:pPr>
        <w:ind w:right="60"/>
        <w:spacing w:after="0" w:line="261" w:lineRule="auto"/>
        <w:rPr>
          <w:sz w:val="20"/>
          <w:szCs w:val="20"/>
          <w:color w:val="auto"/>
        </w:rPr>
      </w:pPr>
      <w:r>
        <w:rPr>
          <w:rFonts w:ascii="Times New Roman" w:cs="Times New Roman" w:eastAsia="Times New Roman" w:hAnsi="Times New Roman"/>
          <w:sz w:val="19"/>
          <w:szCs w:val="19"/>
          <w:color w:val="auto"/>
        </w:rPr>
        <w:t>Additionally, disclosures of income taxes paid and income tax expense must be disaggregated by federal, state and foreign taxes, with income taxes paid further disaggregated for individual jurisdictions that represent 5 percent or more of total income taxes paid. The guidance is effective for us for the year ended December 31, 2025, and may be applied either prospectively or retrospectively.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Disaggregation of Income Statement Expenses</w:t>
      </w:r>
    </w:p>
    <w:p>
      <w:pPr>
        <w:spacing w:after="0" w:line="16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9"/>
          <w:szCs w:val="19"/>
          <w:color w:val="auto"/>
        </w:rPr>
        <w:t>In November 2024, the FASB issued guidance requiring disclosure in the notes to the financial statements of the disaggregation of relevant expense captions on the income statement into specified expense categories, including employee compensation, as well as disclosure of total selling expenses. The guidance is effective for us for the year ended December 31, 2027, and for all interim and annual periods thereafter, and may be applied either prospectively or retrospectively.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Internal-use Software Costs</w:t>
      </w:r>
    </w:p>
    <w:p>
      <w:pPr>
        <w:spacing w:after="0" w:line="1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In September 2025, the FASB issued updated guidance on the recognition and disclosure of internal-use software costs. This guidance eliminates capitalization based on software development stages and requires that capitalization of internal-use software development costs begin when management has authorized and committed to funding the software project and it is probable the project will be completed and the software will be used to perform its intended function. The guidance is effective for us for the year ended December 31, 2028, including interim periods within that year, and may be adopted prospectively, retrospectively, or using a modified transition approach for projects in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731" w:right="399" w:bottom="1440" w:gutter="0" w:footer="0" w:header="0"/>
        </w:sectPr>
      </w:pPr>
    </w:p>
    <w:bookmarkStart w:id="13" w:name="page14"/>
    <w:bookmarkEnd w:id="13"/>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PUSHDOWN OF ULTIMATE PARENT'S BASIS</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The NAI Transaction resulted in a change in control of our Predecessor, Paramount Global, that established a new accounting basis, which reflects the estimated fair value of Paramount Global as indicated by the NAI Transaction and the Transactions. The table below presents the calculation of the Ultimate Parent's basis in Paramount Global as of the date these transactions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95885</wp:posOffset>
            </wp:positionV>
            <wp:extent cx="526288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62880" cy="16510"/>
                    </a:xfrm>
                    <a:prstGeom prst="rect">
                      <a:avLst/>
                    </a:prstGeom>
                    <a:noFill/>
                  </pic:spPr>
                </pic:pic>
              </a:graphicData>
            </a:graphic>
          </wp:anchor>
        </w:drawing>
      </w:r>
    </w:p>
    <w:p>
      <w:pPr>
        <w:spacing w:after="0" w:line="165" w:lineRule="exact"/>
        <w:rPr>
          <w:sz w:val="20"/>
          <w:szCs w:val="20"/>
          <w:color w:val="auto"/>
        </w:rPr>
      </w:pPr>
    </w:p>
    <w:tbl>
      <w:tblPr>
        <w:tblLayout w:type="fixed"/>
        <w:tblInd w:w="1480" w:type="dxa"/>
        <w:tblCellMar>
          <w:top w:w="0" w:type="dxa"/>
          <w:left w:w="0" w:type="dxa"/>
          <w:bottom w:w="0" w:type="dxa"/>
          <w:right w:w="0" w:type="dxa"/>
        </w:tblCellMar>
      </w:tblP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Estimated value of NAI Transaction consideration attributable to Paramount Global</w:t>
            </w:r>
          </w:p>
        </w:tc>
        <w:tc>
          <w:tcPr>
            <w:tcW w:w="800" w:type="dxa"/>
            <w:vAlign w:val="bottom"/>
          </w:tcPr>
          <w:p>
            <w:pPr>
              <w:spacing w:after="0"/>
              <w:rPr>
                <w:sz w:val="18"/>
                <w:szCs w:val="18"/>
                <w:color w:val="auto"/>
              </w:rPr>
            </w:pPr>
          </w:p>
        </w:tc>
        <w:tc>
          <w:tcPr>
            <w:tcW w:w="1060" w:type="dxa"/>
            <w:vAlign w:val="bottom"/>
            <w:gridSpan w:val="2"/>
            <w:vMerge w:val="restart"/>
          </w:tcPr>
          <w:p>
            <w:pPr>
              <w:jc w:val="right"/>
              <w:ind w:right="183"/>
              <w:spacing w:after="0"/>
              <w:rPr>
                <w:sz w:val="20"/>
                <w:szCs w:val="20"/>
                <w:color w:val="auto"/>
              </w:rPr>
            </w:pPr>
            <w:r>
              <w:rPr>
                <w:rFonts w:ascii="Times New Roman" w:cs="Times New Roman" w:eastAsia="Times New Roman" w:hAnsi="Times New Roman"/>
                <w:sz w:val="17"/>
                <w:szCs w:val="17"/>
                <w:color w:val="auto"/>
              </w:rPr>
              <w:t xml:space="preserve">2,017 </w:t>
            </w:r>
            <w:r>
              <w:rPr>
                <w:rFonts w:ascii="Times New Roman" w:cs="Times New Roman" w:eastAsia="Times New Roman" w:hAnsi="Times New Roman"/>
                <w:sz w:val="22"/>
                <w:szCs w:val="22"/>
                <w:color w:val="auto"/>
                <w:vertAlign w:val="superscript"/>
              </w:rPr>
              <w:t>(a)</w:t>
            </w:r>
          </w:p>
        </w:tc>
        <w:tc>
          <w:tcPr>
            <w:tcW w:w="0" w:type="dxa"/>
            <w:vAlign w:val="bottom"/>
          </w:tcPr>
          <w:p>
            <w:pPr>
              <w:spacing w:after="0"/>
              <w:rPr>
                <w:sz w:val="1"/>
                <w:szCs w:val="1"/>
                <w:color w:val="auto"/>
              </w:rPr>
            </w:pPr>
          </w:p>
        </w:tc>
      </w:tr>
      <w:tr>
        <w:trPr>
          <w:trHeight w:val="262"/>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common stock</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to stockholders (see Note 10)</w:t>
            </w: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4,454</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(b)</w:t>
            </w:r>
          </w:p>
        </w:tc>
        <w:tc>
          <w:tcPr>
            <w:tcW w:w="0" w:type="dxa"/>
            <w:vAlign w:val="bottom"/>
          </w:tcPr>
          <w:p>
            <w:pPr>
              <w:spacing w:after="0"/>
              <w:rPr>
                <w:sz w:val="1"/>
                <w:szCs w:val="1"/>
                <w:color w:val="auto"/>
              </w:rPr>
            </w:pPr>
          </w:p>
        </w:tc>
      </w:tr>
      <w:tr>
        <w:trPr>
          <w:trHeight w:val="262"/>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PIPE Transaction, net of subscription discount</w:t>
            </w:r>
          </w:p>
        </w:tc>
        <w:tc>
          <w:tcPr>
            <w:tcW w:w="8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Paramount Global RSU Awards and Paramount Global PSU Awards</w:t>
            </w:r>
          </w:p>
        </w:tc>
        <w:tc>
          <w:tcPr>
            <w:tcW w:w="8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4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(c)</w:t>
            </w:r>
          </w:p>
        </w:tc>
        <w:tc>
          <w:tcPr>
            <w:tcW w:w="0" w:type="dxa"/>
            <w:vAlign w:val="bottom"/>
          </w:tcPr>
          <w:p>
            <w:pPr>
              <w:spacing w:after="0"/>
              <w:rPr>
                <w:sz w:val="1"/>
                <w:szCs w:val="1"/>
                <w:color w:val="auto"/>
              </w:rPr>
            </w:pPr>
          </w:p>
        </w:tc>
      </w:tr>
      <w:tr>
        <w:trPr>
          <w:trHeight w:val="262"/>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Remaining shares of Paramount Skydance Corporation Class B Common Stock</w:t>
            </w:r>
          </w:p>
        </w:tc>
        <w:tc>
          <w:tcPr>
            <w:tcW w:w="8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(d)</w:t>
            </w:r>
          </w:p>
        </w:tc>
        <w:tc>
          <w:tcPr>
            <w:tcW w:w="0" w:type="dxa"/>
            <w:vAlign w:val="bottom"/>
          </w:tcPr>
          <w:p>
            <w:pPr>
              <w:spacing w:after="0"/>
              <w:rPr>
                <w:sz w:val="1"/>
                <w:szCs w:val="1"/>
                <w:color w:val="auto"/>
              </w:rPr>
            </w:pPr>
          </w:p>
        </w:tc>
      </w:tr>
      <w:tr>
        <w:trPr>
          <w:trHeight w:val="27"/>
        </w:trPr>
        <w:tc>
          <w:tcPr>
            <w:tcW w:w="6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Paramount Global basis at August 7, 2025</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800" w:right="560" w:hanging="244"/>
        <w:spacing w:after="0" w:line="249" w:lineRule="auto"/>
        <w:tabs>
          <w:tab w:leader="none" w:pos="80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In the NAI Transaction, the NAI Equity Investors purchased all of the outstanding equity interests of NAI. Based on preliminary valuation analyses of NAI’s assets and liabilities, the estimated value attributable to the shares of Paramount Global common stock held by NAI and its subsidiaries is approximately $2.0 billion. The fair value estimates assumed herein may differ materially based on the finalization of appraisals and other valuation analyses.</w:t>
      </w:r>
    </w:p>
    <w:p>
      <w:pPr>
        <w:spacing w:after="0" w:line="103" w:lineRule="exact"/>
        <w:rPr>
          <w:rFonts w:ascii="Times New Roman" w:cs="Times New Roman" w:eastAsia="Times New Roman" w:hAnsi="Times New Roman"/>
          <w:sz w:val="17"/>
          <w:szCs w:val="17"/>
          <w:color w:val="auto"/>
        </w:rPr>
      </w:pPr>
    </w:p>
    <w:p>
      <w:pPr>
        <w:jc w:val="both"/>
        <w:ind w:left="800" w:right="600" w:hanging="244"/>
        <w:spacing w:after="0" w:line="254" w:lineRule="auto"/>
        <w:tabs>
          <w:tab w:leader="none" w:pos="81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Reflects cash paid to holders of Paramount Global Class A Common Stock and Paramount Global Class B Common Stock who elected to receive the Class A Cash Consideration and Class B Cash Consideration of $23.00 per share and $15.00 per share, respectively, in the Transactions. Such payout was funded by the $6.0 billion PIPE Transaction.</w:t>
      </w:r>
    </w:p>
    <w:p>
      <w:pPr>
        <w:spacing w:after="0" w:line="85" w:lineRule="exact"/>
        <w:rPr>
          <w:rFonts w:ascii="Times New Roman" w:cs="Times New Roman" w:eastAsia="Times New Roman" w:hAnsi="Times New Roman"/>
          <w:sz w:val="17"/>
          <w:szCs w:val="17"/>
          <w:color w:val="auto"/>
        </w:rPr>
      </w:pPr>
    </w:p>
    <w:p>
      <w:pPr>
        <w:ind w:left="800" w:right="380" w:hanging="244"/>
        <w:spacing w:after="0" w:line="251" w:lineRule="auto"/>
        <w:tabs>
          <w:tab w:leader="none" w:pos="77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fair value of outstanding Paramount Global RSU Awards and Paramount Global PSU Awards attributable to employees’ service prior to the Transactions and the NAI Transaction. The fair value is based on the closing stock price of Paramount Global Class B Common Stock on August 6, 2025 of $11.04 per share. The remaining fair value of outstanding Paramount Global RSU Awards and Paramount PSU Awards, which were assumed by Paramount Skydance Corporation and converted into awards of restricted stock units covering an equivalent number of shares of Paramount Skydance Corporation Class B Common Stock are being expensed over their remaining vesting periods.</w:t>
      </w:r>
    </w:p>
    <w:p>
      <w:pPr>
        <w:spacing w:after="0" w:line="86" w:lineRule="exact"/>
        <w:rPr>
          <w:rFonts w:ascii="Times New Roman" w:cs="Times New Roman" w:eastAsia="Times New Roman" w:hAnsi="Times New Roman"/>
          <w:sz w:val="16"/>
          <w:szCs w:val="16"/>
          <w:color w:val="auto"/>
        </w:rPr>
      </w:pPr>
    </w:p>
    <w:p>
      <w:pPr>
        <w:ind w:left="800" w:right="400" w:hanging="244"/>
        <w:spacing w:after="0" w:line="250" w:lineRule="auto"/>
        <w:tabs>
          <w:tab w:leader="none" w:pos="78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318.8 million shares of Paramount Skydance Corporation Class B Common Stock owned by holders of Paramount Global Class A and Paramount Global Class B Common Stock following the Transactions, other than those held directly or indirectly by NAI or its affiliates, not converted into cash, valued at the closing stock price of Paramount Global Class B Common Stock on August 6, 2025 of $11.04 per share. Certain holders of Paramount Global Class A Common Stock received the Class A Stock Consideration, which resulted in the conversion of 2.0 million shares of Paramount Global Class A Common Stock into approximately 3.1 million shares of Paramount Skydance Corporation Class B Common Stock, based on the exchange ratio of one share of Paramount Global Class A Common Stock to 1.5333 shares of Paramount Skydance Corporation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320" w:top="731" w:right="759" w:bottom="1440" w:gutter="0" w:footer="0" w:header="0"/>
        </w:sectPr>
      </w:pPr>
    </w:p>
    <w:bookmarkStart w:id="14" w:name="page15"/>
    <w:bookmarkEnd w:id="14"/>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The table below details the preliminary estimated fair values of Paramount Global’s assets, liabilities and noncontrolling interests at the Ultimate Parent's basis as of August 7, 2025. The fair values were determined based on valuation techniques that use unobservable inputs (Level 3 in the fair value hierarchy). Significant judgments in these valuations include long-term projections, discount rates, royalty rates, and decay rates. We continue to evaluate these estimated fair values, in particular those related to programming, intangible assets, taxes, and contingencies, which may differ materially based upon the finalization of appraisals and other valuation analyses, which are expected no later than one year from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95250</wp:posOffset>
            </wp:positionV>
            <wp:extent cx="691134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11340" cy="16510"/>
                    </a:xfrm>
                    <a:prstGeom prst="rect">
                      <a:avLst/>
                    </a:prstGeom>
                    <a:noFill/>
                  </pic:spPr>
                </pic:pic>
              </a:graphicData>
            </a:graphic>
          </wp:anchor>
        </w:drawing>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514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Preliminary Allocation of Ultimate</w:t>
            </w:r>
          </w:p>
        </w:tc>
      </w:tr>
      <w:tr>
        <w:trPr>
          <w:trHeight w:val="230"/>
        </w:trPr>
        <w:tc>
          <w:tcPr>
            <w:tcW w:w="5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80" w:type="dxa"/>
            <w:vAlign w:val="bottom"/>
          </w:tcPr>
          <w:p>
            <w:pPr>
              <w:jc w:val="right"/>
              <w:ind w:right="893"/>
              <w:spacing w:after="0"/>
              <w:rPr>
                <w:sz w:val="20"/>
                <w:szCs w:val="20"/>
                <w:color w:val="auto"/>
              </w:rPr>
            </w:pPr>
            <w:r>
              <w:rPr>
                <w:rFonts w:ascii="Times New Roman" w:cs="Times New Roman" w:eastAsia="Times New Roman" w:hAnsi="Times New Roman"/>
                <w:sz w:val="17"/>
                <w:szCs w:val="17"/>
                <w:b w:val="1"/>
                <w:bCs w:val="1"/>
                <w:color w:val="auto"/>
              </w:rPr>
              <w:t>Parent’s Basis</w:t>
            </w:r>
          </w:p>
        </w:tc>
      </w:tr>
      <w:tr>
        <w:trPr>
          <w:trHeight w:val="27"/>
        </w:trPr>
        <w:tc>
          <w:tcPr>
            <w:tcW w:w="57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3,977</w:t>
            </w: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3060" w:type="dxa"/>
            <w:vAlign w:val="bottom"/>
          </w:tcPr>
          <w:p>
            <w:pPr>
              <w:spacing w:after="0"/>
              <w:rPr>
                <w:sz w:val="22"/>
                <w:szCs w:val="22"/>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5,980</w:t>
            </w: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Programming and other inventory, current</w:t>
            </w:r>
          </w:p>
        </w:tc>
        <w:tc>
          <w:tcPr>
            <w:tcW w:w="3060" w:type="dxa"/>
            <w:vAlign w:val="bottom"/>
          </w:tcPr>
          <w:p>
            <w:pPr>
              <w:spacing w:after="0"/>
              <w:rPr>
                <w:sz w:val="22"/>
                <w:szCs w:val="22"/>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1,970</w:t>
            </w: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60" w:type="dxa"/>
            <w:vAlign w:val="bottom"/>
          </w:tcPr>
          <w:p>
            <w:pPr>
              <w:spacing w:after="0"/>
              <w:rPr>
                <w:sz w:val="22"/>
                <w:szCs w:val="22"/>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1,641</w:t>
            </w:r>
          </w:p>
        </w:tc>
      </w:tr>
      <w:tr>
        <w:trPr>
          <w:trHeight w:val="29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Property and equipment, net </w:t>
            </w:r>
            <w:r>
              <w:rPr>
                <w:rFonts w:ascii="Times New Roman" w:cs="Times New Roman" w:eastAsia="Times New Roman" w:hAnsi="Times New Roman"/>
                <w:sz w:val="22"/>
                <w:szCs w:val="22"/>
                <w:color w:val="auto"/>
                <w:vertAlign w:val="superscript"/>
              </w:rPr>
              <w:t>(a)</w:t>
            </w:r>
          </w:p>
        </w:tc>
        <w:tc>
          <w:tcPr>
            <w:tcW w:w="3060" w:type="dxa"/>
            <w:vAlign w:val="bottom"/>
          </w:tcPr>
          <w:p>
            <w:pPr>
              <w:spacing w:after="0"/>
              <w:rPr>
                <w:sz w:val="24"/>
                <w:szCs w:val="24"/>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2,118</w:t>
            </w: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Programming and other inventory, noncurrent </w:t>
            </w:r>
            <w:r>
              <w:rPr>
                <w:rFonts w:ascii="Times New Roman" w:cs="Times New Roman" w:eastAsia="Times New Roman" w:hAnsi="Times New Roman"/>
                <w:sz w:val="22"/>
                <w:szCs w:val="22"/>
                <w:color w:val="auto"/>
                <w:vertAlign w:val="superscript"/>
              </w:rPr>
              <w:t>(b)</w:t>
            </w:r>
          </w:p>
        </w:tc>
        <w:tc>
          <w:tcPr>
            <w:tcW w:w="3060" w:type="dxa"/>
            <w:vAlign w:val="bottom"/>
          </w:tcPr>
          <w:p>
            <w:pPr>
              <w:spacing w:after="0"/>
              <w:rPr>
                <w:sz w:val="22"/>
                <w:szCs w:val="22"/>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13,599</w:t>
            </w: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Goodwill </w:t>
            </w:r>
            <w:r>
              <w:rPr>
                <w:rFonts w:ascii="Times New Roman" w:cs="Times New Roman" w:eastAsia="Times New Roman" w:hAnsi="Times New Roman"/>
                <w:sz w:val="22"/>
                <w:szCs w:val="22"/>
                <w:color w:val="auto"/>
                <w:vertAlign w:val="superscript"/>
              </w:rPr>
              <w:t>(c)</w:t>
            </w:r>
          </w:p>
        </w:tc>
        <w:tc>
          <w:tcPr>
            <w:tcW w:w="3060" w:type="dxa"/>
            <w:vAlign w:val="bottom"/>
          </w:tcPr>
          <w:p>
            <w:pPr>
              <w:spacing w:after="0"/>
              <w:rPr>
                <w:sz w:val="22"/>
                <w:szCs w:val="22"/>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947</w:t>
            </w: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Intangible assets, net </w:t>
            </w:r>
            <w:r>
              <w:rPr>
                <w:rFonts w:ascii="Times New Roman" w:cs="Times New Roman" w:eastAsia="Times New Roman" w:hAnsi="Times New Roman"/>
                <w:sz w:val="22"/>
                <w:szCs w:val="22"/>
                <w:color w:val="auto"/>
                <w:vertAlign w:val="superscript"/>
              </w:rPr>
              <w:t>(d)</w:t>
            </w:r>
          </w:p>
        </w:tc>
        <w:tc>
          <w:tcPr>
            <w:tcW w:w="3060" w:type="dxa"/>
            <w:vAlign w:val="bottom"/>
          </w:tcPr>
          <w:p>
            <w:pPr>
              <w:spacing w:after="0"/>
              <w:rPr>
                <w:sz w:val="22"/>
                <w:szCs w:val="22"/>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6,748</w:t>
            </w:r>
          </w:p>
        </w:tc>
      </w:tr>
      <w:tr>
        <w:trPr>
          <w:trHeight w:val="228"/>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3060" w:type="dxa"/>
            <w:vAlign w:val="bottom"/>
          </w:tcPr>
          <w:p>
            <w:pPr>
              <w:spacing w:after="0"/>
              <w:rPr>
                <w:sz w:val="19"/>
                <w:szCs w:val="19"/>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875</w:t>
            </w: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3060" w:type="dxa"/>
            <w:vAlign w:val="bottom"/>
          </w:tcPr>
          <w:p>
            <w:pPr>
              <w:spacing w:after="0"/>
              <w:rPr>
                <w:sz w:val="22"/>
                <w:szCs w:val="22"/>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1,200</w:t>
            </w: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060" w:type="dxa"/>
            <w:vAlign w:val="bottom"/>
          </w:tcPr>
          <w:p>
            <w:pPr>
              <w:spacing w:after="0"/>
              <w:rPr>
                <w:sz w:val="22"/>
                <w:szCs w:val="22"/>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2,470</w:t>
            </w:r>
          </w:p>
        </w:tc>
      </w:tr>
      <w:tr>
        <w:trPr>
          <w:trHeight w:val="27"/>
        </w:trPr>
        <w:tc>
          <w:tcPr>
            <w:tcW w:w="57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41,525</w:t>
            </w:r>
          </w:p>
        </w:tc>
      </w:tr>
      <w:tr>
        <w:trPr>
          <w:trHeight w:val="33"/>
        </w:trPr>
        <w:tc>
          <w:tcPr>
            <w:tcW w:w="57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43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0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9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Long-term debt </w:t>
            </w:r>
            <w:r>
              <w:rPr>
                <w:rFonts w:ascii="Times New Roman" w:cs="Times New Roman" w:eastAsia="Times New Roman" w:hAnsi="Times New Roman"/>
                <w:sz w:val="22"/>
                <w:szCs w:val="22"/>
                <w:color w:val="auto"/>
                <w:vertAlign w:val="superscript"/>
              </w:rPr>
              <w:t>(e)</w:t>
            </w:r>
          </w:p>
        </w:tc>
        <w:tc>
          <w:tcPr>
            <w:tcW w:w="3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13,619</w:t>
            </w: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Pension and postretirement benefit obligations </w:t>
            </w:r>
            <w:r>
              <w:rPr>
                <w:rFonts w:ascii="Times New Roman" w:cs="Times New Roman" w:eastAsia="Times New Roman" w:hAnsi="Times New Roman"/>
                <w:sz w:val="22"/>
                <w:szCs w:val="22"/>
                <w:color w:val="auto"/>
                <w:vertAlign w:val="superscript"/>
              </w:rPr>
              <w:t>(f)</w:t>
            </w:r>
          </w:p>
        </w:tc>
        <w:tc>
          <w:tcPr>
            <w:tcW w:w="3060" w:type="dxa"/>
            <w:vAlign w:val="bottom"/>
          </w:tcPr>
          <w:p>
            <w:pPr>
              <w:spacing w:after="0"/>
              <w:rPr>
                <w:sz w:val="22"/>
                <w:szCs w:val="22"/>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1,390</w:t>
            </w:r>
          </w:p>
        </w:tc>
      </w:tr>
      <w:tr>
        <w:trPr>
          <w:trHeight w:val="228"/>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3060" w:type="dxa"/>
            <w:vAlign w:val="bottom"/>
          </w:tcPr>
          <w:p>
            <w:pPr>
              <w:spacing w:after="0"/>
              <w:rPr>
                <w:sz w:val="19"/>
                <w:szCs w:val="19"/>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306</w:t>
            </w: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60" w:type="dxa"/>
            <w:vAlign w:val="bottom"/>
          </w:tcPr>
          <w:p>
            <w:pPr>
              <w:spacing w:after="0"/>
              <w:rPr>
                <w:sz w:val="22"/>
                <w:szCs w:val="22"/>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1,219</w:t>
            </w:r>
          </w:p>
        </w:tc>
      </w:tr>
      <w:tr>
        <w:trPr>
          <w:trHeight w:val="29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Programming obligations </w:t>
            </w:r>
            <w:r>
              <w:rPr>
                <w:rFonts w:ascii="Times New Roman" w:cs="Times New Roman" w:eastAsia="Times New Roman" w:hAnsi="Times New Roman"/>
                <w:sz w:val="22"/>
                <w:szCs w:val="22"/>
                <w:color w:val="auto"/>
                <w:vertAlign w:val="superscript"/>
              </w:rPr>
              <w:t>(g)</w:t>
            </w:r>
          </w:p>
        </w:tc>
        <w:tc>
          <w:tcPr>
            <w:tcW w:w="3060" w:type="dxa"/>
            <w:vAlign w:val="bottom"/>
          </w:tcPr>
          <w:p>
            <w:pPr>
              <w:spacing w:after="0"/>
              <w:rPr>
                <w:sz w:val="24"/>
                <w:szCs w:val="24"/>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2,017</w:t>
            </w:r>
          </w:p>
        </w:tc>
      </w:tr>
      <w:tr>
        <w:trPr>
          <w:trHeight w:val="254"/>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Other liabilities </w:t>
            </w:r>
            <w:r>
              <w:rPr>
                <w:rFonts w:ascii="Times New Roman" w:cs="Times New Roman" w:eastAsia="Times New Roman" w:hAnsi="Times New Roman"/>
                <w:sz w:val="22"/>
                <w:szCs w:val="22"/>
                <w:color w:val="auto"/>
                <w:vertAlign w:val="superscript"/>
              </w:rPr>
              <w:t>(h)</w:t>
            </w:r>
          </w:p>
        </w:tc>
        <w:tc>
          <w:tcPr>
            <w:tcW w:w="30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rPr>
              <w:t>10,137</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28,688</w:t>
            </w:r>
          </w:p>
        </w:tc>
      </w:tr>
      <w:tr>
        <w:trPr>
          <w:trHeight w:val="33"/>
        </w:trPr>
        <w:tc>
          <w:tcPr>
            <w:tcW w:w="57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409"/>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Noncontrolling interests </w:t>
            </w:r>
            <w:r>
              <w:rPr>
                <w:rFonts w:ascii="Times New Roman" w:cs="Times New Roman" w:eastAsia="Times New Roman" w:hAnsi="Times New Roman"/>
                <w:sz w:val="22"/>
                <w:szCs w:val="22"/>
                <w:color w:val="auto"/>
                <w:vertAlign w:val="superscript"/>
              </w:rPr>
              <w:t>(i)</w:t>
            </w:r>
          </w:p>
        </w:tc>
        <w:tc>
          <w:tcPr>
            <w:tcW w:w="3060" w:type="dxa"/>
            <w:vAlign w:val="bottom"/>
          </w:tcPr>
          <w:p>
            <w:pPr>
              <w:spacing w:after="0"/>
              <w:rPr>
                <w:sz w:val="24"/>
                <w:szCs w:val="24"/>
                <w:color w:val="auto"/>
              </w:rPr>
            </w:pP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1,249</w:t>
            </w:r>
          </w:p>
        </w:tc>
      </w:tr>
      <w:tr>
        <w:trPr>
          <w:trHeight w:val="50"/>
        </w:trPr>
        <w:tc>
          <w:tcPr>
            <w:tcW w:w="576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Paramount Global basis at August 7, 2025</w:t>
            </w:r>
          </w:p>
        </w:tc>
        <w:tc>
          <w:tcPr>
            <w:tcW w:w="3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11,588</w:t>
            </w:r>
          </w:p>
        </w:tc>
      </w:tr>
      <w:tr>
        <w:trPr>
          <w:trHeight w:val="33"/>
        </w:trPr>
        <w:tc>
          <w:tcPr>
            <w:tcW w:w="57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480" w:right="160" w:hanging="239"/>
        <w:spacing w:after="0" w:line="253" w:lineRule="auto"/>
        <w:tabs>
          <w:tab w:leader="none" w:pos="45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the market approach, which estimates the value based on transactions in the market for comparable assets, or the cost approach, which estimates the value based on the amount required to replace the asset. The fair value reflects an increase to the book value of $637 million principally reflecting incremental fair value of Paramount Global’s owned land and buildings.</w:t>
      </w:r>
    </w:p>
    <w:p>
      <w:pPr>
        <w:ind w:left="480" w:hanging="239"/>
        <w:spacing w:after="0" w:line="248" w:lineRule="auto"/>
        <w:tabs>
          <w:tab w:leader="none" w:pos="46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fair value was determined based on the income approach, including the multi-period excess earnings method, which estimates the cash flows generated by the asset over its economic life using a discounted cash flow analysis. For certain content, fair value was determined to be equivalent to net book value. The fair value reflects a net decrease to the book value of programming assets of $131 million principally from reductions for programming at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segments offset by an increase to the fair value of our film and television libraries.</w:t>
      </w:r>
    </w:p>
    <w:p>
      <w:pPr>
        <w:ind w:left="480" w:right="200" w:hanging="239"/>
        <w:spacing w:after="0" w:line="250" w:lineRule="auto"/>
        <w:tabs>
          <w:tab w:leader="none" w:pos="45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Goodwill substantially all relates to the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and represents the difference between Paramount Global’s basis and the fair value of its net assets based on the preliminary fair value estimates assumed herein. Goodwill reflects operating synergies between our businesses, as well as anticipated cost savings and is not deductible for tax purposes.</w:t>
      </w:r>
    </w:p>
    <w:p>
      <w:pPr>
        <w:spacing w:after="0" w:line="75" w:lineRule="exact"/>
        <w:rPr>
          <w:rFonts w:ascii="Times New Roman" w:cs="Times New Roman" w:eastAsia="Times New Roman" w:hAnsi="Times New Roman"/>
          <w:sz w:val="16"/>
          <w:szCs w:val="16"/>
          <w:color w:val="auto"/>
        </w:rPr>
      </w:pPr>
    </w:p>
    <w:p>
      <w:pPr>
        <w:ind w:left="560" w:right="520" w:hanging="319"/>
        <w:spacing w:after="0" w:line="285" w:lineRule="auto"/>
        <w:tabs>
          <w:tab w:leader="none" w:pos="46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presents our intangible assets by asset class, as well as the valuation method used to determine the estimated fair values, and the related estimated weighted average useful lives. The weighted average useful life of the total intangibles below is 16.6 years.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15" w:name="page16"/>
    <w:bookmarkEnd w:id="15"/>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28"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 weighted average</w:t>
            </w:r>
          </w:p>
        </w:tc>
        <w:tc>
          <w:tcPr>
            <w:tcW w:w="0" w:type="dxa"/>
            <w:vAlign w:val="bottom"/>
          </w:tcPr>
          <w:p>
            <w:pPr>
              <w:spacing w:after="0"/>
              <w:rPr>
                <w:sz w:val="1"/>
                <w:szCs w:val="1"/>
                <w:color w:val="auto"/>
              </w:rPr>
            </w:pPr>
          </w:p>
        </w:tc>
      </w:tr>
      <w:tr>
        <w:trPr>
          <w:trHeight w:val="197"/>
        </w:trPr>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straight-line amortization</w:t>
            </w:r>
          </w:p>
        </w:tc>
        <w:tc>
          <w:tcPr>
            <w:tcW w:w="0" w:type="dxa"/>
            <w:vAlign w:val="bottom"/>
          </w:tcPr>
          <w:p>
            <w:pPr>
              <w:spacing w:after="0"/>
              <w:rPr>
                <w:sz w:val="1"/>
                <w:szCs w:val="1"/>
                <w:color w:val="auto"/>
              </w:rPr>
            </w:pPr>
          </w:p>
        </w:tc>
      </w:tr>
      <w:tr>
        <w:trPr>
          <w:trHeight w:val="219"/>
        </w:trPr>
        <w:tc>
          <w:tcPr>
            <w:tcW w:w="31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Values</w:t>
            </w:r>
          </w:p>
        </w:tc>
        <w:tc>
          <w:tcPr>
            <w:tcW w:w="220" w:type="dxa"/>
            <w:vAlign w:val="bottom"/>
          </w:tcPr>
          <w:p>
            <w:pPr>
              <w:spacing w:after="0"/>
              <w:rPr>
                <w:sz w:val="19"/>
                <w:szCs w:val="19"/>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Valuation Method</w:t>
            </w:r>
          </w:p>
        </w:tc>
        <w:tc>
          <w:tcPr>
            <w:tcW w:w="2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0" w:type="dxa"/>
            <w:vAlign w:val="bottom"/>
          </w:tcPr>
          <w:p>
            <w:pPr>
              <w:spacing w:after="0"/>
              <w:rPr>
                <w:sz w:val="1"/>
                <w:szCs w:val="1"/>
                <w:color w:val="auto"/>
              </w:rPr>
            </w:pPr>
          </w:p>
        </w:tc>
      </w:tr>
      <w:tr>
        <w:trPr>
          <w:trHeight w:val="196"/>
        </w:trPr>
        <w:tc>
          <w:tcPr>
            <w:tcW w:w="3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FCC and other broadcasting licenses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w:t>
            </w:r>
          </w:p>
        </w:tc>
        <w:tc>
          <w:tcPr>
            <w:tcW w:w="220" w:type="dxa"/>
            <w:vAlign w:val="bottom"/>
          </w:tcPr>
          <w:p>
            <w:pPr>
              <w:spacing w:after="0"/>
              <w:rPr>
                <w:sz w:val="17"/>
                <w:szCs w:val="17"/>
                <w:color w:val="auto"/>
              </w:rPr>
            </w:pPr>
          </w:p>
        </w:tc>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Greenfield Discounted Cash flow</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30 years</w:t>
            </w:r>
          </w:p>
        </w:tc>
        <w:tc>
          <w:tcPr>
            <w:tcW w:w="0" w:type="dxa"/>
            <w:vAlign w:val="bottom"/>
          </w:tcPr>
          <w:p>
            <w:pPr>
              <w:spacing w:after="0"/>
              <w:rPr>
                <w:sz w:val="1"/>
                <w:szCs w:val="1"/>
                <w:color w:val="auto"/>
              </w:rPr>
            </w:pPr>
          </w:p>
        </w:tc>
      </w:tr>
      <w:tr>
        <w:trPr>
          <w:trHeight w:val="114"/>
        </w:trPr>
        <w:tc>
          <w:tcPr>
            <w:tcW w:w="33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5"/>
              </w:rPr>
              <w:t>method</w:t>
            </w: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4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220" w:type="dxa"/>
            <w:vAlign w:val="bottom"/>
          </w:tcPr>
          <w:p>
            <w:pPr>
              <w:spacing w:after="0"/>
              <w:rPr>
                <w:sz w:val="23"/>
                <w:szCs w:val="23"/>
                <w:color w:val="auto"/>
              </w:rPr>
            </w:pPr>
          </w:p>
        </w:tc>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Relief from Royalty</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17.3 years</w:t>
            </w:r>
          </w:p>
        </w:tc>
        <w:tc>
          <w:tcPr>
            <w:tcW w:w="0" w:type="dxa"/>
            <w:vAlign w:val="bottom"/>
          </w:tcPr>
          <w:p>
            <w:pPr>
              <w:spacing w:after="0"/>
              <w:rPr>
                <w:sz w:val="1"/>
                <w:szCs w:val="1"/>
                <w:color w:val="auto"/>
              </w:rPr>
            </w:pPr>
          </w:p>
        </w:tc>
      </w:tr>
      <w:tr>
        <w:trPr>
          <w:trHeight w:val="262"/>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Affiliate relationships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220" w:type="dxa"/>
            <w:vAlign w:val="bottom"/>
          </w:tcPr>
          <w:p>
            <w:pPr>
              <w:spacing w:after="0"/>
              <w:rPr>
                <w:sz w:val="22"/>
                <w:szCs w:val="22"/>
                <w:color w:val="auto"/>
              </w:rPr>
            </w:pPr>
          </w:p>
        </w:tc>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Multi-period excess earnings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 years</w:t>
            </w:r>
          </w:p>
        </w:tc>
        <w:tc>
          <w:tcPr>
            <w:tcW w:w="0" w:type="dxa"/>
            <w:vAlign w:val="bottom"/>
          </w:tcPr>
          <w:p>
            <w:pPr>
              <w:spacing w:after="0"/>
              <w:rPr>
                <w:sz w:val="1"/>
                <w:szCs w:val="1"/>
                <w:color w:val="auto"/>
              </w:rPr>
            </w:pPr>
          </w:p>
        </w:tc>
      </w:tr>
      <w:tr>
        <w:trPr>
          <w:trHeight w:val="262"/>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Subscriber relationships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220" w:type="dxa"/>
            <w:vAlign w:val="bottom"/>
          </w:tcPr>
          <w:p>
            <w:pPr>
              <w:spacing w:after="0"/>
              <w:rPr>
                <w:sz w:val="22"/>
                <w:szCs w:val="22"/>
                <w:color w:val="auto"/>
              </w:rPr>
            </w:pPr>
          </w:p>
        </w:tc>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Replacement cost</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 years</w:t>
            </w:r>
          </w:p>
        </w:tc>
        <w:tc>
          <w:tcPr>
            <w:tcW w:w="0" w:type="dxa"/>
            <w:vAlign w:val="bottom"/>
          </w:tcPr>
          <w:p>
            <w:pPr>
              <w:spacing w:after="0"/>
              <w:rPr>
                <w:sz w:val="1"/>
                <w:szCs w:val="1"/>
                <w:color w:val="auto"/>
              </w:rPr>
            </w:pPr>
          </w:p>
        </w:tc>
      </w:tr>
      <w:tr>
        <w:trPr>
          <w:trHeight w:val="262"/>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Franchises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20" w:type="dxa"/>
            <w:vAlign w:val="bottom"/>
          </w:tcPr>
          <w:p>
            <w:pPr>
              <w:spacing w:after="0"/>
              <w:rPr>
                <w:sz w:val="22"/>
                <w:szCs w:val="22"/>
                <w:color w:val="auto"/>
              </w:rPr>
            </w:pPr>
          </w:p>
        </w:tc>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Discounted cash flow</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 years</w:t>
            </w:r>
          </w:p>
        </w:tc>
        <w:tc>
          <w:tcPr>
            <w:tcW w:w="0" w:type="dxa"/>
            <w:vAlign w:val="bottom"/>
          </w:tcPr>
          <w:p>
            <w:pPr>
              <w:spacing w:after="0"/>
              <w:rPr>
                <w:sz w:val="1"/>
                <w:szCs w:val="1"/>
                <w:color w:val="auto"/>
              </w:rPr>
            </w:pPr>
          </w:p>
        </w:tc>
      </w:tr>
      <w:tr>
        <w:trPr>
          <w:trHeight w:val="262"/>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220" w:type="dxa"/>
            <w:vAlign w:val="bottom"/>
          </w:tcPr>
          <w:p>
            <w:pPr>
              <w:spacing w:after="0"/>
              <w:rPr>
                <w:sz w:val="22"/>
                <w:szCs w:val="22"/>
                <w:color w:val="auto"/>
              </w:rPr>
            </w:pPr>
          </w:p>
        </w:tc>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Replacement cost</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60" w:hanging="219"/>
        <w:spacing w:after="0"/>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quoted prices in active markets.</w:t>
      </w:r>
    </w:p>
    <w:p>
      <w:pPr>
        <w:spacing w:after="0" w:line="104" w:lineRule="exact"/>
        <w:rPr>
          <w:rFonts w:ascii="Times New Roman" w:cs="Times New Roman" w:eastAsia="Times New Roman" w:hAnsi="Times New Roman"/>
          <w:sz w:val="16"/>
          <w:szCs w:val="16"/>
          <w:color w:val="auto"/>
        </w:rPr>
      </w:pPr>
    </w:p>
    <w:p>
      <w:pPr>
        <w:ind w:left="480" w:right="300" w:hanging="239"/>
        <w:spacing w:after="0" w:line="268" w:lineRule="auto"/>
        <w:tabs>
          <w:tab w:leader="none" w:pos="4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a remeasurement of the obligation using actuarial assumptions. Key valuation inputs included discount rates and mortality assumptions.</w:t>
      </w:r>
    </w:p>
    <w:p>
      <w:pPr>
        <w:spacing w:after="0" w:line="74" w:lineRule="exact"/>
        <w:rPr>
          <w:rFonts w:ascii="Times New Roman" w:cs="Times New Roman" w:eastAsia="Times New Roman" w:hAnsi="Times New Roman"/>
          <w:sz w:val="16"/>
          <w:szCs w:val="16"/>
          <w:color w:val="auto"/>
        </w:rPr>
      </w:pPr>
    </w:p>
    <w:p>
      <w:pPr>
        <w:ind w:left="460" w:hanging="219"/>
        <w:spacing w:after="0"/>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“Programming Obligations” include $568 million recorded to establish liabilities for unfavorable contractual arrangements.</w:t>
      </w:r>
    </w:p>
    <w:p>
      <w:pPr>
        <w:spacing w:after="0" w:line="104" w:lineRule="exact"/>
        <w:rPr>
          <w:rFonts w:ascii="Times New Roman" w:cs="Times New Roman" w:eastAsia="Times New Roman" w:hAnsi="Times New Roman"/>
          <w:sz w:val="16"/>
          <w:szCs w:val="16"/>
          <w:color w:val="auto"/>
        </w:rPr>
      </w:pPr>
    </w:p>
    <w:p>
      <w:pPr>
        <w:ind w:left="480" w:hanging="239"/>
        <w:spacing w:after="0" w:line="262" w:lineRule="auto"/>
        <w:tabs>
          <w:tab w:leader="none" w:pos="4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fair value of Paramount Global’s contingent liabilities as of August 7, 2025 was $1.3 billion, which relate principally to the defense and settlement of lawsuits claiming various personal injuries related to exposure to asbestos as well as claims from federal and state environmental regulatory agencies and other entities asserting liability for environmental cleanup costs and related damages (see Note 14).</w:t>
      </w:r>
    </w:p>
    <w:p>
      <w:pPr>
        <w:spacing w:after="0" w:line="13" w:lineRule="exact"/>
        <w:rPr>
          <w:rFonts w:ascii="Times New Roman" w:cs="Times New Roman" w:eastAsia="Times New Roman" w:hAnsi="Times New Roman"/>
          <w:sz w:val="16"/>
          <w:szCs w:val="16"/>
          <w:color w:val="auto"/>
        </w:rPr>
      </w:pPr>
    </w:p>
    <w:p>
      <w:pPr>
        <w:ind w:left="420" w:hanging="179"/>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a discounted cash flow analysis.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PROGRAMMING AND OTHER INVENTORY</w:t>
      </w:r>
    </w:p>
    <w:p>
      <w:pPr>
        <w:spacing w:after="0" w:line="151" w:lineRule="exact"/>
        <w:rPr>
          <w:sz w:val="20"/>
          <w:szCs w:val="20"/>
          <w:color w:val="auto"/>
        </w:rPr>
      </w:pPr>
    </w:p>
    <w:p>
      <w:pPr>
        <w:ind w:right="500"/>
        <w:spacing w:after="0" w:line="295" w:lineRule="auto"/>
        <w:rPr>
          <w:sz w:val="20"/>
          <w:szCs w:val="20"/>
          <w:color w:val="auto"/>
        </w:rPr>
      </w:pPr>
      <w:r>
        <w:rPr>
          <w:rFonts w:ascii="Times New Roman" w:cs="Times New Roman" w:eastAsia="Times New Roman" w:hAnsi="Times New Roman"/>
          <w:sz w:val="19"/>
          <w:szCs w:val="19"/>
          <w:color w:val="auto"/>
        </w:rPr>
        <w:t>The following table presents our programming and other inventory at September 30, 2025 and December 31, 2024, grouped by type and predominant monetization strategy.</w:t>
      </w:r>
    </w:p>
    <w:p>
      <w:pPr>
        <w:spacing w:after="0" w:line="95" w:lineRule="exact"/>
        <w:rPr>
          <w:sz w:val="20"/>
          <w:szCs w:val="20"/>
          <w:color w:val="auto"/>
        </w:rPr>
      </w:pPr>
    </w:p>
    <w:tbl>
      <w:tblPr>
        <w:tblLayout w:type="fixed"/>
        <w:tblInd w:w="720" w:type="dxa"/>
        <w:tblCellMar>
          <w:top w:w="0" w:type="dxa"/>
          <w:left w:w="0" w:type="dxa"/>
          <w:bottom w:w="0" w:type="dxa"/>
          <w:right w:w="0" w:type="dxa"/>
        </w:tblCellMar>
      </w:tblPr>
      <w:tr>
        <w:trPr>
          <w:trHeight w:val="262"/>
        </w:trPr>
        <w:tc>
          <w:tcPr>
            <w:tcW w:w="56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520" w:type="dxa"/>
            <w:vAlign w:val="bottom"/>
            <w:tcBorders>
              <w:top w:val="single" w:sz="8" w:color="auto"/>
              <w:right w:val="single" w:sz="8" w:color="auto"/>
            </w:tcBorders>
          </w:tcPr>
          <w:p>
            <w:pPr>
              <w:jc w:val="center"/>
              <w:ind w:right="59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6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center"/>
              <w:ind w:right="473"/>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27"/>
        </w:trPr>
        <w:tc>
          <w:tcPr>
            <w:tcW w:w="5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5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Borders>
              <w:right w:val="single" w:sz="8" w:color="auto"/>
            </w:tcBorders>
          </w:tcPr>
          <w:p>
            <w:pPr>
              <w:jc w:val="center"/>
              <w:ind w:right="613"/>
              <w:spacing w:after="0"/>
              <w:rPr>
                <w:sz w:val="20"/>
                <w:szCs w:val="20"/>
                <w:color w:val="auto"/>
              </w:rPr>
            </w:pPr>
            <w:r>
              <w:rPr>
                <w:rFonts w:ascii="Times New Roman" w:cs="Times New Roman" w:eastAsia="Times New Roman" w:hAnsi="Times New Roman"/>
                <w:sz w:val="17"/>
                <w:szCs w:val="17"/>
                <w:b w:val="1"/>
                <w:bCs w:val="1"/>
                <w:color w:val="auto"/>
              </w:rPr>
              <w:t>At</w:t>
            </w:r>
          </w:p>
        </w:tc>
        <w:tc>
          <w:tcPr>
            <w:tcW w:w="640" w:type="dxa"/>
            <w:vAlign w:val="bottom"/>
          </w:tcPr>
          <w:p>
            <w:pPr>
              <w:spacing w:after="0"/>
              <w:rPr>
                <w:sz w:val="19"/>
                <w:szCs w:val="19"/>
                <w:color w:val="auto"/>
              </w:rPr>
            </w:pPr>
          </w:p>
        </w:tc>
        <w:tc>
          <w:tcPr>
            <w:tcW w:w="1460" w:type="dxa"/>
            <w:vAlign w:val="bottom"/>
          </w:tcPr>
          <w:p>
            <w:pPr>
              <w:jc w:val="center"/>
              <w:ind w:right="47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62"/>
        </w:trPr>
        <w:tc>
          <w:tcPr>
            <w:tcW w:w="5600" w:type="dxa"/>
            <w:vAlign w:val="bottom"/>
          </w:tcPr>
          <w:p>
            <w:pPr>
              <w:spacing w:after="0"/>
              <w:rPr>
                <w:sz w:val="22"/>
                <w:szCs w:val="22"/>
                <w:color w:val="auto"/>
              </w:rPr>
            </w:pPr>
          </w:p>
        </w:tc>
        <w:tc>
          <w:tcPr>
            <w:tcW w:w="210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7"/>
        </w:trPr>
        <w:tc>
          <w:tcPr>
            <w:tcW w:w="5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Film Group Monetization:</w:t>
            </w:r>
          </w:p>
        </w:tc>
        <w:tc>
          <w:tcPr>
            <w:tcW w:w="580" w:type="dxa"/>
            <w:vAlign w:val="bottom"/>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2"/>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Licensed program rights, including prepaid sports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3,058</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3,168</w:t>
            </w:r>
          </w:p>
        </w:tc>
      </w:tr>
      <w:tr>
        <w:trPr>
          <w:trHeight w:val="262"/>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Produced television and film programming:</w:t>
            </w:r>
          </w:p>
        </w:tc>
        <w:tc>
          <w:tcPr>
            <w:tcW w:w="580" w:type="dxa"/>
            <w:vAlign w:val="bottom"/>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62"/>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Released</w:t>
            </w:r>
          </w:p>
        </w:tc>
        <w:tc>
          <w:tcPr>
            <w:tcW w:w="58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9,128</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6,847</w:t>
            </w:r>
          </w:p>
        </w:tc>
      </w:tr>
      <w:tr>
        <w:trPr>
          <w:trHeight w:val="262"/>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 process and other</w:t>
            </w:r>
          </w:p>
        </w:tc>
        <w:tc>
          <w:tcPr>
            <w:tcW w:w="58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2,124</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2,292</w:t>
            </w:r>
          </w:p>
        </w:tc>
      </w:tr>
      <w:tr>
        <w:trPr>
          <w:trHeight w:val="315"/>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Individual Monetization:</w:t>
            </w:r>
          </w:p>
        </w:tc>
        <w:tc>
          <w:tcPr>
            <w:tcW w:w="5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2"/>
        </w:trPr>
        <w:tc>
          <w:tcPr>
            <w:tcW w:w="5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Produced television and film programming:</w:t>
            </w:r>
          </w:p>
        </w:tc>
        <w:tc>
          <w:tcPr>
            <w:tcW w:w="580" w:type="dxa"/>
            <w:vAlign w:val="bottom"/>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62"/>
        </w:trPr>
        <w:tc>
          <w:tcPr>
            <w:tcW w:w="5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58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938</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1,823</w:t>
            </w:r>
          </w:p>
        </w:tc>
      </w:tr>
      <w:tr>
        <w:trPr>
          <w:trHeight w:val="262"/>
        </w:trPr>
        <w:tc>
          <w:tcPr>
            <w:tcW w:w="5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Completed, not yet released</w:t>
            </w:r>
          </w:p>
        </w:tc>
        <w:tc>
          <w:tcPr>
            <w:tcW w:w="58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126</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42</w:t>
            </w:r>
          </w:p>
        </w:tc>
      </w:tr>
      <w:tr>
        <w:trPr>
          <w:trHeight w:val="262"/>
        </w:trPr>
        <w:tc>
          <w:tcPr>
            <w:tcW w:w="5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 process and other</w:t>
            </w:r>
          </w:p>
        </w:tc>
        <w:tc>
          <w:tcPr>
            <w:tcW w:w="58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1,826</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1,155</w:t>
            </w:r>
          </w:p>
        </w:tc>
      </w:tr>
      <w:tr>
        <w:trPr>
          <w:trHeight w:val="262"/>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entertainment</w:t>
            </w:r>
          </w:p>
        </w:tc>
        <w:tc>
          <w:tcPr>
            <w:tcW w:w="58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6</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26</w:t>
            </w:r>
          </w:p>
        </w:tc>
      </w:tr>
      <w:tr>
        <w:trPr>
          <w:trHeight w:val="262"/>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Game development</w:t>
            </w:r>
          </w:p>
        </w:tc>
        <w:tc>
          <w:tcPr>
            <w:tcW w:w="58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19</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5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programming and other inventory</w:t>
            </w:r>
          </w:p>
        </w:tc>
        <w:tc>
          <w:tcPr>
            <w:tcW w:w="580" w:type="dxa"/>
            <w:vAlign w:val="bottom"/>
          </w:tcPr>
          <w:p>
            <w:pPr>
              <w:spacing w:after="0"/>
              <w:rPr>
                <w:sz w:val="19"/>
                <w:szCs w:val="19"/>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17,225</w:t>
            </w:r>
          </w:p>
        </w:tc>
        <w:tc>
          <w:tcPr>
            <w:tcW w:w="640" w:type="dxa"/>
            <w:vAlign w:val="bottom"/>
          </w:tcPr>
          <w:p>
            <w:pPr>
              <w:spacing w:after="0"/>
              <w:rPr>
                <w:sz w:val="19"/>
                <w:szCs w:val="19"/>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15,353</w:t>
            </w:r>
          </w:p>
        </w:tc>
      </w:tr>
      <w:tr>
        <w:trPr>
          <w:trHeight w:val="262"/>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Less current portion</w:t>
            </w:r>
          </w:p>
        </w:tc>
        <w:tc>
          <w:tcPr>
            <w:tcW w:w="58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1,776</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1,429</w:t>
            </w:r>
          </w:p>
        </w:tc>
      </w:tr>
      <w:tr>
        <w:trPr>
          <w:trHeight w:val="27"/>
        </w:trPr>
        <w:tc>
          <w:tcPr>
            <w:tcW w:w="5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noncurrent programming and other inventory</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15,449</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13,924</w:t>
            </w:r>
          </w:p>
        </w:tc>
      </w:tr>
      <w:tr>
        <w:trPr>
          <w:trHeight w:val="33"/>
        </w:trPr>
        <w:tc>
          <w:tcPr>
            <w:tcW w:w="5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320" w:top="731" w:right="599" w:bottom="1440" w:gutter="0" w:footer="0" w:header="0"/>
        </w:sectPr>
      </w:pPr>
    </w:p>
    <w:bookmarkStart w:id="16" w:name="page17"/>
    <w:bookmarkEnd w:id="16"/>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9"/>
          <w:szCs w:val="19"/>
          <w:color w:val="auto"/>
        </w:rPr>
        <w:t>The following tables present amortization of our television and film programming and production costs, which is included within “Operating expenses” on the Consolidated Statements of Operations.</w:t>
      </w:r>
    </w:p>
    <w:p>
      <w:pPr>
        <w:spacing w:after="0" w:line="95" w:lineRule="exact"/>
        <w:rPr>
          <w:sz w:val="20"/>
          <w:szCs w:val="20"/>
          <w:color w:val="auto"/>
        </w:rPr>
      </w:pPr>
    </w:p>
    <w:tbl>
      <w:tblPr>
        <w:tblLayout w:type="fixed"/>
        <w:tblInd w:w="1060" w:type="dxa"/>
        <w:tblCellMar>
          <w:top w:w="0" w:type="dxa"/>
          <w:left w:w="0" w:type="dxa"/>
          <w:bottom w:w="0" w:type="dxa"/>
          <w:right w:w="0" w:type="dxa"/>
        </w:tblCellMar>
      </w:tblPr>
      <w:tr>
        <w:trPr>
          <w:trHeight w:val="255"/>
        </w:trPr>
        <w:tc>
          <w:tcPr>
            <w:tcW w:w="46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600" w:type="dxa"/>
            <w:vAlign w:val="bottom"/>
          </w:tcPr>
          <w:p>
            <w:pPr>
              <w:spacing w:after="0"/>
              <w:rPr>
                <w:sz w:val="16"/>
                <w:szCs w:val="16"/>
                <w:color w:val="auto"/>
              </w:rPr>
            </w:pPr>
          </w:p>
        </w:tc>
        <w:tc>
          <w:tcPr>
            <w:tcW w:w="1540" w:type="dxa"/>
            <w:vAlign w:val="bottom"/>
            <w:tcBorders>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Borders>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0" w:type="dxa"/>
            <w:vAlign w:val="bottom"/>
          </w:tcPr>
          <w:p>
            <w:pPr>
              <w:spacing w:after="0"/>
              <w:rPr>
                <w:sz w:val="1"/>
                <w:szCs w:val="1"/>
                <w:color w:val="auto"/>
              </w:rPr>
            </w:pPr>
          </w:p>
        </w:tc>
      </w:tr>
      <w:tr>
        <w:trPr>
          <w:trHeight w:val="232"/>
        </w:trPr>
        <w:tc>
          <w:tcPr>
            <w:tcW w:w="4600" w:type="dxa"/>
            <w:vAlign w:val="bottom"/>
          </w:tcPr>
          <w:p>
            <w:pPr>
              <w:spacing w:after="0"/>
              <w:rPr>
                <w:sz w:val="20"/>
                <w:szCs w:val="20"/>
                <w:color w:val="auto"/>
              </w:rPr>
            </w:pPr>
          </w:p>
        </w:tc>
        <w:tc>
          <w:tcPr>
            <w:tcW w:w="1540" w:type="dxa"/>
            <w:vAlign w:val="bottom"/>
            <w:tcBorders>
              <w:bottom w:val="single" w:sz="8" w:color="auto"/>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1 - August 6,</w:t>
            </w:r>
          </w:p>
        </w:tc>
        <w:tc>
          <w:tcPr>
            <w:tcW w:w="15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7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36"/>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Licensed program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743</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333</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1,068</w:t>
            </w:r>
          </w:p>
        </w:tc>
        <w:tc>
          <w:tcPr>
            <w:tcW w:w="0" w:type="dxa"/>
            <w:vAlign w:val="bottom"/>
          </w:tcPr>
          <w:p>
            <w:pPr>
              <w:spacing w:after="0"/>
              <w:rPr>
                <w:sz w:val="1"/>
                <w:szCs w:val="1"/>
                <w:color w:val="auto"/>
              </w:rPr>
            </w:pPr>
          </w:p>
        </w:tc>
      </w:tr>
      <w:tr>
        <w:trPr>
          <w:trHeight w:val="297"/>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Produced television and film</w:t>
            </w:r>
          </w:p>
        </w:tc>
        <w:tc>
          <w:tcPr>
            <w:tcW w:w="34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programming, and acquired libraries:</w:t>
            </w:r>
          </w:p>
        </w:tc>
        <w:tc>
          <w:tcPr>
            <w:tcW w:w="34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Individual monetization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264</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125</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62"/>
        </w:trPr>
        <w:tc>
          <w:tcPr>
            <w:tcW w:w="4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 group monetization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610</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522</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1,158</w:t>
            </w:r>
          </w:p>
        </w:tc>
        <w:tc>
          <w:tcPr>
            <w:tcW w:w="0" w:type="dxa"/>
            <w:vAlign w:val="bottom"/>
          </w:tcPr>
          <w:p>
            <w:pPr>
              <w:spacing w:after="0"/>
              <w:rPr>
                <w:sz w:val="1"/>
                <w:szCs w:val="1"/>
                <w:color w:val="auto"/>
              </w:rPr>
            </w:pPr>
          </w:p>
        </w:tc>
      </w:tr>
      <w:tr>
        <w:trPr>
          <w:trHeight w:val="33"/>
        </w:trPr>
        <w:tc>
          <w:tcPr>
            <w:tcW w:w="4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97"/>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00" w:type="dxa"/>
            <w:vAlign w:val="bottom"/>
          </w:tcPr>
          <w:p>
            <w:pPr>
              <w:spacing w:after="0"/>
              <w:rPr>
                <w:sz w:val="17"/>
                <w:szCs w:val="17"/>
                <w:color w:val="auto"/>
              </w:rPr>
            </w:pPr>
          </w:p>
        </w:tc>
        <w:tc>
          <w:tcPr>
            <w:tcW w:w="1540" w:type="dxa"/>
            <w:vAlign w:val="bottom"/>
            <w:tcBorders>
              <w:right w:val="single" w:sz="8" w:color="auto"/>
            </w:tcBorders>
            <w:gridSpan w:val="2"/>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0" w:type="dxa"/>
            <w:vAlign w:val="bottom"/>
          </w:tcPr>
          <w:p>
            <w:pPr>
              <w:spacing w:after="0"/>
              <w:rPr>
                <w:sz w:val="1"/>
                <w:szCs w:val="1"/>
                <w:color w:val="auto"/>
              </w:rPr>
            </w:pPr>
          </w:p>
        </w:tc>
      </w:tr>
      <w:tr>
        <w:trPr>
          <w:trHeight w:val="184"/>
        </w:trPr>
        <w:tc>
          <w:tcPr>
            <w:tcW w:w="4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Borders>
              <w:right w:val="single" w:sz="8" w:color="auto"/>
            </w:tcBorders>
          </w:tcPr>
          <w:p>
            <w:pPr>
              <w:jc w:val="center"/>
              <w:ind w:right="397"/>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 August</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600" w:type="dxa"/>
            <w:vAlign w:val="bottom"/>
          </w:tcPr>
          <w:p>
            <w:pPr>
              <w:spacing w:after="0"/>
              <w:rPr>
                <w:sz w:val="19"/>
                <w:szCs w:val="19"/>
                <w:color w:val="auto"/>
              </w:rPr>
            </w:pPr>
          </w:p>
        </w:tc>
        <w:tc>
          <w:tcPr>
            <w:tcW w:w="1540" w:type="dxa"/>
            <w:vAlign w:val="bottom"/>
            <w:tcBorders>
              <w:bottom w:val="single" w:sz="8" w:color="auto"/>
              <w:right w:val="single" w:sz="8" w:color="auto"/>
            </w:tcBorders>
            <w:gridSpan w:val="2"/>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6,</w:t>
            </w:r>
          </w:p>
        </w:tc>
        <w:tc>
          <w:tcPr>
            <w:tcW w:w="15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9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7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36"/>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Licensed program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rPr>
              <w:t>743</w:t>
            </w:r>
          </w:p>
        </w:tc>
        <w:tc>
          <w:tcPr>
            <w:tcW w:w="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2,961</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3,916</w:t>
            </w:r>
          </w:p>
        </w:tc>
        <w:tc>
          <w:tcPr>
            <w:tcW w:w="0" w:type="dxa"/>
            <w:vAlign w:val="bottom"/>
          </w:tcPr>
          <w:p>
            <w:pPr>
              <w:spacing w:after="0"/>
              <w:rPr>
                <w:sz w:val="1"/>
                <w:szCs w:val="1"/>
                <w:color w:val="auto"/>
              </w:rPr>
            </w:pPr>
          </w:p>
        </w:tc>
      </w:tr>
      <w:tr>
        <w:trPr>
          <w:trHeight w:val="297"/>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Produced television and film</w:t>
            </w:r>
          </w:p>
        </w:tc>
        <w:tc>
          <w:tcPr>
            <w:tcW w:w="34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programming, and acquired libraries:</w:t>
            </w:r>
          </w:p>
        </w:tc>
        <w:tc>
          <w:tcPr>
            <w:tcW w:w="34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Individual monetization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rPr>
              <w:t>264</w:t>
            </w:r>
          </w:p>
        </w:tc>
        <w:tc>
          <w:tcPr>
            <w:tcW w:w="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810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1,073</w:t>
            </w:r>
          </w:p>
        </w:tc>
        <w:tc>
          <w:tcPr>
            <w:tcW w:w="0" w:type="dxa"/>
            <w:vAlign w:val="bottom"/>
          </w:tcPr>
          <w:p>
            <w:pPr>
              <w:spacing w:after="0"/>
              <w:rPr>
                <w:sz w:val="1"/>
                <w:szCs w:val="1"/>
                <w:color w:val="auto"/>
              </w:rPr>
            </w:pPr>
          </w:p>
        </w:tc>
      </w:tr>
      <w:tr>
        <w:trPr>
          <w:trHeight w:val="262"/>
        </w:trPr>
        <w:tc>
          <w:tcPr>
            <w:tcW w:w="4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 group monetization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rPr>
              <w:t>610</w:t>
            </w:r>
          </w:p>
        </w:tc>
        <w:tc>
          <w:tcPr>
            <w:tcW w:w="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3,193</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3,498</w:t>
            </w:r>
          </w:p>
        </w:tc>
        <w:tc>
          <w:tcPr>
            <w:tcW w:w="0" w:type="dxa"/>
            <w:vAlign w:val="bottom"/>
          </w:tcPr>
          <w:p>
            <w:pPr>
              <w:spacing w:after="0"/>
              <w:rPr>
                <w:sz w:val="1"/>
                <w:szCs w:val="1"/>
                <w:color w:val="auto"/>
              </w:rPr>
            </w:pPr>
          </w:p>
        </w:tc>
      </w:tr>
      <w:tr>
        <w:trPr>
          <w:trHeight w:val="33"/>
        </w:trPr>
        <w:tc>
          <w:tcPr>
            <w:tcW w:w="4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 (Predecessor)</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Programming charges totaling $1.12 billion recorded during the first quarter of 2024 were the result of major changes in content strategy. These changes, which were made in connection with a shift to a global programming strategy, resulted in the removal of significant levels of content from our platforms, abandonment of development projects, and termination of programming agreements, particularly internationally, including locally-produced content and domestic titles that no longer aligned with a shift to a global programming strategy. The removal of this content from our platforms was a triggering event that required an assessment of whether the affected programming assets were impaired. This impairment review compared the current carrying value of each title with its fair value, which considered (1) that the titles were no longer being utilized on our platforms and there was no intention to use the titles on our platforms in the future and (2) the estimated future cash flows associated with any anticipated licensing of the titles to third parties, which was minimal. The programming charges were comprised of $909 million for the impairment of content to its estimated fair value, as well as $209 million for development cost write-offs and contract termination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731" w:right="439" w:bottom="1440" w:gutter="0" w:footer="0" w:header="0"/>
        </w:sectPr>
      </w:pPr>
    </w:p>
    <w:bookmarkStart w:id="17" w:name="page18"/>
    <w:bookmarkEnd w:id="17"/>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RESTRUCTURING, TRANSACTION-RELATED ITEMS, AND IMPAIRMENT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periods presented we recorded the following restructuring charges and transaction-related items.</w:t>
      </w:r>
    </w:p>
    <w:p>
      <w:pPr>
        <w:spacing w:after="0" w:line="191" w:lineRule="exact"/>
        <w:rPr>
          <w:sz w:val="20"/>
          <w:szCs w:val="20"/>
          <w:color w:val="auto"/>
        </w:rPr>
      </w:pPr>
    </w:p>
    <w:tbl>
      <w:tblPr>
        <w:tblLayout w:type="fixed"/>
        <w:tblInd w:w="1280" w:type="dxa"/>
        <w:tblCellMar>
          <w:top w:w="0" w:type="dxa"/>
          <w:left w:w="0" w:type="dxa"/>
          <w:bottom w:w="0" w:type="dxa"/>
          <w:right w:w="0" w:type="dxa"/>
        </w:tblCellMar>
      </w:tblPr>
      <w:tr>
        <w:trPr>
          <w:trHeight w:val="255"/>
        </w:trPr>
        <w:tc>
          <w:tcPr>
            <w:tcW w:w="416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From July</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1"/>
        </w:trPr>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9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(a)</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185</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13</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Transaction-related items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175</w:t>
            </w:r>
          </w:p>
        </w:tc>
        <w:tc>
          <w:tcPr>
            <w:tcW w:w="560" w:type="dxa"/>
            <w:vAlign w:val="bottom"/>
          </w:tcPr>
          <w:p>
            <w:pPr>
              <w:spacing w:after="0"/>
              <w:rPr>
                <w:sz w:val="19"/>
                <w:szCs w:val="19"/>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and transaction-related items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185</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188</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33"/>
        </w:trPr>
        <w:tc>
          <w:tcPr>
            <w:tcW w:w="4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4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 August</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16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96"/>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15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9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Severance </w:t>
            </w:r>
            <w:r>
              <w:rPr>
                <w:rFonts w:ascii="Times New Roman" w:cs="Times New Roman" w:eastAsia="Times New Roman" w:hAnsi="Times New Roman"/>
                <w:sz w:val="22"/>
                <w:szCs w:val="22"/>
                <w:color w:val="auto"/>
                <w:vertAlign w:val="superscript"/>
              </w:rPr>
              <w:t>(a)</w:t>
            </w:r>
          </w:p>
        </w:tc>
        <w:tc>
          <w:tcPr>
            <w:tcW w:w="320" w:type="dxa"/>
            <w:vAlign w:val="bottom"/>
          </w:tcPr>
          <w:p>
            <w:pPr>
              <w:spacing w:after="0"/>
              <w:rPr>
                <w:sz w:val="23"/>
                <w:szCs w:val="23"/>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185</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190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Exit costs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65</w:t>
            </w:r>
          </w:p>
        </w:tc>
        <w:tc>
          <w:tcPr>
            <w:tcW w:w="560" w:type="dxa"/>
            <w:vAlign w:val="bottom"/>
          </w:tcPr>
          <w:p>
            <w:pPr>
              <w:spacing w:after="0"/>
              <w:rPr>
                <w:sz w:val="19"/>
                <w:szCs w:val="19"/>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185</w:t>
            </w:r>
          </w:p>
        </w:tc>
        <w:tc>
          <w:tcPr>
            <w:tcW w:w="480" w:type="dxa"/>
            <w:vAlign w:val="bottom"/>
          </w:tcPr>
          <w:p>
            <w:pPr>
              <w:spacing w:after="0"/>
              <w:rPr>
                <w:sz w:val="19"/>
                <w:szCs w:val="19"/>
                <w:color w:val="auto"/>
              </w:rPr>
            </w:pP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255</w:t>
            </w:r>
          </w:p>
        </w:tc>
        <w:tc>
          <w:tcPr>
            <w:tcW w:w="560" w:type="dxa"/>
            <w:vAlign w:val="bottom"/>
          </w:tcPr>
          <w:p>
            <w:pPr>
              <w:spacing w:after="0"/>
              <w:rPr>
                <w:sz w:val="19"/>
                <w:szCs w:val="19"/>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544</w:t>
            </w:r>
          </w:p>
        </w:tc>
        <w:tc>
          <w:tcPr>
            <w:tcW w:w="0" w:type="dxa"/>
            <w:vAlign w:val="bottom"/>
          </w:tcPr>
          <w:p>
            <w:pPr>
              <w:spacing w:after="0"/>
              <w:rPr>
                <w:sz w:val="1"/>
                <w:szCs w:val="1"/>
                <w:color w:val="auto"/>
              </w:rPr>
            </w:pPr>
          </w:p>
        </w:tc>
      </w:tr>
      <w:tr>
        <w:trPr>
          <w:trHeight w:val="262"/>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Transaction-related items</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199</w:t>
            </w:r>
          </w:p>
        </w:tc>
        <w:tc>
          <w:tcPr>
            <w:tcW w:w="560" w:type="dxa"/>
            <w:vAlign w:val="bottom"/>
          </w:tcPr>
          <w:p>
            <w:pPr>
              <w:spacing w:after="0"/>
              <w:rPr>
                <w:sz w:val="22"/>
                <w:szCs w:val="22"/>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and transaction-related items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185</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454</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33"/>
        </w:trPr>
        <w:tc>
          <w:tcPr>
            <w:tcW w:w="4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Charges</w:t>
      </w:r>
    </w:p>
    <w:p>
      <w:pPr>
        <w:spacing w:after="0" w:line="1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color w:val="auto"/>
        </w:rPr>
        <w:t>Restructuring charges for the period from August 7 - September 30, 2025 (Successor) were comprised of severance costs of $185 million, principally associated with actions to align the business around our strategic priorities following the Transactions, including costs related to a plan under which severance payments are being provided to certain eligible employees who voluntarily elected to participate.</w:t>
      </w:r>
    </w:p>
    <w:p>
      <w:pPr>
        <w:spacing w:after="0" w:line="17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Restructuring charges for the Predecessor periods from July 1 - August 6, 2025 and January 1 - August 6, 2025 included severance costs of $13 million and $190 million, respectively, primarily associated with strategic changes in the global workforce in order to streamline the organization. Restructuring charges for the three and nine months ended September 30, 2024 (Predecessor) included severance costs of $288 million and $513 million, respectively, associated with strategic changes in our global workforce, and for the nine-month period also related to the exit of Paramount Global’s former CEO and other management changes.</w:t>
      </w:r>
    </w:p>
    <w:p>
      <w:pPr>
        <w:spacing w:after="0" w:line="18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color w:val="auto"/>
        </w:rPr>
        <w:t>Additionally, during the period from January 1 - August 6, 2025 (Predecessor) and the nine months ended September 30, 2024 (Predecessor), we recorded exit costs of $65 million and $31 million, respectively, primarily for the impairment of lease assets that we ceased use of in connection with initiatives to reduce our real estate footprint and create cost synergies. The impairments were primarily the result of a decline in market conditions since the inception of these leases and reflect the difference between the estimated fair values, which were determined based on the expected future cash flows of the lease assets, and the carrying values.</w:t>
      </w:r>
    </w:p>
    <w:p>
      <w:pPr>
        <w:spacing w:after="0" w:line="188"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9"/>
          <w:szCs w:val="19"/>
          <w:color w:val="auto"/>
        </w:rPr>
        <w:t>The following is a rollforward of our restructuring severance liability, which is recorded in “Other current liabilities” and “Other liabilities” on the Consolidated Balance Sheets, and is expected to be substantially paid by the end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8" w:name="page19"/>
    <w:bookmarkEnd w:id="18"/>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99" w:lineRule="exact"/>
        <w:rPr>
          <w:sz w:val="20"/>
          <w:szCs w:val="20"/>
          <w:color w:val="auto"/>
        </w:rPr>
      </w:pPr>
    </w:p>
    <w:tbl>
      <w:tblPr>
        <w:tblLayout w:type="fixed"/>
        <w:tblInd w:w="260" w:type="dxa"/>
        <w:tblCellMar>
          <w:top w:w="0" w:type="dxa"/>
          <w:left w:w="0" w:type="dxa"/>
          <w:bottom w:w="0" w:type="dxa"/>
          <w:right w:w="0" w:type="dxa"/>
        </w:tblCellMar>
      </w:tblPr>
      <w:tr>
        <w:trPr>
          <w:trHeight w:val="255"/>
        </w:trPr>
        <w:tc>
          <w:tcPr>
            <w:tcW w:w="16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2340" w:type="dxa"/>
            <w:vAlign w:val="bottom"/>
            <w:tcBorders>
              <w:top w:val="single" w:sz="8" w:color="auto"/>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2025 Activity (Predecessor)</w:t>
            </w:r>
          </w:p>
        </w:tc>
        <w:tc>
          <w:tcPr>
            <w:tcW w:w="100" w:type="dxa"/>
            <w:vAlign w:val="bottom"/>
            <w:tcBorders>
              <w:top w:val="single" w:sz="8" w:color="auto"/>
              <w:right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360" w:type="dxa"/>
            <w:vAlign w:val="bottom"/>
            <w:tcBorders>
              <w:top w:val="single" w:sz="8" w:color="auto"/>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2025 Activity (Successor)</w:t>
            </w:r>
          </w:p>
        </w:tc>
        <w:tc>
          <w:tcPr>
            <w:tcW w:w="7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194"/>
        </w:trPr>
        <w:tc>
          <w:tcPr>
            <w:tcW w:w="1600" w:type="dxa"/>
            <w:vAlign w:val="bottom"/>
          </w:tcPr>
          <w:p>
            <w:pPr>
              <w:spacing w:after="0"/>
              <w:rPr>
                <w:sz w:val="16"/>
                <w:szCs w:val="16"/>
                <w:color w:val="auto"/>
              </w:rPr>
            </w:pPr>
          </w:p>
        </w:tc>
        <w:tc>
          <w:tcPr>
            <w:tcW w:w="20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Balance at December 31,</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Payments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Payments and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at September 30,</w:t>
            </w:r>
          </w:p>
        </w:tc>
      </w:tr>
      <w:tr>
        <w:trPr>
          <w:trHeight w:val="239"/>
        </w:trPr>
        <w:tc>
          <w:tcPr>
            <w:tcW w:w="1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4"/>
              </w:rPr>
              <w:t xml:space="preserve">Charges </w:t>
            </w:r>
            <w:r>
              <w:rPr>
                <w:rFonts w:ascii="Times New Roman" w:cs="Times New Roman" w:eastAsia="Times New Roman" w:hAnsi="Times New Roman"/>
                <w:sz w:val="20"/>
                <w:szCs w:val="20"/>
                <w:b w:val="1"/>
                <w:bCs w:val="1"/>
                <w:color w:val="auto"/>
                <w:w w:val="94"/>
                <w:vertAlign w:val="superscript"/>
              </w:rPr>
              <w:t>(a)</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4"/>
              </w:rPr>
              <w:t xml:space="preserve">Charges </w:t>
            </w:r>
            <w:r>
              <w:rPr>
                <w:rFonts w:ascii="Times New Roman" w:cs="Times New Roman" w:eastAsia="Times New Roman" w:hAnsi="Times New Roman"/>
                <w:sz w:val="20"/>
                <w:szCs w:val="20"/>
                <w:b w:val="1"/>
                <w:bCs w:val="1"/>
                <w:color w:val="auto"/>
                <w:w w:val="94"/>
                <w:vertAlign w:val="superscript"/>
              </w:rPr>
              <w:t>(a)</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2"/>
        </w:trPr>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TV Media</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156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141</w:t>
            </w: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74</w:t>
            </w:r>
          </w:p>
        </w:tc>
        <w:tc>
          <w:tcPr>
            <w:tcW w:w="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(32)</w:t>
            </w: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241</w:t>
            </w:r>
          </w:p>
        </w:tc>
      </w:tr>
      <w:tr>
        <w:trPr>
          <w:trHeight w:val="236"/>
        </w:trPr>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760" w:type="dxa"/>
            <w:vAlign w:val="bottom"/>
          </w:tcPr>
          <w:p>
            <w:pPr>
              <w:spacing w:after="0"/>
              <w:rPr>
                <w:sz w:val="20"/>
                <w:szCs w:val="20"/>
                <w:color w:val="auto"/>
              </w:rPr>
            </w:pPr>
          </w:p>
        </w:tc>
        <w:tc>
          <w:tcPr>
            <w:tcW w:w="13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w:t>
            </w:r>
          </w:p>
        </w:tc>
        <w:tc>
          <w:tcPr>
            <w:tcW w:w="740" w:type="dxa"/>
            <w:vAlign w:val="bottom"/>
          </w:tcPr>
          <w:p>
            <w:pPr>
              <w:spacing w:after="0"/>
              <w:rPr>
                <w:sz w:val="20"/>
                <w:szCs w:val="20"/>
                <w:color w:val="auto"/>
              </w:rPr>
            </w:pPr>
          </w:p>
        </w:tc>
        <w:tc>
          <w:tcPr>
            <w:tcW w:w="12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19</w:t>
            </w:r>
          </w:p>
        </w:tc>
      </w:tr>
      <w:tr>
        <w:trPr>
          <w:trHeight w:val="236"/>
        </w:trPr>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Filmed Entertainment</w:t>
            </w:r>
          </w:p>
        </w:tc>
        <w:tc>
          <w:tcPr>
            <w:tcW w:w="760" w:type="dxa"/>
            <w:vAlign w:val="bottom"/>
          </w:tcPr>
          <w:p>
            <w:pPr>
              <w:spacing w:after="0"/>
              <w:rPr>
                <w:sz w:val="20"/>
                <w:szCs w:val="20"/>
                <w:color w:val="auto"/>
              </w:rPr>
            </w:pPr>
          </w:p>
        </w:tc>
        <w:tc>
          <w:tcPr>
            <w:tcW w:w="13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43</w:t>
            </w:r>
          </w:p>
        </w:tc>
        <w:tc>
          <w:tcPr>
            <w:tcW w:w="38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(6)</w:t>
            </w:r>
          </w:p>
        </w:tc>
        <w:tc>
          <w:tcPr>
            <w:tcW w:w="740" w:type="dxa"/>
            <w:vAlign w:val="bottom"/>
          </w:tcPr>
          <w:p>
            <w:pPr>
              <w:spacing w:after="0"/>
              <w:rPr>
                <w:sz w:val="20"/>
                <w:szCs w:val="20"/>
                <w:color w:val="auto"/>
              </w:rPr>
            </w:pPr>
          </w:p>
        </w:tc>
        <w:tc>
          <w:tcPr>
            <w:tcW w:w="12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72</w:t>
            </w:r>
          </w:p>
        </w:tc>
      </w:tr>
      <w:tr>
        <w:trPr>
          <w:trHeight w:val="247"/>
        </w:trPr>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7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29</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(11)</w:t>
            </w:r>
          </w:p>
        </w:tc>
        <w:tc>
          <w:tcPr>
            <w:tcW w:w="7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71</w:t>
            </w:r>
          </w:p>
        </w:tc>
      </w:tr>
      <w:tr>
        <w:trPr>
          <w:trHeight w:val="242"/>
        </w:trPr>
        <w:tc>
          <w:tcPr>
            <w:tcW w:w="1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349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176</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155</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(53)</w:t>
            </w:r>
          </w:p>
        </w:tc>
        <w:tc>
          <w:tcPr>
            <w:tcW w:w="7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403</w:t>
            </w:r>
          </w:p>
        </w:tc>
      </w:tr>
    </w:tbl>
    <w:p>
      <w:pPr>
        <w:spacing w:after="0" w:line="130" w:lineRule="exact"/>
        <w:rPr>
          <w:sz w:val="20"/>
          <w:szCs w:val="20"/>
          <w:color w:val="auto"/>
        </w:rPr>
      </w:pPr>
    </w:p>
    <w:p>
      <w:pPr>
        <w:ind w:left="640" w:right="740" w:hanging="242"/>
        <w:spacing w:after="0" w:line="268" w:lineRule="auto"/>
        <w:tabs>
          <w:tab w:leader="none" w:pos="61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stock-based compensation expense of $30 million and $14 million for the periods from August 7 - September 30, 2025 (Successor) and January 1 - August 6, 2025 (Predecessor),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Transaction-Related Items</w:t>
      </w:r>
    </w:p>
    <w:p>
      <w:pPr>
        <w:spacing w:after="0" w:line="16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auto"/>
        </w:rPr>
        <w:t>During the Predecessor periods from July 1 - August 6, 2025 and January 1 - August 6, 2025, we recorded $175 million and $199 million, respectively principally for banking, legal, advisory, and other professional fees relating to the Transactions, and transaction awards that became payable to eligible employees upon closing. During the three and nine months ended September 30, 2024, we recorded transaction-related costs of $33 million and $51 million, respectively associated with legal and advisory fees related to the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Interim Impairment Testing (Predecessor)</w:t>
      </w:r>
    </w:p>
    <w:p>
      <w:pPr>
        <w:spacing w:after="0" w:line="1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i w:val="1"/>
          <w:iCs w:val="1"/>
          <w:color w:val="auto"/>
        </w:rPr>
        <w:t>FCC Licenses—</w:t>
      </w:r>
      <w:r>
        <w:rPr>
          <w:rFonts w:ascii="Times New Roman" w:cs="Times New Roman" w:eastAsia="Times New Roman" w:hAnsi="Times New Roman"/>
          <w:sz w:val="19"/>
          <w:szCs w:val="19"/>
          <w:color w:val="auto"/>
        </w:rPr>
        <w:t>For the second quarter of 2025 (Predecessor), as a result of recent declines in industry projections, interim impairment tests were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necessary for six markets in which we hold FCC licenses. We consider each geographic market, which is comprised of all of our television stations within that geographic market, to be a single unit of accounting because the FCC licenses at this level represent their highest and best use, and accordingly FCC licenses were tested for impairment at the geographic market level. The FCC licenses impairment tests were performed using the Greenfield Discounted Cash Flow Method, which estimates the fair values of FCC licenses by valuing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industry projections and long-range inflation. The discount rate and the long-term growth rate were 7.5% and (2)%, respectively.</w:t>
      </w:r>
    </w:p>
    <w:p>
      <w:pPr>
        <w:spacing w:after="0" w:line="19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9"/>
          <w:szCs w:val="19"/>
          <w:color w:val="auto"/>
        </w:rPr>
        <w:t>The impairment tests indicated that the estimated fair values of FCC licenses in each of the six markets tested were below their respective carrying values. Accordingly, an impairment charge was recorded during the second quarter of 2025 of $157 million to write down the carrying values of these FCC licenses to their aggregate estimated fair value.</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 xml:space="preserve">During the second quarter of 2024, interim impairment tests were performed for eight markets in which we hold FCC licenses. The tests indicated that the estimated fair values of FCC licenses in two of the eight markets were below their respective carrying values. Accordingly, an impairment charge of $15 million was recorded to write down the carrying values of these FCC licenses to their estimated fair values. The impairment charges in each year were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w:t>
      </w:r>
    </w:p>
    <w:p>
      <w:pPr>
        <w:spacing w:after="0" w:line="185"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9"/>
          <w:szCs w:val="19"/>
          <w:color w:val="auto"/>
        </w:rPr>
        <w:t>During the third quarter of 2024, as a result of a further decline in industry-projected long-term growth rates, an interim impairment test was performed for each of our 14 markets with FCC license book values. The tests indicated that the estimated fair values of FCC licenses in five of the 14 markets were below their respective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9" w:name="page20"/>
    <w:bookmarkEnd w:id="19"/>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9"/>
          <w:szCs w:val="19"/>
          <w:color w:val="auto"/>
        </w:rPr>
        <w:t xml:space="preserve">carrying values. Accordingly, an impairment charge of $104 million was recorded during the three months ended September 30, 2024, to write down the carrying values of FCC licenses in these five markets to their aggregate estimated fair value. The impairment charge, which was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was primarily the result of a reduction in the long-term growth rate utilized in the impairment tests to</w:t>
      </w:r>
    </w:p>
    <w:p>
      <w:pPr>
        <w:spacing w:after="0"/>
        <w:rPr>
          <w:sz w:val="20"/>
          <w:szCs w:val="20"/>
          <w:color w:val="auto"/>
        </w:rPr>
      </w:pPr>
      <w:r>
        <w:rPr>
          <w:rFonts w:ascii="Times New Roman" w:cs="Times New Roman" w:eastAsia="Times New Roman" w:hAnsi="Times New Roman"/>
          <w:sz w:val="19"/>
          <w:szCs w:val="19"/>
          <w:color w:val="auto"/>
        </w:rPr>
        <w:t>(2)%. The estimated fair values of FCC licenses in the remaining nine markets exceeded their carrying values by more than 10%.</w:t>
      </w:r>
    </w:p>
    <w:p>
      <w:pPr>
        <w:spacing w:after="0" w:line="22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i w:val="1"/>
          <w:iCs w:val="1"/>
          <w:color w:val="auto"/>
        </w:rPr>
        <w:t>Goodwill—</w:t>
      </w:r>
      <w:r>
        <w:rPr>
          <w:rFonts w:ascii="Times New Roman" w:cs="Times New Roman" w:eastAsia="Times New Roman" w:hAnsi="Times New Roman"/>
          <w:sz w:val="19"/>
          <w:szCs w:val="19"/>
          <w:color w:val="auto"/>
        </w:rPr>
        <w:t>For the second quarter of 2024, the relevant factors that could impact the fair value of Paramount Global’s reporting units were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assessed, including indicators in the linear affiliate marketplace and the estimated total company market value indicated by the Transactions and the NAI Transaction announced on July 7, 2024. Based on this assessment, an interim goodwill impairment test was performed for each reporting unit. The goodwill impairment test for the Cable Networks reporting unit indicated that an impairment charge of $5.98 billion was required, which represented the goodwill balance of the reporting unit prior to the impairment test. The impairment charge, which was recorded within the </w:t>
      </w:r>
      <w:r>
        <w:rPr>
          <w:rFonts w:ascii="Times New Roman" w:cs="Times New Roman" w:eastAsia="Times New Roman" w:hAnsi="Times New Roman"/>
          <w:sz w:val="19"/>
          <w:szCs w:val="19"/>
          <w:i w:val="1"/>
          <w:iCs w:val="1"/>
          <w:color w:val="auto"/>
        </w:rPr>
        <w:t xml:space="preserve">TV Media </w:t>
      </w:r>
      <w:r>
        <w:rPr>
          <w:rFonts w:ascii="Times New Roman" w:cs="Times New Roman" w:eastAsia="Times New Roman" w:hAnsi="Times New Roman"/>
          <w:sz w:val="19"/>
          <w:szCs w:val="19"/>
          <w:color w:val="auto"/>
        </w:rPr>
        <w:t>segment, resulted from a downward adjustment to the reporting unit’s expected cash flows, primarily because of the linear affiliate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market indicators noted above, and the estimated total company market value indicated by the Transactions and the NAI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RELATED PARTIES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 Ellison Family (Successor)</w:t>
      </w:r>
    </w:p>
    <w:p>
      <w:pPr>
        <w:spacing w:after="0" w:line="1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9"/>
          <w:szCs w:val="19"/>
          <w:color w:val="auto"/>
        </w:rPr>
        <w:t>Following the closing of the Transactions and the NAI Transaction, the Ellison Family indirectly holds approximately 77.5% of our voting Class A Common Stock through their collective approximate 77.5% ownership interest in Harbor Lights Entertainment, Inc. (f/k/a National Amusements, Inc.), and as a result is the controlling stockholder of Paramount (see Note 1). In addition, in connection with the PIPE transaction, the NAI Equity Investors (including entities controlled by the Ellison Family) received warrants to purchase a total of 200 million shares of Paramount Skydance Corporation Class B Common Stock (of which entities controlled by the Ellison Family received warrants to purchase a total of 155 million shares) at an initial exercise price of $30.50 per share (subject to customary anti-dilution adjustments), which expire five years after issuance. The Ellison Family is comprised of Lawrence Ellison and David Ellison. David Ellison is the son of Lawrence Ellison, and Lawrence Ellison and David Ellison are accordingly considered immediate family members. David Ellison is the CEO of Paramount and the Chairman of our Board of Directors.</w:t>
      </w:r>
    </w:p>
    <w:p>
      <w:pPr>
        <w:spacing w:after="0" w:line="19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color w:val="auto"/>
        </w:rPr>
        <w:t>Lawrence Ellison is the Chairman and a major stockholder of Oracle Corporation (“Oracle”). We have several multi-year Software as a Service (SaaS) agreements with Oracle, principally for finance and human resources, as well as Oracle software support agreements and database licenses used by various applications. The total payments related to these arrangements from August 7 - September 30, 2025 were $2 million.</w:t>
      </w:r>
    </w:p>
    <w:p>
      <w:pPr>
        <w:spacing w:after="0" w:line="17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In addition, we have lease agreements under which the lessor is an entity owned and controlled by Lawrence Ellison. At September 30, 2025, the total liability associated with these leases was $191 million. During the period from August 7 - September 30, 2025 we recorded lease costs associated with these leases totaling $4 million.</w:t>
      </w:r>
    </w:p>
    <w:p>
      <w:pPr>
        <w:spacing w:after="0" w:line="194"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9"/>
          <w:szCs w:val="19"/>
          <w:color w:val="auto"/>
        </w:rPr>
        <w:t>The Ellison Family has investments in other entities over which they have control or can exert significant influence, which as a result, are related parties to us. We did not have any material transactions with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20" w:name="page21"/>
    <w:bookmarkEnd w:id="20"/>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Related Parties</w:t>
      </w:r>
    </w:p>
    <w:p>
      <w:pPr>
        <w:spacing w:after="0" w:line="151"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In the ordinary course of business, we are involved in transactions with our equity method investees, primarily for the licensing of television and film programming. The following tables present the amounts recorded in our consolidated financial statements related to these transactions.</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255"/>
        </w:trPr>
        <w:tc>
          <w:tcPr>
            <w:tcW w:w="44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0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r>
      <w:tr>
        <w:trPr>
          <w:trHeight w:val="194"/>
        </w:trPr>
        <w:tc>
          <w:tcPr>
            <w:tcW w:w="4400" w:type="dxa"/>
            <w:vAlign w:val="bottom"/>
          </w:tcPr>
          <w:p>
            <w:pPr>
              <w:spacing w:after="0"/>
              <w:rPr>
                <w:sz w:val="16"/>
                <w:szCs w:val="16"/>
                <w:color w:val="auto"/>
              </w:rPr>
            </w:pPr>
          </w:p>
        </w:tc>
        <w:tc>
          <w:tcPr>
            <w:tcW w:w="154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Period From August</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From July</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r>
      <w:tr>
        <w:trPr>
          <w:trHeight w:val="208"/>
        </w:trPr>
        <w:tc>
          <w:tcPr>
            <w:tcW w:w="44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7 - September 30,</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1"/>
        </w:trPr>
        <w:tc>
          <w:tcPr>
            <w:tcW w:w="4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4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36"/>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6"/>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40</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28</w:t>
            </w:r>
          </w:p>
        </w:tc>
        <w:tc>
          <w:tcPr>
            <w:tcW w:w="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40</w:t>
            </w:r>
          </w:p>
        </w:tc>
      </w:tr>
      <w:tr>
        <w:trPr>
          <w:trHeight w:val="387"/>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Operating costs </w:t>
            </w:r>
            <w:r>
              <w:rPr>
                <w:rFonts w:ascii="Times New Roman" w:cs="Times New Roman" w:eastAsia="Times New Roman" w:hAnsi="Times New Roman"/>
                <w:sz w:val="22"/>
                <w:szCs w:val="22"/>
                <w:color w:val="auto"/>
                <w:vertAlign w:val="superscript"/>
              </w:rPr>
              <w:t>(a)</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right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30</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22</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37</w:t>
            </w:r>
          </w:p>
        </w:tc>
      </w:tr>
      <w:tr>
        <w:trPr>
          <w:trHeight w:val="177"/>
        </w:trPr>
        <w:tc>
          <w:tcPr>
            <w:tcW w:w="4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229"/>
        </w:trPr>
        <w:tc>
          <w:tcPr>
            <w:tcW w:w="4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bottom w:val="single" w:sz="8" w:color="auto"/>
            </w:tcBorders>
          </w:tcPr>
          <w:p>
            <w:pPr>
              <w:spacing w:after="0"/>
              <w:rPr>
                <w:sz w:val="19"/>
                <w:szCs w:val="19"/>
                <w:color w:val="auto"/>
              </w:rPr>
            </w:pPr>
          </w:p>
        </w:tc>
      </w:tr>
      <w:tr>
        <w:trPr>
          <w:trHeight w:val="194"/>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4400" w:type="dxa"/>
            <w:vAlign w:val="bottom"/>
          </w:tcPr>
          <w:p>
            <w:pPr>
              <w:spacing w:after="0"/>
              <w:rPr>
                <w:sz w:val="15"/>
                <w:szCs w:val="15"/>
                <w:color w:val="auto"/>
              </w:rPr>
            </w:pPr>
          </w:p>
        </w:tc>
        <w:tc>
          <w:tcPr>
            <w:tcW w:w="154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Period From August</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r>
      <w:tr>
        <w:trPr>
          <w:trHeight w:val="232"/>
        </w:trPr>
        <w:tc>
          <w:tcPr>
            <w:tcW w:w="4400" w:type="dxa"/>
            <w:vAlign w:val="bottom"/>
          </w:tcPr>
          <w:p>
            <w:pPr>
              <w:spacing w:after="0"/>
              <w:rPr>
                <w:sz w:val="20"/>
                <w:szCs w:val="20"/>
                <w:color w:val="auto"/>
              </w:rPr>
            </w:pPr>
          </w:p>
        </w:tc>
        <w:tc>
          <w:tcPr>
            <w:tcW w:w="1540" w:type="dxa"/>
            <w:vAlign w:val="bottom"/>
            <w:tcBorders>
              <w:bottom w:val="single" w:sz="8" w:color="auto"/>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7 - September 30,</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5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9"/>
        </w:trPr>
        <w:tc>
          <w:tcPr>
            <w:tcW w:w="4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36"/>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6"/>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40</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198</w:t>
            </w:r>
          </w:p>
        </w:tc>
        <w:tc>
          <w:tcPr>
            <w:tcW w:w="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177</w:t>
            </w:r>
          </w:p>
        </w:tc>
      </w:tr>
      <w:tr>
        <w:trPr>
          <w:trHeight w:val="387"/>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Operating costs </w:t>
            </w:r>
            <w:r>
              <w:rPr>
                <w:rFonts w:ascii="Times New Roman" w:cs="Times New Roman" w:eastAsia="Times New Roman" w:hAnsi="Times New Roman"/>
                <w:sz w:val="22"/>
                <w:szCs w:val="22"/>
                <w:color w:val="auto"/>
                <w:vertAlign w:val="superscript"/>
              </w:rPr>
              <w:t>(a)</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right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30</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82</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74</w:t>
            </w:r>
          </w:p>
        </w:tc>
      </w:tr>
    </w:tbl>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 Each period includes costs expensed as operating expenses and costs capitalized in programming assets.</w:t>
      </w:r>
    </w:p>
    <w:p>
      <w:pPr>
        <w:spacing w:after="0" w:line="203" w:lineRule="exact"/>
        <w:rPr>
          <w:sz w:val="20"/>
          <w:szCs w:val="20"/>
          <w:color w:val="auto"/>
        </w:rPr>
      </w:pPr>
    </w:p>
    <w:tbl>
      <w:tblPr>
        <w:tblLayout w:type="fixed"/>
        <w:tblInd w:w="1740" w:type="dxa"/>
        <w:tblCellMar>
          <w:top w:w="0" w:type="dxa"/>
          <w:left w:w="0" w:type="dxa"/>
          <w:bottom w:w="0" w:type="dxa"/>
          <w:right w:w="0" w:type="dxa"/>
        </w:tblCellMar>
      </w:tblPr>
      <w:tr>
        <w:trPr>
          <w:trHeight w:val="255"/>
        </w:trPr>
        <w:tc>
          <w:tcPr>
            <w:tcW w:w="356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4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tcPr>
          <w:p>
            <w:pPr>
              <w:jc w:val="center"/>
              <w:ind w:right="298"/>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18"/>
        </w:trPr>
        <w:tc>
          <w:tcPr>
            <w:tcW w:w="3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Borders>
              <w:right w:val="single" w:sz="8" w:color="auto"/>
            </w:tcBorders>
          </w:tcPr>
          <w:p>
            <w:pPr>
              <w:jc w:val="center"/>
              <w:ind w:right="557"/>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440" w:type="dxa"/>
            <w:vAlign w:val="bottom"/>
          </w:tcPr>
          <w:p>
            <w:pPr>
              <w:spacing w:after="0"/>
              <w:rPr>
                <w:sz w:val="18"/>
                <w:szCs w:val="18"/>
                <w:color w:val="auto"/>
              </w:rPr>
            </w:pPr>
          </w:p>
        </w:tc>
        <w:tc>
          <w:tcPr>
            <w:tcW w:w="1660" w:type="dxa"/>
            <w:vAlign w:val="bottom"/>
          </w:tcPr>
          <w:p>
            <w:pPr>
              <w:jc w:val="center"/>
              <w:ind w:right="298"/>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247"/>
        </w:trPr>
        <w:tc>
          <w:tcPr>
            <w:tcW w:w="356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September 30, 2025</w:t>
            </w:r>
          </w:p>
        </w:tc>
        <w:tc>
          <w:tcPr>
            <w:tcW w:w="4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98"/>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36"/>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178</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190</w:t>
            </w:r>
          </w:p>
        </w:tc>
      </w:tr>
      <w:tr>
        <w:trPr>
          <w:trHeight w:val="367"/>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 (Receivables, noncurrent)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96</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82</w:t>
            </w:r>
          </w:p>
        </w:tc>
      </w:tr>
      <w:tr>
        <w:trPr>
          <w:trHeight w:val="33"/>
        </w:trPr>
        <w:tc>
          <w:tcPr>
            <w:tcW w:w="3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Through the normal course of business, we are involved in other transactions with related parties that have not been material in any of the periods presented.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REVENUES</w:t>
      </w:r>
    </w:p>
    <w:p>
      <w:pPr>
        <w:spacing w:after="0" w:line="151"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9"/>
          <w:szCs w:val="19"/>
          <w:color w:val="auto"/>
        </w:rPr>
        <w:t>The tables below present our revenues disaggregated into categories based on the nature of such revenues. See Note 13 for revenues by segment disaggregated into these categories.</w:t>
      </w:r>
    </w:p>
    <w:p>
      <w:pPr>
        <w:spacing w:after="0" w:line="95" w:lineRule="exact"/>
        <w:rPr>
          <w:sz w:val="20"/>
          <w:szCs w:val="20"/>
          <w:color w:val="auto"/>
        </w:rPr>
      </w:pPr>
    </w:p>
    <w:tbl>
      <w:tblPr>
        <w:tblLayout w:type="fixed"/>
        <w:tblInd w:w="1360" w:type="dxa"/>
        <w:tblCellMar>
          <w:top w:w="0" w:type="dxa"/>
          <w:left w:w="0" w:type="dxa"/>
          <w:bottom w:w="0" w:type="dxa"/>
          <w:right w:w="0" w:type="dxa"/>
        </w:tblCellMar>
      </w:tblPr>
      <w:tr>
        <w:trPr>
          <w:trHeight w:val="255"/>
        </w:trPr>
        <w:tc>
          <w:tcPr>
            <w:tcW w:w="396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80" w:type="dxa"/>
            <w:vAlign w:val="bottom"/>
            <w:tcBorders>
              <w:top w:val="single" w:sz="8" w:color="auto"/>
              <w:bottom w:val="single" w:sz="8" w:color="auto"/>
            </w:tcBorders>
          </w:tcPr>
          <w:p>
            <w:pPr>
              <w:spacing w:after="0"/>
              <w:rPr>
                <w:sz w:val="22"/>
                <w:szCs w:val="22"/>
                <w:color w:val="auto"/>
              </w:rPr>
            </w:pPr>
          </w:p>
        </w:tc>
      </w:tr>
      <w:tr>
        <w:trPr>
          <w:trHeight w:val="194"/>
        </w:trPr>
        <w:tc>
          <w:tcPr>
            <w:tcW w:w="3960" w:type="dxa"/>
            <w:vAlign w:val="bottom"/>
          </w:tcPr>
          <w:p>
            <w:pPr>
              <w:spacing w:after="0"/>
              <w:rPr>
                <w:sz w:val="16"/>
                <w:szCs w:val="16"/>
                <w:color w:val="auto"/>
              </w:rPr>
            </w:pPr>
          </w:p>
        </w:tc>
        <w:tc>
          <w:tcPr>
            <w:tcW w:w="148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4"/>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Borders>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From July</w:t>
            </w:r>
          </w:p>
        </w:tc>
        <w:tc>
          <w:tcPr>
            <w:tcW w:w="166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32"/>
        </w:trPr>
        <w:tc>
          <w:tcPr>
            <w:tcW w:w="3960" w:type="dxa"/>
            <w:vAlign w:val="bottom"/>
          </w:tcPr>
          <w:p>
            <w:pPr>
              <w:spacing w:after="0"/>
              <w:rPr>
                <w:sz w:val="20"/>
                <w:szCs w:val="20"/>
                <w:color w:val="auto"/>
              </w:rPr>
            </w:pPr>
          </w:p>
        </w:tc>
        <w:tc>
          <w:tcPr>
            <w:tcW w:w="1480" w:type="dxa"/>
            <w:vAlign w:val="bottom"/>
            <w:tcBorders>
              <w:bottom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166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9"/>
        </w:trPr>
        <w:tc>
          <w:tcPr>
            <w:tcW w:w="3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3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Revenues by Type:</w:t>
            </w:r>
          </w:p>
        </w:tc>
        <w:tc>
          <w:tcPr>
            <w:tcW w:w="30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2"/>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Advertising</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1,280</w:t>
            </w: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664</w:t>
            </w: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2,174</w:t>
            </w:r>
          </w:p>
        </w:tc>
      </w:tr>
      <w:tr>
        <w:trPr>
          <w:trHeight w:val="262"/>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300" w:type="dxa"/>
            <w:vAlign w:val="bottom"/>
          </w:tcPr>
          <w:p>
            <w:pPr>
              <w:spacing w:after="0"/>
              <w:rPr>
                <w:sz w:val="22"/>
                <w:szCs w:val="22"/>
                <w:color w:val="auto"/>
              </w:rPr>
            </w:pPr>
          </w:p>
        </w:tc>
        <w:tc>
          <w:tcPr>
            <w:tcW w:w="118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2,027</w:t>
            </w:r>
          </w:p>
        </w:tc>
        <w:tc>
          <w:tcPr>
            <w:tcW w:w="460" w:type="dxa"/>
            <w:vAlign w:val="bottom"/>
          </w:tcPr>
          <w:p>
            <w:pPr>
              <w:spacing w:after="0"/>
              <w:rPr>
                <w:sz w:val="22"/>
                <w:szCs w:val="22"/>
                <w:color w:val="auto"/>
              </w:rPr>
            </w:pP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1,400</w:t>
            </w:r>
          </w:p>
        </w:tc>
        <w:tc>
          <w:tcPr>
            <w:tcW w:w="580" w:type="dxa"/>
            <w:vAlign w:val="bottom"/>
          </w:tcPr>
          <w:p>
            <w:pPr>
              <w:spacing w:after="0"/>
              <w:rPr>
                <w:sz w:val="22"/>
                <w:szCs w:val="22"/>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3,215</w:t>
            </w:r>
          </w:p>
        </w:tc>
      </w:tr>
      <w:tr>
        <w:trPr>
          <w:trHeight w:val="262"/>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Theatrical</w:t>
            </w:r>
          </w:p>
        </w:tc>
        <w:tc>
          <w:tcPr>
            <w:tcW w:w="300" w:type="dxa"/>
            <w:vAlign w:val="bottom"/>
          </w:tcPr>
          <w:p>
            <w:pPr>
              <w:spacing w:after="0"/>
              <w:rPr>
                <w:sz w:val="22"/>
                <w:szCs w:val="22"/>
                <w:color w:val="auto"/>
              </w:rPr>
            </w:pPr>
          </w:p>
        </w:tc>
        <w:tc>
          <w:tcPr>
            <w:tcW w:w="118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39</w:t>
            </w:r>
          </w:p>
        </w:tc>
        <w:tc>
          <w:tcPr>
            <w:tcW w:w="460" w:type="dxa"/>
            <w:vAlign w:val="bottom"/>
          </w:tcPr>
          <w:p>
            <w:pPr>
              <w:spacing w:after="0"/>
              <w:rPr>
                <w:sz w:val="22"/>
                <w:szCs w:val="22"/>
                <w:color w:val="auto"/>
              </w:rPr>
            </w:pP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73</w:t>
            </w:r>
          </w:p>
        </w:tc>
        <w:tc>
          <w:tcPr>
            <w:tcW w:w="580" w:type="dxa"/>
            <w:vAlign w:val="bottom"/>
          </w:tcPr>
          <w:p>
            <w:pPr>
              <w:spacing w:after="0"/>
              <w:rPr>
                <w:sz w:val="22"/>
                <w:szCs w:val="22"/>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108</w:t>
            </w:r>
          </w:p>
        </w:tc>
      </w:tr>
      <w:tr>
        <w:trPr>
          <w:trHeight w:val="262"/>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Licensing and other</w:t>
            </w:r>
          </w:p>
        </w:tc>
        <w:tc>
          <w:tcPr>
            <w:tcW w:w="300" w:type="dxa"/>
            <w:vAlign w:val="bottom"/>
          </w:tcPr>
          <w:p>
            <w:pPr>
              <w:spacing w:after="0"/>
              <w:rPr>
                <w:sz w:val="22"/>
                <w:szCs w:val="22"/>
                <w:color w:val="auto"/>
              </w:rPr>
            </w:pPr>
          </w:p>
        </w:tc>
        <w:tc>
          <w:tcPr>
            <w:tcW w:w="118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775</w:t>
            </w:r>
          </w:p>
        </w:tc>
        <w:tc>
          <w:tcPr>
            <w:tcW w:w="460" w:type="dxa"/>
            <w:vAlign w:val="bottom"/>
          </w:tcPr>
          <w:p>
            <w:pPr>
              <w:spacing w:after="0"/>
              <w:rPr>
                <w:sz w:val="22"/>
                <w:szCs w:val="22"/>
                <w:color w:val="auto"/>
              </w:rPr>
            </w:pP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444</w:t>
            </w:r>
          </w:p>
        </w:tc>
        <w:tc>
          <w:tcPr>
            <w:tcW w:w="580" w:type="dxa"/>
            <w:vAlign w:val="bottom"/>
          </w:tcPr>
          <w:p>
            <w:pPr>
              <w:spacing w:after="0"/>
              <w:rPr>
                <w:sz w:val="22"/>
                <w:szCs w:val="22"/>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1,234</w:t>
            </w:r>
          </w:p>
        </w:tc>
      </w:tr>
      <w:tr>
        <w:trPr>
          <w:trHeight w:val="27"/>
        </w:trPr>
        <w:tc>
          <w:tcPr>
            <w:tcW w:w="3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9"/>
        </w:trPr>
        <w:tc>
          <w:tcPr>
            <w:tcW w:w="39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4,121</w:t>
            </w: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2,581</w:t>
            </w: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6,731</w:t>
            </w:r>
          </w:p>
        </w:tc>
      </w:tr>
      <w:tr>
        <w:trPr>
          <w:trHeight w:val="33"/>
        </w:trPr>
        <w:tc>
          <w:tcPr>
            <w:tcW w:w="3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21" w:name="page22"/>
    <w:bookmarkEnd w:id="21"/>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38" w:lineRule="exact"/>
        <w:rPr>
          <w:sz w:val="20"/>
          <w:szCs w:val="20"/>
          <w:color w:val="auto"/>
        </w:rPr>
      </w:pPr>
    </w:p>
    <w:tbl>
      <w:tblPr>
        <w:tblLayout w:type="fixed"/>
        <w:tblInd w:w="1300" w:type="dxa"/>
        <w:tblCellMar>
          <w:top w:w="0" w:type="dxa"/>
          <w:left w:w="0" w:type="dxa"/>
          <w:bottom w:w="0" w:type="dxa"/>
          <w:right w:w="0" w:type="dxa"/>
        </w:tblCellMar>
      </w:tblPr>
      <w:tr>
        <w:trPr>
          <w:trHeight w:val="255"/>
        </w:trPr>
        <w:tc>
          <w:tcPr>
            <w:tcW w:w="406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40" w:type="dxa"/>
            <w:vAlign w:val="bottom"/>
            <w:tcBorders>
              <w:top w:val="single" w:sz="8" w:color="auto"/>
              <w:bottom w:val="single" w:sz="8" w:color="auto"/>
            </w:tcBorders>
          </w:tcPr>
          <w:p>
            <w:pPr>
              <w:spacing w:after="0"/>
              <w:rPr>
                <w:sz w:val="22"/>
                <w:szCs w:val="22"/>
                <w:color w:val="auto"/>
              </w:rPr>
            </w:pPr>
          </w:p>
        </w:tc>
      </w:tr>
      <w:tr>
        <w:trPr>
          <w:trHeight w:val="194"/>
        </w:trPr>
        <w:tc>
          <w:tcPr>
            <w:tcW w:w="4060" w:type="dxa"/>
            <w:vAlign w:val="bottom"/>
          </w:tcPr>
          <w:p>
            <w:pPr>
              <w:spacing w:after="0"/>
              <w:rPr>
                <w:sz w:val="16"/>
                <w:szCs w:val="16"/>
                <w:color w:val="auto"/>
              </w:rPr>
            </w:pPr>
          </w:p>
        </w:tc>
        <w:tc>
          <w:tcPr>
            <w:tcW w:w="1480" w:type="dxa"/>
            <w:vAlign w:val="bottom"/>
            <w:tcBorders>
              <w:right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180" w:type="dxa"/>
            <w:vAlign w:val="bottom"/>
            <w:gridSpan w:val="2"/>
          </w:tcPr>
          <w:p>
            <w:pPr>
              <w:jc w:val="center"/>
              <w:ind w:left="19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4"/>
        </w:trPr>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180" w:type="dxa"/>
            <w:vAlign w:val="bottom"/>
            <w:gridSpan w:val="2"/>
          </w:tcPr>
          <w:p>
            <w:pPr>
              <w:jc w:val="center"/>
              <w:ind w:left="177"/>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96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406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80" w:type="dxa"/>
            <w:vAlign w:val="bottom"/>
          </w:tcPr>
          <w:p>
            <w:pPr>
              <w:spacing w:after="0"/>
              <w:rPr>
                <w:sz w:val="18"/>
                <w:szCs w:val="18"/>
                <w:color w:val="auto"/>
              </w:rPr>
            </w:pP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960" w:type="dxa"/>
            <w:vAlign w:val="bottom"/>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1"/>
        </w:trPr>
        <w:tc>
          <w:tcPr>
            <w:tcW w:w="4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4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9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Revenues by Type:</w:t>
            </w:r>
          </w:p>
        </w:tc>
        <w:tc>
          <w:tcPr>
            <w:tcW w:w="32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2"/>
        </w:trPr>
        <w:tc>
          <w:tcPr>
            <w:tcW w:w="4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Advertising</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1,280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5,329</w:t>
            </w:r>
          </w:p>
        </w:tc>
        <w:tc>
          <w:tcPr>
            <w:tcW w:w="9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7,521</w:t>
            </w:r>
          </w:p>
        </w:tc>
      </w:tr>
      <w:tr>
        <w:trPr>
          <w:trHeight w:val="262"/>
        </w:trPr>
        <w:tc>
          <w:tcPr>
            <w:tcW w:w="4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320" w:type="dxa"/>
            <w:vAlign w:val="bottom"/>
          </w:tcPr>
          <w:p>
            <w:pPr>
              <w:spacing w:after="0"/>
              <w:rPr>
                <w:sz w:val="22"/>
                <w:szCs w:val="22"/>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920" w:type="dxa"/>
            <w:vAlign w:val="bottom"/>
          </w:tcPr>
          <w:p>
            <w:pPr>
              <w:spacing w:after="0"/>
              <w:rPr>
                <w:sz w:val="22"/>
                <w:szCs w:val="22"/>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9,847</w:t>
            </w:r>
          </w:p>
        </w:tc>
      </w:tr>
      <w:tr>
        <w:trPr>
          <w:trHeight w:val="262"/>
        </w:trPr>
        <w:tc>
          <w:tcPr>
            <w:tcW w:w="4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Theatrical</w:t>
            </w:r>
          </w:p>
        </w:tc>
        <w:tc>
          <w:tcPr>
            <w:tcW w:w="320" w:type="dxa"/>
            <w:vAlign w:val="bottom"/>
          </w:tcPr>
          <w:p>
            <w:pPr>
              <w:spacing w:after="0"/>
              <w:rPr>
                <w:sz w:val="22"/>
                <w:szCs w:val="22"/>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39</w:t>
            </w: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920" w:type="dxa"/>
            <w:vAlign w:val="bottom"/>
          </w:tcPr>
          <w:p>
            <w:pPr>
              <w:spacing w:after="0"/>
              <w:rPr>
                <w:sz w:val="22"/>
                <w:szCs w:val="22"/>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399</w:t>
            </w:r>
          </w:p>
        </w:tc>
      </w:tr>
      <w:tr>
        <w:trPr>
          <w:trHeight w:val="262"/>
        </w:trPr>
        <w:tc>
          <w:tcPr>
            <w:tcW w:w="4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Licensing and other</w:t>
            </w:r>
          </w:p>
        </w:tc>
        <w:tc>
          <w:tcPr>
            <w:tcW w:w="320" w:type="dxa"/>
            <w:vAlign w:val="bottom"/>
          </w:tcPr>
          <w:p>
            <w:pPr>
              <w:spacing w:after="0"/>
              <w:rPr>
                <w:sz w:val="22"/>
                <w:szCs w:val="22"/>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775</w:t>
            </w: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920" w:type="dxa"/>
            <w:vAlign w:val="bottom"/>
          </w:tcPr>
          <w:p>
            <w:pPr>
              <w:spacing w:after="0"/>
              <w:rPr>
                <w:sz w:val="22"/>
                <w:szCs w:val="22"/>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3,462</w:t>
            </w:r>
          </w:p>
        </w:tc>
      </w:tr>
      <w:tr>
        <w:trPr>
          <w:trHeight w:val="27"/>
        </w:trPr>
        <w:tc>
          <w:tcPr>
            <w:tcW w:w="4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40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4,121</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16,622</w:t>
            </w:r>
          </w:p>
        </w:tc>
        <w:tc>
          <w:tcPr>
            <w:tcW w:w="9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21,229</w:t>
            </w:r>
          </w:p>
        </w:tc>
      </w:tr>
      <w:tr>
        <w:trPr>
          <w:trHeight w:val="33"/>
        </w:trPr>
        <w:tc>
          <w:tcPr>
            <w:tcW w:w="4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Receivables</w:t>
      </w:r>
    </w:p>
    <w:p>
      <w:pPr>
        <w:spacing w:after="0" w:line="151"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9"/>
          <w:szCs w:val="19"/>
          <w:color w:val="auto"/>
        </w:rPr>
        <w:t>Reserves for accounts receivable reflect our expected credit losses based on historical experience as well as current and expected economic conditions and industry trends. At September 30, 2025 (Successor) and December 31, 2024 (Predecessor), our allowance for credit losses was $97 million and $125 million,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Included in “Other assets” on the Consolidated Balance Sheets are noncurrent receivables of $797 million and $1.03 billion at September 30,</w:t>
      </w:r>
    </w:p>
    <w:p>
      <w:pPr>
        <w:spacing w:after="0" w:line="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 xml:space="preserve">2025 (Successor) </w:t>
      </w:r>
      <w:r>
        <w:rPr>
          <w:rFonts w:ascii="Times New Roman" w:cs="Times New Roman" w:eastAsia="Times New Roman" w:hAnsi="Times New Roman"/>
          <w:sz w:val="20"/>
          <w:szCs w:val="20"/>
          <w:color w:val="auto"/>
        </w:rPr>
        <w:t>and</w:t>
      </w:r>
      <w:r>
        <w:rPr>
          <w:rFonts w:ascii="Times New Roman" w:cs="Times New Roman" w:eastAsia="Times New Roman" w:hAnsi="Times New Roman"/>
          <w:sz w:val="19"/>
          <w:szCs w:val="19"/>
          <w:color w:val="auto"/>
        </w:rPr>
        <w:t xml:space="preserve"> December 31, 2024 (Predecessor), respectively. Noncurrent receivables primarily relate to revenues recognized under long-term content licensing arrangements. Revenues from the licensing of content are recognized at the beginning of the license period in which programs are made available to the licensee for exhibition, while the related cash is generally collected over the term of the license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Contract Liabilities</w:t>
      </w:r>
    </w:p>
    <w:p>
      <w:pPr>
        <w:spacing w:after="0" w:line="1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Contract liabilities are included within “Deferred revenues” and “Other liabilities” on the Consolidated Balance Sheets and were $1.8 billion and $0.9 billion at September 30, 2025 (Successor) and December 31, 2024 (Predecessor), respectively. For the periods from August 7 - September 30, 2025 (Successor) and January 1 - August 6, 2025, and for the nine months ended September 30, 2024 (Predecessor), we recognized revenues of $0.4 billion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$0.6 billion, and $0.6 billion, respectively, that were included in the opening balance of deferred revenues for the respective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Unrecognized Revenues Under Contract</w:t>
      </w:r>
    </w:p>
    <w:p>
      <w:pPr>
        <w:spacing w:after="0" w:line="1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At September 30, 2025 (Successor), unrecognized revenues attributable to unsatisfied performance obligations under our long-term contracts were approximately $6 billion, of which $1 billion is expected to be recognized during the remainder of 2025, $3 billion in 2026, $1 billion in 2027, and $1 billion thereafter.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In addition, the timing of satisfying certain performance obligations under these long-term contracts is uncertain and, therefore, is also subject to change. Unrecognized revenues under contracts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22" w:name="page23"/>
    <w:bookmarkEnd w:id="22"/>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Performance Obligations Satisfied in Previous Periods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Under certain revenue arrangements, the amount and timing of our revenue recognition is determined based on our licensees’ subsequent sale to its end customers. As a result, under such arrangements we often satisfy our performance obligation of delivery of our content in advance of revenue recognition. We recognized revenue of $0.1 billion for the Successor period from August 7 - September 30, 2025, $0.1 billion and $0.4 billion for the Predecessor periods from July 1 - August 6, 2025, and January 1 - August 6, 2025, respectively, and $0.2 billion and $0.4 billion for the three and nine months ended September 30, 2024, respectively, principally relating to content licensing arrangements for which the performance obligation was satisfied prior to the periods indicated, including agreements with distributors of transactional video-on-demand and electronic sell-through services, other licensing arrangements, and theatrical distribution of our films. The amounts for the Predecessor periods in 2024 include advertising revenue from amounts recognized during 2024 for the underreporting of revenue by an international advertising sales agent in previous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731" w:right="399" w:bottom="1440" w:gutter="0" w:footer="0" w:header="0"/>
        </w:sectPr>
      </w:pPr>
    </w:p>
    <w:bookmarkStart w:id="23" w:name="page24"/>
    <w:bookmarkEnd w:id="23"/>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DEBT</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The table below details our debt, which was recorded at its fair value as of the closing date of the Transactions and the NAI Transaction on August 7, 2025 (see Note 2). Paramount Global is the issuer of all of the senior and junior debt in the table below. Upon the closing of the Transactions, Paramount Skydance Corporation provided a full and unconditional parent guarantee of Paramount Global’s senior and junior debt.</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288"/>
        </w:trPr>
        <w:tc>
          <w:tcPr>
            <w:tcW w:w="440" w:type="dxa"/>
            <w:vAlign w:val="bottom"/>
            <w:tcBorders>
              <w:top w:val="single" w:sz="8" w:color="auto"/>
            </w:tcBorders>
          </w:tcPr>
          <w:p>
            <w:pPr>
              <w:spacing w:after="0"/>
              <w:rPr>
                <w:sz w:val="24"/>
                <w:szCs w:val="24"/>
                <w:color w:val="auto"/>
              </w:rPr>
            </w:pPr>
          </w:p>
        </w:tc>
        <w:tc>
          <w:tcPr>
            <w:tcW w:w="5020" w:type="dxa"/>
            <w:vAlign w:val="bottom"/>
            <w:tcBorders>
              <w:top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660" w:type="dxa"/>
            <w:vAlign w:val="bottom"/>
            <w:tcBorders>
              <w:top w:val="single" w:sz="8" w:color="auto"/>
              <w:bottom w:val="single" w:sz="8" w:color="auto"/>
              <w:right w:val="single" w:sz="8" w:color="auto"/>
            </w:tcBorders>
          </w:tcPr>
          <w:p>
            <w:pPr>
              <w:jc w:val="center"/>
              <w:ind w:right="621"/>
              <w:spacing w:after="0"/>
              <w:rPr>
                <w:sz w:val="20"/>
                <w:szCs w:val="20"/>
                <w:color w:val="auto"/>
              </w:rPr>
            </w:pPr>
            <w:r>
              <w:rPr>
                <w:rFonts w:ascii="Times New Roman" w:cs="Times New Roman" w:eastAsia="Times New Roman" w:hAnsi="Times New Roman"/>
                <w:sz w:val="17"/>
                <w:szCs w:val="17"/>
                <w:b w:val="1"/>
                <w:bCs w:val="1"/>
                <w:color w:val="auto"/>
                <w:w w:val="96"/>
              </w:rPr>
              <w:t xml:space="preserve">Successor </w:t>
            </w:r>
            <w:r>
              <w:rPr>
                <w:rFonts w:ascii="Times New Roman" w:cs="Times New Roman" w:eastAsia="Times New Roman" w:hAnsi="Times New Roman"/>
                <w:sz w:val="22"/>
                <w:szCs w:val="22"/>
                <w:color w:val="auto"/>
                <w:w w:val="96"/>
                <w:vertAlign w:val="superscript"/>
              </w:rPr>
              <w:t>(a)</w:t>
            </w:r>
          </w:p>
        </w:tc>
        <w:tc>
          <w:tcPr>
            <w:tcW w:w="64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center"/>
              <w:ind w:right="501"/>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212"/>
        </w:trPr>
        <w:tc>
          <w:tcPr>
            <w:tcW w:w="4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Borders>
              <w:right w:val="single" w:sz="8" w:color="auto"/>
            </w:tcBorders>
          </w:tcPr>
          <w:p>
            <w:pPr>
              <w:jc w:val="center"/>
              <w:ind w:right="621"/>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640" w:type="dxa"/>
            <w:vAlign w:val="bottom"/>
          </w:tcPr>
          <w:p>
            <w:pPr>
              <w:spacing w:after="0"/>
              <w:rPr>
                <w:sz w:val="18"/>
                <w:szCs w:val="18"/>
                <w:color w:val="auto"/>
              </w:rPr>
            </w:pPr>
          </w:p>
        </w:tc>
        <w:tc>
          <w:tcPr>
            <w:tcW w:w="1540" w:type="dxa"/>
            <w:vAlign w:val="bottom"/>
          </w:tcPr>
          <w:p>
            <w:pPr>
              <w:jc w:val="center"/>
              <w:ind w:right="501"/>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247"/>
        </w:trPr>
        <w:tc>
          <w:tcPr>
            <w:tcW w:w="4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tcPr>
          <w:p>
            <w:pPr>
              <w:spacing w:after="0"/>
              <w:rPr>
                <w:sz w:val="21"/>
                <w:szCs w:val="21"/>
                <w:color w:val="auto"/>
              </w:rPr>
            </w:pPr>
          </w:p>
        </w:tc>
        <w:tc>
          <w:tcPr>
            <w:tcW w:w="2220" w:type="dxa"/>
            <w:vAlign w:val="bottom"/>
            <w:tcBorders>
              <w:bottom w:val="single" w:sz="8" w:color="auto"/>
              <w:right w:val="single" w:sz="8" w:color="auto"/>
            </w:tcBorders>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September 30, 2025</w:t>
            </w:r>
          </w:p>
        </w:tc>
        <w:tc>
          <w:tcPr>
            <w:tcW w:w="2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18"/>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4.0% Senior Notes due 2026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346</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346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3.70%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2026</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85</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86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2.90%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2027</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571</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582</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3.375% Senior Notes due 2028</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486</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3.70%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488</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2029</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488</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496</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7.875% Senior Debentures due 2030</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919</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829</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2031</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1,220</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1,232</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2032</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917</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980</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5.50%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2033</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417</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428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2034</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75</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87</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6.875% Senior Debentures due 2036</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1,120</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1,072</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6.75%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2037</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75</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76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5.90%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2040</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271</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298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4.50%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2042</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34</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45</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2042</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399</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490</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4.375% Senior Debentures due 2043</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1,073</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1,146</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4.875% Senior Debentures due 2043</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14</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5.85%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1,101</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1,235</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5.25%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2044</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274</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345</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2044</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430</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542</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4.60%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2045</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450</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591</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2050</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761</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950</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6.25%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627</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644</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6.375% Junior Subordinated Debentures due 2062</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989</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989</w:t>
            </w:r>
          </w:p>
        </w:tc>
      </w:tr>
      <w:tr>
        <w:trPr>
          <w:trHeight w:val="247"/>
        </w:trPr>
        <w:tc>
          <w:tcPr>
            <w:tcW w:w="5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w:t>
            </w:r>
          </w:p>
        </w:tc>
        <w:tc>
          <w:tcPr>
            <w:tcW w:w="5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0"/>
                <w:szCs w:val="20"/>
                <w:color w:val="auto"/>
                <w:vertAlign w:val="superscript"/>
              </w:rPr>
              <w:t>(b)</w:t>
            </w:r>
          </w:p>
        </w:tc>
        <w:tc>
          <w:tcPr>
            <w:tcW w:w="560" w:type="dxa"/>
            <w:vAlign w:val="bottom"/>
          </w:tcPr>
          <w:p>
            <w:pPr>
              <w:spacing w:after="0"/>
              <w:rPr>
                <w:sz w:val="21"/>
                <w:szCs w:val="21"/>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13,633</w:t>
            </w:r>
          </w:p>
        </w:tc>
        <w:tc>
          <w:tcPr>
            <w:tcW w:w="640" w:type="dxa"/>
            <w:vAlign w:val="bottom"/>
          </w:tcPr>
          <w:p>
            <w:pPr>
              <w:spacing w:after="0"/>
              <w:rPr>
                <w:sz w:val="21"/>
                <w:szCs w:val="21"/>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14,501</w:t>
            </w:r>
          </w:p>
        </w:tc>
      </w:tr>
      <w:tr>
        <w:trPr>
          <w:trHeight w:val="217"/>
        </w:trPr>
        <w:tc>
          <w:tcPr>
            <w:tcW w:w="5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Less current portion</w:t>
            </w:r>
          </w:p>
        </w:tc>
        <w:tc>
          <w:tcPr>
            <w:tcW w:w="5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347</w:t>
            </w:r>
          </w:p>
        </w:tc>
        <w:tc>
          <w:tcPr>
            <w:tcW w:w="6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5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long-term debt, net of current portion</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13,286</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14,501</w:t>
            </w:r>
          </w:p>
        </w:tc>
      </w:tr>
    </w:tbl>
    <w:p>
      <w:pPr>
        <w:spacing w:after="0" w:line="117" w:lineRule="exact"/>
        <w:rPr>
          <w:sz w:val="20"/>
          <w:szCs w:val="20"/>
          <w:color w:val="auto"/>
        </w:rPr>
      </w:pPr>
    </w:p>
    <w:p>
      <w:pPr>
        <w:ind w:left="800" w:right="460" w:hanging="244"/>
        <w:spacing w:after="0" w:line="254" w:lineRule="auto"/>
        <w:tabs>
          <w:tab w:leader="none" w:pos="77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Pushdown of the Ultimate Parent’s basis, our debt was recorded at fair value, which resulted in a decrease to our total debt balance of $898 million, reflecting the reversal of a net unamortized discount of $390 million and unamortized deferred financing fees of $71 million, and a reduction of $1.36 billion to adjust our debt to its fair value. The adjustments to fair value for each of our senior and junior debt issuances will be amortized over the remaining term of the applicable issuance within interest expense (see Note 2).</w:t>
      </w:r>
    </w:p>
    <w:p>
      <w:pPr>
        <w:spacing w:after="0" w:line="47" w:lineRule="exact"/>
        <w:rPr>
          <w:rFonts w:ascii="Times New Roman" w:cs="Times New Roman" w:eastAsia="Times New Roman" w:hAnsi="Times New Roman"/>
          <w:sz w:val="16"/>
          <w:szCs w:val="16"/>
          <w:color w:val="auto"/>
        </w:rPr>
      </w:pPr>
    </w:p>
    <w:p>
      <w:pPr>
        <w:ind w:left="800" w:right="1000" w:hanging="244"/>
        <w:spacing w:after="0" w:line="254" w:lineRule="auto"/>
        <w:tabs>
          <w:tab w:leader="none" w:pos="7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2025 (Successor), our senior and junior debt balances were net of unamortized fair value adjustments totaling $1.35 billion. At December 31, 2024 (Predecessor), the senior and junior debt balances included a net unamortized discount of $401 million and unamortized deferred financing costs of $74 million. The face value of our total debt at both September 30, 2025 (Successor) and December 31, 2024 (Predecessor) was $14.98 billion.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Commercial Paper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September 30, 2025 (Successor) and December 31, 2024 (Predecessor), we had no outstanding commercial paper borrowings.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731" w:right="399" w:bottom="1440" w:gutter="0" w:footer="0" w:header="0"/>
        </w:sectPr>
      </w:pPr>
    </w:p>
    <w:bookmarkStart w:id="24" w:name="page25"/>
    <w:bookmarkEnd w:id="24"/>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Facility</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On August 7, 2025, in connection with the closing of the Transactions and pursuant to the August 2024 amendment to the Credit Facility (which is further described below), Paramount Skydance Corporation entered into a joinder agreement pursuant to which it joined Paramount Global’s $3.50 billion revolving credit facility, which matures in January 2027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 EURIBOR, SONIA and TIBOR, respectively. At September 30, 2025, we had no borrowings outstanding under the Credit Facility and the availability under the Credit Facility was $3.50 billion.</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The maximum Leverage Ratio was 5.00x for the quarter ended September 30, 2025 and will decrease 0.25x for each subsequent quarter until the quarter ending March 31, 2026 when it will be 4.5x,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In May 2025, Paramount Global entered into an amendment to the Credit Facility, which increased the maximum amount of unrestricted cash and cash equivalents that can be netted against Consolidated Indebtedness, in the calculation of the Leverage Ratio, from $1.50 billion to $3.0 billion, effective immediately, and amended the definition of Consolidated EBITDA to include an additional add-back (which is capped at 15% of Consolidated EBITDA after giving effect to such add-back) for cash items associated with provisions for restructuring or other business optimization programs, litigation and environmental reserves and losses on the disposition of businesses. We met the covenant as of September 30, 2025.</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The Credit Facility also includes a provision that the occurrence of a change of control will be an event of default that would give the lenders the right to accelerate any outstanding loans and terminate their commitments. In August 2024, Paramount Global entered into amendments to the Credit Facility and the $1.9 billion standby letter of credit facility (see Note 14), which, among other things, revised the change of control provision and related definitions to reflect the ownership structure of the Company after giving effect to the Transactions and the NAI Transaction. These amendments became operative upon closing of the Transactions (see Note 1).</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Upon the closing of the Transactions, Paramount Skydance Corporation entered into guarantee agreements providing for a full and unconditional parent guarantee of Paramount Global’s obligations with respect to any commercial paper borrowings incurred, and in accordance with the August 2024 amendment to the Credit Facility, a full and unconditional parent guarantee of Paramount Global’s obligations under the Credit Agreement went into effect.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Bank Borrowings</w:t>
      </w:r>
    </w:p>
    <w:p>
      <w:pPr>
        <w:spacing w:after="0" w:line="15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At both September 30, 2025 (Successor) and December 31, 2024 (Predecessor), there were no outstanding bank borrowings under Miramax’s $50 million credit facility that matures in November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25" w:name="page26"/>
    <w:bookmarkEnd w:id="25"/>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FINANCIAL INSTRUMENTS AND FAIR VALUE MEASUREMENTS</w:t>
      </w:r>
    </w:p>
    <w:p>
      <w:pPr>
        <w:spacing w:after="0" w:line="1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color w:val="auto"/>
        </w:rPr>
        <w:t>The carrying value of our financial instruments approximates fair value, except for notes and debentures. At September 30, 2025 (Successor) and December 31, 2024 (Predecessor), the carrying value of our outstanding notes and debentures was $13.63 billion and $14.50 billion, respectively, and the fair value, which is determined based on quoted prices in active markets (Level 1 in the fair value hierarchy), was $13.9 billion and $13.3 billion,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Investments</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Our investments without a readily determinable fair value for which we have no significant influence had a carrying value of $95 million and $86 million at September 30, 2025 (Successor) and December 31, 2024 (Predecessor), respectively. These investments are included in “Other assets” on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Exchange Contracts</w:t>
      </w:r>
    </w:p>
    <w:p>
      <w:pPr>
        <w:spacing w:after="0" w:line="16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9"/>
          <w:szCs w:val="19"/>
          <w:color w:val="auto"/>
        </w:rPr>
        <w:t>We use derivative financial instruments primarily to manage our exposure to movements in foreign currency exchange rates when translating from the foreign local currency to the U.S. dollar. We do not use derivative instruments unless there is an underlying exposure and, therefore, we do not hold or enter into derivative financial instruments for speculative trading purposes.</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Foreign currency forward contracts have principally been used to manage our exposure for currencies such as the British pound, the euro, the Canadian dollar and the Australian dollar, generally for periods up to 24 months. We designate forward contracts used to hedge committed and forecasted foreign currency transactions, including future production costs and programming obligations, as cash flow hedges. We also enter into non-designated forward contracts to hedge non-U.S. dollar denominated assets, liabilities, and cash flows.</w:t>
      </w:r>
    </w:p>
    <w:p>
      <w:pPr>
        <w:spacing w:after="0" w:line="19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9"/>
          <w:szCs w:val="19"/>
          <w:color w:val="auto"/>
        </w:rPr>
        <w:t>At September 30, 2025 (Successor) and December 31, 2024 (Predecessor), the notional amount of all foreign exchange contracts was $2.92 billion and $2.75 billion, respectively. At September 30, 2025 (Successor), $2.50 billion related to future production costs and $419 million related to our foreign currency assets and liabilities. At December 31, 2024 (Predecessor), $2.39 billion related to future production costs and $358 million related to our foreign currency assets and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Gains (losses) recognized on derivative financial instruments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top w:val="single" w:sz="8" w:color="auto"/>
            </w:tcBorders>
          </w:tcPr>
          <w:p>
            <w:pPr>
              <w:spacing w:after="0"/>
              <w:rPr>
                <w:sz w:val="22"/>
                <w:szCs w:val="22"/>
                <w:color w:val="auto"/>
              </w:rPr>
            </w:pPr>
          </w:p>
        </w:tc>
        <w:tc>
          <w:tcPr>
            <w:tcW w:w="380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7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w:t>
            </w:r>
          </w:p>
        </w:tc>
        <w:tc>
          <w:tcPr>
            <w:tcW w:w="1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2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45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Financial Statement Account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Non-designated foreign exchange contracts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7"/>
                <w:szCs w:val="17"/>
                <w:color w:val="auto"/>
              </w:rPr>
              <w:t>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(17)</w:t>
            </w:r>
          </w:p>
        </w:tc>
        <w:tc>
          <w:tcPr>
            <w:tcW w:w="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Other items, net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600" w:type="dxa"/>
            <w:vAlign w:val="bottom"/>
            <w:gridSpan w:val="2"/>
            <w:vMerge w:val="restart"/>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6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6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Financial Statement Account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Non-designated foreign exchange contracts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79"/>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(24)</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Other items, net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26" w:name="page27"/>
    <w:bookmarkEnd w:id="26"/>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Fair Value Measurements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presents our assets and liabilities measured at fair value on a recurring basis at September 30, 2025 (Successor) and</w:t>
      </w:r>
    </w:p>
    <w:p>
      <w:pPr>
        <w:spacing w:after="0" w:line="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December 31, 2024 (Predecessor).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All of our assets and liabilities that are measured at fair value on a recurring basis use Level 2 inputs.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262"/>
        </w:trPr>
        <w:tc>
          <w:tcPr>
            <w:tcW w:w="45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jc w:val="center"/>
              <w:ind w:right="67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5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27"/>
        </w:trPr>
        <w:tc>
          <w:tcPr>
            <w:tcW w:w="4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Borders>
              <w:right w:val="single" w:sz="8" w:color="auto"/>
            </w:tcBorders>
          </w:tcPr>
          <w:p>
            <w:pPr>
              <w:jc w:val="center"/>
              <w:ind w:right="673"/>
              <w:spacing w:after="0"/>
              <w:rPr>
                <w:sz w:val="20"/>
                <w:szCs w:val="20"/>
                <w:color w:val="auto"/>
              </w:rPr>
            </w:pPr>
            <w:r>
              <w:rPr>
                <w:rFonts w:ascii="Times New Roman" w:cs="Times New Roman" w:eastAsia="Times New Roman" w:hAnsi="Times New Roman"/>
                <w:sz w:val="17"/>
                <w:szCs w:val="17"/>
                <w:b w:val="1"/>
                <w:bCs w:val="1"/>
                <w:color w:val="auto"/>
              </w:rPr>
              <w:t>At</w:t>
            </w:r>
          </w:p>
        </w:tc>
        <w:tc>
          <w:tcPr>
            <w:tcW w:w="580" w:type="dxa"/>
            <w:vAlign w:val="bottom"/>
          </w:tcPr>
          <w:p>
            <w:pPr>
              <w:spacing w:after="0"/>
              <w:rPr>
                <w:sz w:val="19"/>
                <w:szCs w:val="19"/>
                <w:color w:val="auto"/>
              </w:rPr>
            </w:pPr>
          </w:p>
        </w:tc>
        <w:tc>
          <w:tcPr>
            <w:tcW w:w="1460" w:type="dxa"/>
            <w:vAlign w:val="bottom"/>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62"/>
        </w:trPr>
        <w:tc>
          <w:tcPr>
            <w:tcW w:w="456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7"/>
        </w:trPr>
        <w:tc>
          <w:tcPr>
            <w:tcW w:w="4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66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2"/>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hedges</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40</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45</w:t>
            </w:r>
          </w:p>
        </w:tc>
      </w:tr>
      <w:tr>
        <w:trPr>
          <w:trHeight w:val="27"/>
        </w:trPr>
        <w:tc>
          <w:tcPr>
            <w:tcW w:w="4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40</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45</w:t>
            </w:r>
          </w:p>
        </w:tc>
      </w:tr>
      <w:tr>
        <w:trPr>
          <w:trHeight w:val="27"/>
        </w:trPr>
        <w:tc>
          <w:tcPr>
            <w:tcW w:w="4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66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2"/>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302</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385</w:t>
            </w:r>
          </w:p>
        </w:tc>
      </w:tr>
      <w:tr>
        <w:trPr>
          <w:trHeight w:val="262"/>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hedges</w:t>
            </w:r>
          </w:p>
        </w:tc>
        <w:tc>
          <w:tcPr>
            <w:tcW w:w="660" w:type="dxa"/>
            <w:vAlign w:val="bottom"/>
          </w:tcPr>
          <w:p>
            <w:pPr>
              <w:spacing w:after="0"/>
              <w:rPr>
                <w:sz w:val="22"/>
                <w:szCs w:val="22"/>
                <w:color w:val="auto"/>
              </w:rPr>
            </w:pPr>
          </w:p>
        </w:tc>
        <w:tc>
          <w:tcPr>
            <w:tcW w:w="170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28</w:t>
            </w:r>
          </w:p>
        </w:tc>
        <w:tc>
          <w:tcPr>
            <w:tcW w:w="580" w:type="dxa"/>
            <w:vAlign w:val="bottom"/>
          </w:tcPr>
          <w:p>
            <w:pPr>
              <w:spacing w:after="0"/>
              <w:rPr>
                <w:sz w:val="22"/>
                <w:szCs w:val="22"/>
                <w:color w:val="auto"/>
              </w:rPr>
            </w:pP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48</w:t>
            </w:r>
          </w:p>
        </w:tc>
      </w:tr>
      <w:tr>
        <w:trPr>
          <w:trHeight w:val="27"/>
        </w:trPr>
        <w:tc>
          <w:tcPr>
            <w:tcW w:w="4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330</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433</w:t>
            </w:r>
          </w:p>
        </w:tc>
      </w:tr>
      <w:tr>
        <w:trPr>
          <w:trHeight w:val="33"/>
        </w:trPr>
        <w:tc>
          <w:tcPr>
            <w:tcW w:w="4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estimated fair values of our assets that were impaired during the periods presented were determined using Level 3 inputs. See Notes 3 and 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VARIABLE INTEREST ENTITIES</w:t>
      </w:r>
    </w:p>
    <w:p>
      <w:pPr>
        <w:spacing w:after="0" w:line="15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variable interest entity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731" w:right="419" w:bottom="1440" w:gutter="0" w:footer="0" w:header="0"/>
        </w:sectPr>
      </w:pPr>
    </w:p>
    <w:bookmarkStart w:id="27" w:name="page28"/>
    <w:bookmarkEnd w:id="27"/>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amounts recorded in our consolidated financial statements related to our consolidated VIEs.</w:t>
      </w:r>
    </w:p>
    <w:p>
      <w:pPr>
        <w:spacing w:after="0" w:line="47" w:lineRule="exact"/>
        <w:rPr>
          <w:sz w:val="20"/>
          <w:szCs w:val="20"/>
          <w:color w:val="auto"/>
        </w:rPr>
      </w:pPr>
    </w:p>
    <w:tbl>
      <w:tblPr>
        <w:tblLayout w:type="fixed"/>
        <w:tblInd w:w="2440" w:type="dxa"/>
        <w:tblCellMar>
          <w:top w:w="0" w:type="dxa"/>
          <w:left w:w="0" w:type="dxa"/>
          <w:bottom w:w="0" w:type="dxa"/>
          <w:right w:w="0" w:type="dxa"/>
        </w:tblCellMar>
      </w:tblPr>
      <w:tr>
        <w:trPr>
          <w:trHeight w:val="255"/>
        </w:trPr>
        <w:tc>
          <w:tcPr>
            <w:tcW w:w="7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right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18"/>
        </w:trPr>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center"/>
              <w:ind w:right="257"/>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247"/>
        </w:trPr>
        <w:tc>
          <w:tcPr>
            <w:tcW w:w="7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center"/>
              <w:ind w:left="254"/>
              <w:spacing w:after="0"/>
              <w:rPr>
                <w:sz w:val="20"/>
                <w:szCs w:val="20"/>
                <w:color w:val="auto"/>
              </w:rPr>
            </w:pPr>
            <w:r>
              <w:rPr>
                <w:rFonts w:ascii="Times New Roman" w:cs="Times New Roman" w:eastAsia="Times New Roman" w:hAnsi="Times New Roman"/>
                <w:sz w:val="16"/>
                <w:szCs w:val="16"/>
                <w:b w:val="1"/>
                <w:bCs w:val="1"/>
                <w:color w:val="auto"/>
                <w:w w:val="98"/>
              </w:rPr>
              <w:t>September 30, 2025</w:t>
            </w: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36"/>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1,825</w:t>
            </w:r>
          </w:p>
        </w:tc>
      </w:tr>
      <w:tr>
        <w:trPr>
          <w:trHeight w:val="354"/>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198</w:t>
            </w:r>
          </w:p>
        </w:tc>
      </w:tr>
      <w:tr>
        <w:trPr>
          <w:trHeight w:val="33"/>
        </w:trPr>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76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spacing w:after="0"/>
              <w:rPr>
                <w:sz w:val="22"/>
                <w:szCs w:val="22"/>
                <w:color w:val="auto"/>
              </w:rPr>
            </w:pPr>
          </w:p>
        </w:tc>
        <w:tc>
          <w:tcPr>
            <w:tcW w:w="760" w:type="dxa"/>
            <w:vAlign w:val="bottom"/>
          </w:tcPr>
          <w:p>
            <w:pPr>
              <w:spacing w:after="0"/>
              <w:rPr>
                <w:sz w:val="22"/>
                <w:szCs w:val="22"/>
                <w:color w:val="auto"/>
              </w:rPr>
            </w:pPr>
          </w:p>
        </w:tc>
      </w:tr>
      <w:tr>
        <w:trPr>
          <w:trHeight w:val="229"/>
        </w:trPr>
        <w:tc>
          <w:tcPr>
            <w:tcW w:w="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760" w:type="dxa"/>
            <w:vAlign w:val="bottom"/>
          </w:tcPr>
          <w:p>
            <w:pPr>
              <w:spacing w:after="0"/>
              <w:rPr>
                <w:sz w:val="19"/>
                <w:szCs w:val="19"/>
                <w:color w:val="auto"/>
              </w:rPr>
            </w:pPr>
          </w:p>
        </w:tc>
      </w:tr>
      <w:tr>
        <w:trPr>
          <w:trHeight w:val="194"/>
        </w:trPr>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7"/>
              </w:rPr>
              <w:t>Three</w:t>
            </w:r>
          </w:p>
        </w:tc>
      </w:tr>
      <w:tr>
        <w:trPr>
          <w:trHeight w:val="184"/>
        </w:trPr>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20" w:type="dxa"/>
            <w:vAlign w:val="bottom"/>
          </w:tcPr>
          <w:p>
            <w:pPr>
              <w:spacing w:after="0"/>
              <w:rPr>
                <w:sz w:val="15"/>
                <w:szCs w:val="15"/>
                <w:color w:val="auto"/>
              </w:rPr>
            </w:pPr>
          </w:p>
        </w:tc>
        <w:tc>
          <w:tcPr>
            <w:tcW w:w="820" w:type="dxa"/>
            <w:vAlign w:val="bottom"/>
            <w:gridSpan w:val="3"/>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176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Months</w:t>
            </w:r>
          </w:p>
        </w:tc>
      </w:tr>
      <w:tr>
        <w:trPr>
          <w:trHeight w:val="197"/>
        </w:trPr>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20" w:type="dxa"/>
            <w:vAlign w:val="bottom"/>
          </w:tcPr>
          <w:p>
            <w:pPr>
              <w:spacing w:after="0"/>
              <w:rPr>
                <w:sz w:val="17"/>
                <w:szCs w:val="17"/>
                <w:color w:val="auto"/>
              </w:rPr>
            </w:pPr>
          </w:p>
        </w:tc>
        <w:tc>
          <w:tcPr>
            <w:tcW w:w="820" w:type="dxa"/>
            <w:vAlign w:val="bottom"/>
            <w:gridSpan w:val="3"/>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7"/>
              </w:rPr>
              <w:t>From July</w:t>
            </w:r>
          </w:p>
        </w:tc>
        <w:tc>
          <w:tcPr>
            <w:tcW w:w="176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184"/>
        </w:trPr>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September</w:t>
            </w:r>
          </w:p>
        </w:tc>
        <w:tc>
          <w:tcPr>
            <w:tcW w:w="120" w:type="dxa"/>
            <w:vAlign w:val="bottom"/>
          </w:tcPr>
          <w:p>
            <w:pPr>
              <w:spacing w:after="0"/>
              <w:rPr>
                <w:sz w:val="15"/>
                <w:szCs w:val="15"/>
                <w:color w:val="auto"/>
              </w:rPr>
            </w:pPr>
          </w:p>
        </w:tc>
        <w:tc>
          <w:tcPr>
            <w:tcW w:w="820" w:type="dxa"/>
            <w:vAlign w:val="bottom"/>
            <w:gridSpan w:val="3"/>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1 - August</w:t>
            </w:r>
          </w:p>
        </w:tc>
        <w:tc>
          <w:tcPr>
            <w:tcW w:w="176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7"/>
              </w:rPr>
              <w:t>September</w:t>
            </w:r>
          </w:p>
        </w:tc>
      </w:tr>
      <w:tr>
        <w:trPr>
          <w:trHeight w:val="208"/>
        </w:trPr>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760" w:type="dxa"/>
            <w:vAlign w:val="bottom"/>
          </w:tcPr>
          <w:p>
            <w:pPr>
              <w:spacing w:after="0"/>
              <w:rPr>
                <w:sz w:val="18"/>
                <w:szCs w:val="18"/>
                <w:color w:val="auto"/>
              </w:rPr>
            </w:pPr>
          </w:p>
        </w:tc>
      </w:tr>
      <w:tr>
        <w:trPr>
          <w:trHeight w:val="31"/>
        </w:trPr>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22"/>
        </w:trPr>
        <w:tc>
          <w:tcPr>
            <w:tcW w:w="76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760" w:type="dxa"/>
            <w:vAlign w:val="bottom"/>
          </w:tcPr>
          <w:p>
            <w:pPr>
              <w:spacing w:after="0"/>
              <w:rPr>
                <w:sz w:val="19"/>
                <w:szCs w:val="19"/>
                <w:color w:val="auto"/>
              </w:rPr>
            </w:pPr>
          </w:p>
        </w:tc>
      </w:tr>
      <w:tr>
        <w:trPr>
          <w:trHeight w:val="236"/>
        </w:trPr>
        <w:tc>
          <w:tcPr>
            <w:tcW w:w="7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Revenues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52</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131</w:t>
            </w:r>
          </w:p>
        </w:tc>
        <w:tc>
          <w:tcPr>
            <w:tcW w:w="760" w:type="dxa"/>
            <w:vAlign w:val="bottom"/>
          </w:tcPr>
          <w:p>
            <w:pPr>
              <w:spacing w:after="0"/>
              <w:rPr>
                <w:sz w:val="20"/>
                <w:szCs w:val="20"/>
                <w:color w:val="auto"/>
              </w:rPr>
            </w:pPr>
          </w:p>
        </w:tc>
      </w:tr>
      <w:tr>
        <w:trPr>
          <w:trHeight w:val="354"/>
        </w:trPr>
        <w:tc>
          <w:tcPr>
            <w:tcW w:w="7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(15)</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(11)</w:t>
            </w:r>
          </w:p>
        </w:tc>
        <w:tc>
          <w:tcPr>
            <w:tcW w:w="760" w:type="dxa"/>
            <w:vAlign w:val="bottom"/>
          </w:tcPr>
          <w:p>
            <w:pPr>
              <w:spacing w:after="0"/>
              <w:rPr>
                <w:sz w:val="24"/>
                <w:szCs w:val="24"/>
                <w:color w:val="auto"/>
              </w:rPr>
            </w:pPr>
          </w:p>
        </w:tc>
      </w:tr>
      <w:tr>
        <w:trPr>
          <w:trHeight w:val="33"/>
        </w:trPr>
        <w:tc>
          <w:tcPr>
            <w:tcW w:w="7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760" w:type="dxa"/>
            <w:vAlign w:val="bottom"/>
          </w:tcPr>
          <w:p>
            <w:pPr>
              <w:spacing w:after="0"/>
              <w:rPr>
                <w:sz w:val="2"/>
                <w:szCs w:val="2"/>
                <w:color w:val="auto"/>
              </w:rPr>
            </w:pPr>
          </w:p>
        </w:tc>
      </w:tr>
      <w:tr>
        <w:trPr>
          <w:trHeight w:val="334"/>
        </w:trPr>
        <w:tc>
          <w:tcPr>
            <w:tcW w:w="7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spacing w:after="0"/>
              <w:rPr>
                <w:sz w:val="24"/>
                <w:szCs w:val="24"/>
                <w:color w:val="auto"/>
              </w:rPr>
            </w:pPr>
          </w:p>
        </w:tc>
        <w:tc>
          <w:tcPr>
            <w:tcW w:w="760" w:type="dxa"/>
            <w:vAlign w:val="bottom"/>
          </w:tcPr>
          <w:p>
            <w:pPr>
              <w:spacing w:after="0"/>
              <w:rPr>
                <w:sz w:val="24"/>
                <w:szCs w:val="24"/>
                <w:color w:val="auto"/>
              </w:rPr>
            </w:pPr>
          </w:p>
        </w:tc>
      </w:tr>
      <w:tr>
        <w:trPr>
          <w:trHeight w:val="229"/>
        </w:trPr>
        <w:tc>
          <w:tcPr>
            <w:tcW w:w="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760" w:type="dxa"/>
            <w:vAlign w:val="bottom"/>
          </w:tcPr>
          <w:p>
            <w:pPr>
              <w:spacing w:after="0"/>
              <w:rPr>
                <w:sz w:val="19"/>
                <w:szCs w:val="19"/>
                <w:color w:val="auto"/>
              </w:rPr>
            </w:pPr>
          </w:p>
        </w:tc>
      </w:tr>
      <w:tr>
        <w:trPr>
          <w:trHeight w:val="194"/>
        </w:trPr>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20" w:type="dxa"/>
            <w:vAlign w:val="bottom"/>
          </w:tcPr>
          <w:p>
            <w:pPr>
              <w:spacing w:after="0"/>
              <w:rPr>
                <w:sz w:val="16"/>
                <w:szCs w:val="16"/>
                <w:color w:val="auto"/>
              </w:rPr>
            </w:pPr>
          </w:p>
        </w:tc>
        <w:tc>
          <w:tcPr>
            <w:tcW w:w="820" w:type="dxa"/>
            <w:vAlign w:val="bottom"/>
            <w:gridSpan w:val="3"/>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6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r>
      <w:tr>
        <w:trPr>
          <w:trHeight w:val="184"/>
        </w:trPr>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20" w:type="dxa"/>
            <w:vAlign w:val="bottom"/>
          </w:tcPr>
          <w:p>
            <w:pPr>
              <w:spacing w:after="0"/>
              <w:rPr>
                <w:sz w:val="15"/>
                <w:szCs w:val="15"/>
                <w:color w:val="auto"/>
              </w:rPr>
            </w:pPr>
          </w:p>
        </w:tc>
        <w:tc>
          <w:tcPr>
            <w:tcW w:w="820" w:type="dxa"/>
            <w:vAlign w:val="bottom"/>
            <w:gridSpan w:val="3"/>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From</w:t>
            </w:r>
          </w:p>
        </w:tc>
        <w:tc>
          <w:tcPr>
            <w:tcW w:w="176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197"/>
        </w:trPr>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September</w:t>
            </w: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76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7"/>
              </w:rPr>
              <w:t>September</w:t>
            </w:r>
          </w:p>
        </w:tc>
      </w:tr>
      <w:tr>
        <w:trPr>
          <w:trHeight w:val="208"/>
        </w:trPr>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right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30,</w:t>
            </w:r>
          </w:p>
        </w:tc>
        <w:tc>
          <w:tcPr>
            <w:tcW w:w="120" w:type="dxa"/>
            <w:vAlign w:val="bottom"/>
          </w:tcPr>
          <w:p>
            <w:pPr>
              <w:spacing w:after="0"/>
              <w:rPr>
                <w:sz w:val="18"/>
                <w:szCs w:val="18"/>
                <w:color w:val="auto"/>
              </w:rPr>
            </w:pPr>
          </w:p>
        </w:tc>
        <w:tc>
          <w:tcPr>
            <w:tcW w:w="820" w:type="dxa"/>
            <w:vAlign w:val="bottom"/>
            <w:gridSpan w:val="3"/>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340" w:type="dxa"/>
            <w:vAlign w:val="bottom"/>
          </w:tcPr>
          <w:p>
            <w:pPr>
              <w:spacing w:after="0"/>
              <w:rPr>
                <w:sz w:val="18"/>
                <w:szCs w:val="18"/>
                <w:color w:val="auto"/>
              </w:rPr>
            </w:pPr>
          </w:p>
        </w:tc>
        <w:tc>
          <w:tcPr>
            <w:tcW w:w="660" w:type="dxa"/>
            <w:vAlign w:val="bottom"/>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760" w:type="dxa"/>
            <w:vAlign w:val="bottom"/>
          </w:tcPr>
          <w:p>
            <w:pPr>
              <w:spacing w:after="0"/>
              <w:rPr>
                <w:sz w:val="18"/>
                <w:szCs w:val="18"/>
                <w:color w:val="auto"/>
              </w:rPr>
            </w:pPr>
          </w:p>
        </w:tc>
      </w:tr>
      <w:tr>
        <w:trPr>
          <w:trHeight w:val="31"/>
        </w:trPr>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22"/>
        </w:trPr>
        <w:tc>
          <w:tcPr>
            <w:tcW w:w="76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760" w:type="dxa"/>
            <w:vAlign w:val="bottom"/>
          </w:tcPr>
          <w:p>
            <w:pPr>
              <w:spacing w:after="0"/>
              <w:rPr>
                <w:sz w:val="19"/>
                <w:szCs w:val="19"/>
                <w:color w:val="auto"/>
              </w:rPr>
            </w:pPr>
          </w:p>
        </w:tc>
      </w:tr>
      <w:tr>
        <w:trPr>
          <w:trHeight w:val="236"/>
        </w:trPr>
        <w:tc>
          <w:tcPr>
            <w:tcW w:w="7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Revenues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294</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398</w:t>
            </w:r>
          </w:p>
        </w:tc>
        <w:tc>
          <w:tcPr>
            <w:tcW w:w="760" w:type="dxa"/>
            <w:vAlign w:val="bottom"/>
          </w:tcPr>
          <w:p>
            <w:pPr>
              <w:spacing w:after="0"/>
              <w:rPr>
                <w:sz w:val="20"/>
                <w:szCs w:val="20"/>
                <w:color w:val="auto"/>
              </w:rPr>
            </w:pPr>
          </w:p>
        </w:tc>
      </w:tr>
      <w:tr>
        <w:trPr>
          <w:trHeight w:val="354"/>
        </w:trPr>
        <w:tc>
          <w:tcPr>
            <w:tcW w:w="7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4"/>
                <w:szCs w:val="24"/>
                <w:color w:val="auto"/>
              </w:rPr>
            </w:pPr>
          </w:p>
        </w:tc>
        <w:tc>
          <w:tcPr>
            <w:tcW w:w="820" w:type="dxa"/>
            <w:vAlign w:val="bottom"/>
            <w:gridSpan w:val="3"/>
          </w:tcPr>
          <w:p>
            <w:pPr>
              <w:jc w:val="right"/>
              <w:ind w:right="121"/>
              <w:spacing w:after="0"/>
              <w:rPr>
                <w:sz w:val="20"/>
                <w:szCs w:val="20"/>
                <w:color w:val="auto"/>
              </w:rPr>
            </w:pPr>
            <w:r>
              <w:rPr>
                <w:rFonts w:ascii="Times New Roman" w:cs="Times New Roman" w:eastAsia="Times New Roman" w:hAnsi="Times New Roman"/>
                <w:sz w:val="17"/>
                <w:szCs w:val="17"/>
                <w:color w:val="auto"/>
              </w:rPr>
              <w:t>$ (102)</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(75)</w:t>
            </w:r>
          </w:p>
        </w:tc>
        <w:tc>
          <w:tcPr>
            <w:tcW w:w="760" w:type="dxa"/>
            <w:vAlign w:val="bottom"/>
          </w:tcPr>
          <w:p>
            <w:pPr>
              <w:spacing w:after="0"/>
              <w:rPr>
                <w:sz w:val="24"/>
                <w:szCs w:val="24"/>
                <w:color w:val="auto"/>
              </w:rPr>
            </w:pPr>
          </w:p>
        </w:tc>
      </w:tr>
      <w:tr>
        <w:trPr>
          <w:trHeight w:val="33"/>
        </w:trPr>
        <w:tc>
          <w:tcPr>
            <w:tcW w:w="7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STOCKHOLDERS’ EQUITY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Impact from the Transactions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Common Stock</w:t>
      </w:r>
    </w:p>
    <w:p>
      <w:pPr>
        <w:spacing w:after="0" w:line="16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9"/>
          <w:szCs w:val="19"/>
          <w:color w:val="auto"/>
        </w:rPr>
        <w:t>On August 6, 2025, each share of Paramount Global common stock that was owned by Paramount Global as treasury stock was cancelled and ceased to exist, and each issued and outstanding share of Paramount Global Class A Common Stock and Paramount Global Class B Common Stock was converted automatically into the right to receive one share of Paramount Skydance Corporation Class A Common Stock and Paramount Skydance Corporation Class B Common Stock, respectively. Additionally, at the closing of the Transactions, all outstanding Paramount Global RSU awards and PSU awards were converted to Paramount RSU awards.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The Transactions included a cash-stock election offered to holders of Paramount Global pursuant to which (a) shares of Paramount Global Class A Common Stock held by stockholders other than NAI or its subsidiaries were converted, at the stockholders’ election, into the right to receive either the Class A Cash Consideration or the Class A Stock Consideration and (b) shares of Paramount Global Class B Common Stock held by stockholders other than NAI or its subsidiaries, the NAI Equity Investors and certain other affiliates of investors in Skydance were converted, at the stockholders’ election, into the right to receive the Class B Cash Consideration (subject to proration) or the Class B Stock Consideration. The elections resulted in cash settlement of 7.2 million shares of Paramount Global Class A Common Stock at a price of $23.00 per share and cash settlement of 285.9 million shares of Paramount Global Class B Common Stock at a price of $15.00 per share for which holders of the shares elected to receive the Class A Cash Consideration and Class B Cash Consideration, respectively. In addition, holders of 2.0 million shares of Paramount Global Class A Common Stock elected to receive the Class A Stock Consideration or made no election, and as such received shares of Paramount Skydance Corporation Class B</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28" w:name="page29"/>
    <w:bookmarkEnd w:id="28"/>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Common Stock at a conversion rate of 1.5333, resulting in the issuance of 3.1 million shares of Paramount Skydance Corporation Class B Common Stock. Elections made for the Class B Cash Consideration were subject to a proration mechanism. Shares of Paramount Global Class B Common Stock for which elections to receive Class B Cash Consideration were not made or were validly revoked remained issued and outstanding as one share of Paramount Skydance Corporation Class B Common Stock. Shares of Paramount Global Class A Common Stock and Paramount Global Class B Common Stock were cancelled and ceased to exist upon completion of the Transactions.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The cash elections were funded by $4.45 billion of the PIPE Transaction proceeds, and the remaining $1.52 billion was provided to Paramount. In exchange for these proceeds, the NAI Equity Investors and certain other affiliates of investors in Skydance received 400 million newly issued shares of Paramount Skydance Corporation Class B Common Stock for a purchase price of $15.00 per share, and the NAI Equity Investors also received warrants to purchase 200 million shares of Paramount Skydance Corporation Class B Common Stock at an initial exercise price of $30.50 per share (subject to customary anti-dilution adjustments), which expire five years after issuance.</w:t>
      </w:r>
    </w:p>
    <w:p>
      <w:pPr>
        <w:spacing w:after="0" w:line="202"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9"/>
          <w:szCs w:val="19"/>
          <w:color w:val="auto"/>
        </w:rPr>
        <w:t>In addition, 316.7 million shares (313.8 million shares after reduction in connection with certain tax withholding requirements) of Paramount Skydance Corporation Class B Common Stock were issued to holders of Skydance Membership Units and Skydance Phantom Unit awards.</w:t>
      </w:r>
    </w:p>
    <w:p>
      <w:pPr>
        <w:spacing w:after="0" w:line="158"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9"/>
          <w:szCs w:val="19"/>
          <w:color w:val="auto"/>
        </w:rPr>
        <w:t>The table below details the activity described above and calculates shares of Paramount Skydance Corporation Class A Common Stock and Class B Common Stock issued and outstanding after completion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73025</wp:posOffset>
            </wp:positionV>
            <wp:extent cx="572897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28970" cy="16510"/>
                    </a:xfrm>
                    <a:prstGeom prst="rect">
                      <a:avLst/>
                    </a:prstGeom>
                    <a:noFill/>
                  </pic:spPr>
                </pic:pic>
              </a:graphicData>
            </a:graphic>
          </wp:anchor>
        </w:drawing>
      </w:r>
    </w:p>
    <w:p>
      <w:pPr>
        <w:spacing w:after="0" w:line="127"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020" w:type="dxa"/>
            <w:vAlign w:val="bottom"/>
          </w:tcPr>
          <w:p>
            <w:pPr>
              <w:ind w:left="92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Class B</w:t>
            </w:r>
          </w:p>
        </w:tc>
      </w:tr>
      <w:tr>
        <w:trPr>
          <w:trHeight w:val="27"/>
        </w:trPr>
        <w:tc>
          <w:tcPr>
            <w:tcW w:w="5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Each share of Paramount Global Class A Common Stock converted</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one share of Paramount Skydance Corporation Class A Common</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w:t>
            </w:r>
          </w:p>
        </w:tc>
        <w:tc>
          <w:tcPr>
            <w:tcW w:w="202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40.7</w:t>
            </w:r>
          </w:p>
        </w:tc>
        <w:tc>
          <w:tcPr>
            <w:tcW w:w="1140" w:type="dxa"/>
            <w:vAlign w:val="bottom"/>
          </w:tcPr>
          <w:p>
            <w:pPr>
              <w:spacing w:after="0"/>
              <w:rPr>
                <w:sz w:val="19"/>
                <w:szCs w:val="19"/>
                <w:color w:val="auto"/>
              </w:rPr>
            </w:pPr>
          </w:p>
        </w:tc>
      </w:tr>
      <w:tr>
        <w:trPr>
          <w:trHeight w:val="244"/>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Each share of Paramount Global Class B Common Stock converted</w:t>
            </w:r>
          </w:p>
        </w:tc>
        <w:tc>
          <w:tcPr>
            <w:tcW w:w="20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0"/>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one share of Paramount Skydance Corporation Class B Common</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w:t>
            </w:r>
          </w:p>
        </w:tc>
        <w:tc>
          <w:tcPr>
            <w:tcW w:w="20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633.6</w:t>
            </w:r>
          </w:p>
        </w:tc>
      </w:tr>
      <w:tr>
        <w:trPr>
          <w:trHeight w:val="244"/>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Paramount Skydance Corporation Class B Common Stock</w:t>
            </w:r>
          </w:p>
        </w:tc>
        <w:tc>
          <w:tcPr>
            <w:tcW w:w="20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0"/>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the NAI Equity Investors and certain other affiliates of investors</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 Skydance in exchange for proceeds from the PIPE Transaction</w:t>
            </w:r>
          </w:p>
        </w:tc>
        <w:tc>
          <w:tcPr>
            <w:tcW w:w="20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r>
      <w:tr>
        <w:trPr>
          <w:trHeight w:val="262"/>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Cancellation of cash-settled Class A Common Stock</w:t>
            </w:r>
          </w:p>
        </w:tc>
        <w:tc>
          <w:tcPr>
            <w:tcW w:w="202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(7.2)</w:t>
            </w:r>
          </w:p>
        </w:tc>
        <w:tc>
          <w:tcPr>
            <w:tcW w:w="1140" w:type="dxa"/>
            <w:vAlign w:val="bottom"/>
          </w:tcPr>
          <w:p>
            <w:pPr>
              <w:spacing w:after="0"/>
              <w:rPr>
                <w:sz w:val="22"/>
                <w:szCs w:val="22"/>
                <w:color w:val="auto"/>
              </w:rPr>
            </w:pPr>
          </w:p>
        </w:tc>
      </w:tr>
      <w:tr>
        <w:trPr>
          <w:trHeight w:val="262"/>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Cancellation of cash-settled Class B Common Stock</w:t>
            </w:r>
          </w:p>
        </w:tc>
        <w:tc>
          <w:tcPr>
            <w:tcW w:w="20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w:t>
            </w:r>
          </w:p>
        </w:tc>
      </w:tr>
      <w:tr>
        <w:trPr>
          <w:trHeight w:val="244"/>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Conversion of one share of stock-settled Class A Common Stock to</w:t>
            </w:r>
          </w:p>
        </w:tc>
        <w:tc>
          <w:tcPr>
            <w:tcW w:w="20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1.5333 shares of Class B Common Stock</w:t>
            </w:r>
          </w:p>
        </w:tc>
        <w:tc>
          <w:tcPr>
            <w:tcW w:w="202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(2.0)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44"/>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Paramount Skydance Corporation Class B Common Stock</w:t>
            </w:r>
          </w:p>
        </w:tc>
        <w:tc>
          <w:tcPr>
            <w:tcW w:w="20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0"/>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holders of Skydance Membership Units and Skydance Phantom</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 awards</w:t>
            </w:r>
          </w:p>
        </w:tc>
        <w:tc>
          <w:tcPr>
            <w:tcW w:w="20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313.8</w:t>
            </w:r>
          </w:p>
        </w:tc>
      </w:tr>
      <w:tr>
        <w:trPr>
          <w:trHeight w:val="27"/>
        </w:trPr>
        <w:tc>
          <w:tcPr>
            <w:tcW w:w="5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 issuance, net of cancellations</w:t>
            </w:r>
          </w:p>
        </w:tc>
        <w:tc>
          <w:tcPr>
            <w:tcW w:w="202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(9.2)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431.0</w:t>
            </w:r>
          </w:p>
        </w:tc>
      </w:tr>
      <w:tr>
        <w:trPr>
          <w:trHeight w:val="27"/>
        </w:trPr>
        <w:tc>
          <w:tcPr>
            <w:tcW w:w="5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shares of Paramount Skydance Corporation Class A and Class B</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issued and outstanding after the Transactions</w:t>
            </w:r>
          </w:p>
        </w:tc>
        <w:tc>
          <w:tcPr>
            <w:tcW w:w="202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31.5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1,064.6</w:t>
            </w:r>
          </w:p>
        </w:tc>
      </w:tr>
      <w:tr>
        <w:trPr>
          <w:trHeight w:val="33"/>
        </w:trPr>
        <w:tc>
          <w:tcPr>
            <w:tcW w:w="5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7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9"/>
          <w:szCs w:val="19"/>
          <w:color w:val="auto"/>
        </w:rPr>
        <w:t>Under the amended and restated certificate of incorporation, Paramount Skydance Corporation is authorized to issue up to 55 million shares of Paramount Skydance Corporation Class A Common Stock, par value of $.001 per share; 5.50 billion shares of Paramount Skydance Corporation Class B Common Stock, par value of $.001 per share; and 100 million shares of preferred stock, par value of $.001 per share.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29" w:name="page30"/>
    <w:bookmarkEnd w:id="29"/>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Common Stock Dividends</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following tables present dividends declared per share and total dividends for Paramount Skydance Corporation Class B Common Stock for the Successor period and Paramount Global’s Class A and Class B Common Stock for the Predecessor periods.</w:t>
      </w:r>
    </w:p>
    <w:p>
      <w:pPr>
        <w:spacing w:after="0" w:line="95" w:lineRule="exact"/>
        <w:rPr>
          <w:sz w:val="20"/>
          <w:szCs w:val="20"/>
          <w:color w:val="auto"/>
        </w:rPr>
      </w:pPr>
    </w:p>
    <w:tbl>
      <w:tblPr>
        <w:tblLayout w:type="fixed"/>
        <w:tblInd w:w="940" w:type="dxa"/>
        <w:tblCellMar>
          <w:top w:w="0" w:type="dxa"/>
          <w:left w:w="0" w:type="dxa"/>
          <w:bottom w:w="0" w:type="dxa"/>
          <w:right w:w="0" w:type="dxa"/>
        </w:tblCellMar>
      </w:tblPr>
      <w:tr>
        <w:trPr>
          <w:trHeight w:val="255"/>
        </w:trPr>
        <w:tc>
          <w:tcPr>
            <w:tcW w:w="2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38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top w:val="single" w:sz="8" w:color="auto"/>
              <w:bottom w:val="single" w:sz="8" w:color="auto"/>
            </w:tcBorders>
          </w:tcPr>
          <w:p>
            <w:pPr>
              <w:spacing w:after="0"/>
              <w:rPr>
                <w:sz w:val="22"/>
                <w:szCs w:val="22"/>
                <w:color w:val="auto"/>
              </w:rPr>
            </w:pPr>
          </w:p>
        </w:tc>
      </w:tr>
      <w:tr>
        <w:trPr>
          <w:trHeight w:val="194"/>
        </w:trPr>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r>
      <w:tr>
        <w:trPr>
          <w:trHeight w:val="184"/>
        </w:trPr>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Borders>
              <w:right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Period From August</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From July 1</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Ended September</w:t>
            </w:r>
          </w:p>
        </w:tc>
      </w:tr>
      <w:tr>
        <w:trPr>
          <w:trHeight w:val="232"/>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Borders>
              <w:bottom w:val="single" w:sz="8" w:color="auto"/>
              <w:right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7 - September 30,</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 August 6,</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w w:val="99"/>
              </w:rPr>
              <w:t>30,</w:t>
            </w:r>
          </w:p>
        </w:tc>
      </w:tr>
      <w:tr>
        <w:trPr>
          <w:trHeight w:val="229"/>
        </w:trPr>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84"/>
        </w:trPr>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7"/>
              </w:rPr>
              <w:t>Class A and Class B Common Stock</w:t>
            </w:r>
          </w:p>
        </w:tc>
        <w:tc>
          <w:tcPr>
            <w:tcW w:w="194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95"/>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.05</w:t>
            </w:r>
          </w:p>
        </w:tc>
        <w:tc>
          <w:tcPr>
            <w:tcW w:w="380" w:type="dxa"/>
            <w:vAlign w:val="bottom"/>
          </w:tcPr>
          <w:p>
            <w:pPr>
              <w:spacing w:after="0"/>
              <w:rPr>
                <w:sz w:val="24"/>
                <w:szCs w:val="24"/>
                <w:color w:val="auto"/>
              </w:rPr>
            </w:pP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.05</w:t>
            </w:r>
          </w:p>
        </w:tc>
      </w:tr>
      <w:tr>
        <w:trPr>
          <w:trHeight w:val="312"/>
        </w:trPr>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Total common stock dividends</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58</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35</w:t>
            </w:r>
          </w:p>
        </w:tc>
      </w:tr>
      <w:tr>
        <w:trPr>
          <w:trHeight w:val="350"/>
        </w:trPr>
        <w:tc>
          <w:tcPr>
            <w:tcW w:w="45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n/a - not applicable</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2"/>
        </w:trPr>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2"/>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29"/>
        </w:trPr>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bottom w:val="single" w:sz="8" w:color="auto"/>
            </w:tcBorders>
          </w:tcPr>
          <w:p>
            <w:pPr>
              <w:spacing w:after="0"/>
              <w:rPr>
                <w:sz w:val="19"/>
                <w:szCs w:val="19"/>
                <w:color w:val="auto"/>
              </w:rPr>
            </w:pPr>
          </w:p>
        </w:tc>
      </w:tr>
      <w:tr>
        <w:trPr>
          <w:trHeight w:val="194"/>
        </w:trPr>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4"/>
        </w:trPr>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Borders>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 August</w:t>
            </w:r>
          </w:p>
        </w:tc>
        <w:tc>
          <w:tcPr>
            <w:tcW w:w="15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r>
      <w:tr>
        <w:trPr>
          <w:trHeight w:val="232"/>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6,</w:t>
            </w: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229"/>
        </w:trPr>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7"/>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Class A and Class B Common Stock</w:t>
            </w:r>
          </w:p>
        </w:tc>
        <w:tc>
          <w:tcPr>
            <w:tcW w:w="32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25"/>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Dividends declared per common share</w:t>
            </w:r>
          </w:p>
        </w:tc>
        <w:tc>
          <w:tcPr>
            <w:tcW w:w="168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7"/>
                <w:szCs w:val="17"/>
                <w:color w:val="auto"/>
              </w:rPr>
              <w:t>.05</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7"/>
                <w:szCs w:val="17"/>
                <w:color w:val="auto"/>
              </w:rPr>
              <w:t>.10</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.15</w:t>
            </w:r>
          </w:p>
        </w:tc>
      </w:tr>
      <w:tr>
        <w:trPr>
          <w:trHeight w:val="315"/>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Total common stock dividends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7"/>
                <w:szCs w:val="17"/>
                <w:color w:val="auto"/>
              </w:rPr>
              <w:t>58</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7"/>
                <w:szCs w:val="17"/>
                <w:color w:val="auto"/>
              </w:rPr>
              <w:t>70</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104</w:t>
            </w:r>
          </w:p>
        </w:tc>
      </w:tr>
      <w:tr>
        <w:trPr>
          <w:trHeight w:val="33"/>
        </w:trPr>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Mandatory Convertible Preferred Stock (Predecessor)</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At December 31, 2023, there were 10 million shares of Paramount Global Mandatory Convertible Preferred Stock outstanding. During the first quarter of 2024, 0.3 million shares of Mandatory Convertible Preferred Stock were voluntarily converted into Paramount Global Class B Common Stock at a conversion rate of 1.0013 shares. On April 1, 2024, each of the remaining 9.7 million outstanding shares automatically and mandatorily converted into 1.1765 shares of Paramount Global Class B Common Stock, resulting in the issuance of 11.5 million shares.</w:t>
      </w:r>
    </w:p>
    <w:p>
      <w:pPr>
        <w:spacing w:after="0" w:line="185"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9"/>
          <w:szCs w:val="19"/>
          <w:color w:val="auto"/>
        </w:rPr>
        <w:t>During the first quarter of 2024, the final dividend on the Mandatory Convertible Preferred Stock was declared, at a rate of $1.4375 per share, resulting in total dividends of $14 million, which were paid on April 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RSU Grants (Successor)</w:t>
      </w:r>
    </w:p>
    <w:p>
      <w:pPr>
        <w:spacing w:after="0" w:line="15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9"/>
          <w:szCs w:val="19"/>
          <w:color w:val="auto"/>
        </w:rPr>
        <w:t>During the period from August 7 - September 30, 2025, new RSU awards totaling 37 million shares were granted to certain senior executives. Shares with a grant date fair value of $447 million will vest in equal quarterly installments over a five-year period and shares with a grant date fair value of $26 million will vest in equal quarterly installments over a three-year period.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731" w:right="539" w:bottom="1440" w:gutter="0" w:footer="0" w:header="0"/>
        </w:sectPr>
      </w:pPr>
    </w:p>
    <w:bookmarkStart w:id="30" w:name="page31"/>
    <w:bookmarkEnd w:id="30"/>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Accumulated Other Comprehensive Income (Loss)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summarize the changes in the components of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133985</wp:posOffset>
            </wp:positionV>
            <wp:extent cx="575373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3735" cy="16510"/>
                    </a:xfrm>
                    <a:prstGeom prst="rect">
                      <a:avLst/>
                    </a:prstGeom>
                    <a:noFill/>
                  </pic:spPr>
                </pic:pic>
              </a:graphicData>
            </a:graphic>
          </wp:anchor>
        </w:drawing>
      </w:r>
    </w:p>
    <w:p>
      <w:pPr>
        <w:spacing w:after="0" w:line="223"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Accumulated</w:t>
            </w:r>
          </w:p>
        </w:tc>
      </w:tr>
      <w:tr>
        <w:trPr>
          <w:trHeight w:val="210"/>
        </w:trPr>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Cumulative</w:t>
            </w:r>
          </w:p>
        </w:tc>
        <w:tc>
          <w:tcPr>
            <w:tcW w:w="1700" w:type="dxa"/>
            <w:vAlign w:val="bottom"/>
            <w:gridSpan w:val="3"/>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Net Actuarial</w:t>
            </w:r>
          </w:p>
        </w:tc>
        <w:tc>
          <w:tcPr>
            <w:tcW w:w="6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Other</w:t>
            </w:r>
          </w:p>
        </w:tc>
      </w:tr>
      <w:tr>
        <w:trPr>
          <w:trHeight w:val="210"/>
        </w:trPr>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70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Loss and Prior</w:t>
            </w:r>
          </w:p>
        </w:tc>
        <w:tc>
          <w:tcPr>
            <w:tcW w:w="184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Comprehensive</w:t>
            </w:r>
          </w:p>
        </w:tc>
      </w:tr>
      <w:tr>
        <w:trPr>
          <w:trHeight w:val="230"/>
        </w:trPr>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40" w:type="dxa"/>
            <w:vAlign w:val="bottom"/>
            <w:gridSpan w:val="2"/>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4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Service Cost</w:t>
            </w:r>
          </w:p>
        </w:tc>
        <w:tc>
          <w:tcPr>
            <w:tcW w:w="320" w:type="dxa"/>
            <w:vAlign w:val="bottom"/>
          </w:tcPr>
          <w:p>
            <w:pPr>
              <w:spacing w:after="0"/>
              <w:rPr>
                <w:sz w:val="19"/>
                <w:szCs w:val="19"/>
                <w:color w:val="auto"/>
              </w:rPr>
            </w:pPr>
          </w:p>
        </w:tc>
        <w:tc>
          <w:tcPr>
            <w:tcW w:w="1840" w:type="dxa"/>
            <w:vAlign w:val="bottom"/>
            <w:gridSpan w:val="3"/>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Income (Loss)</w:t>
            </w:r>
          </w:p>
        </w:tc>
      </w:tr>
      <w:tr>
        <w:trPr>
          <w:trHeight w:val="27"/>
        </w:trPr>
        <w:tc>
          <w:tcPr>
            <w:tcW w:w="1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At December 31, 2024 (Predecessor)</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(657)</w:t>
            </w:r>
          </w:p>
        </w:tc>
        <w:tc>
          <w:tcPr>
            <w:tcW w:w="44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32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(1,604)</w:t>
            </w:r>
          </w:p>
        </w:tc>
        <w:tc>
          <w:tcPr>
            <w:tcW w:w="100" w:type="dxa"/>
            <w:vAlign w:val="bottom"/>
          </w:tcPr>
          <w:p>
            <w:pPr>
              <w:spacing w:after="0"/>
              <w:rPr>
                <w:sz w:val="19"/>
                <w:szCs w:val="19"/>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11"/>
        </w:trPr>
        <w:tc>
          <w:tcPr>
            <w:tcW w:w="3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reclassifications</w:t>
            </w:r>
          </w:p>
        </w:tc>
        <w:tc>
          <w:tcPr>
            <w:tcW w:w="74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115</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r>
      <w:tr>
        <w:trPr>
          <w:trHeight w:val="262"/>
        </w:trPr>
        <w:tc>
          <w:tcPr>
            <w:tcW w:w="3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Reclassifications to net earnings</w:t>
            </w:r>
          </w:p>
        </w:tc>
        <w:tc>
          <w:tcPr>
            <w:tcW w:w="740" w:type="dxa"/>
            <w:vAlign w:val="bottom"/>
          </w:tcPr>
          <w:p>
            <w:pPr>
              <w:spacing w:after="0"/>
              <w:rPr>
                <w:sz w:val="22"/>
                <w:szCs w:val="22"/>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3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w:t>
            </w:r>
          </w:p>
        </w:tc>
        <w:tc>
          <w:tcPr>
            <w:tcW w:w="600" w:type="dxa"/>
            <w:vAlign w:val="bottom"/>
          </w:tcPr>
          <w:p>
            <w:pPr>
              <w:spacing w:after="0"/>
              <w:rPr>
                <w:sz w:val="22"/>
                <w:szCs w:val="22"/>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2"/>
                <w:szCs w:val="22"/>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3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74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115</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9"/>
                <w:szCs w:val="19"/>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At August 6, 2025 (Predecessor)</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(542)</w:t>
            </w:r>
          </w:p>
        </w:tc>
        <w:tc>
          <w:tcPr>
            <w:tcW w:w="44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32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tcPr>
          <w:p>
            <w:pPr>
              <w:spacing w:after="0"/>
              <w:rPr>
                <w:sz w:val="19"/>
                <w:szCs w:val="19"/>
                <w:color w:val="auto"/>
              </w:rPr>
            </w:pPr>
          </w:p>
        </w:tc>
      </w:tr>
      <w:tr>
        <w:trPr>
          <w:trHeight w:val="112"/>
        </w:trPr>
        <w:tc>
          <w:tcPr>
            <w:tcW w:w="10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r>
        <w:trPr>
          <w:trHeight w:val="314"/>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Adjustments to Paramount Global’s basis</w:t>
            </w:r>
          </w:p>
        </w:tc>
        <w:tc>
          <w:tcPr>
            <w:tcW w:w="740" w:type="dxa"/>
            <w:vAlign w:val="bottom"/>
          </w:tcPr>
          <w:p>
            <w:pPr>
              <w:spacing w:after="0"/>
              <w:rPr>
                <w:sz w:val="24"/>
                <w:szCs w:val="24"/>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542</w:t>
            </w: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tcPr>
          <w:p>
            <w:pPr>
              <w:spacing w:after="0"/>
              <w:rPr>
                <w:sz w:val="24"/>
                <w:szCs w:val="24"/>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At August 7, 2025 (Successor)</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1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11"/>
        </w:trPr>
        <w:tc>
          <w:tcPr>
            <w:tcW w:w="3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reclassifications</w:t>
            </w:r>
          </w:p>
        </w:tc>
        <w:tc>
          <w:tcPr>
            <w:tcW w:w="74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25</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3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74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25</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At September 30, 2025 (Successor)</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25</w:t>
            </w:r>
          </w:p>
        </w:tc>
        <w:tc>
          <w:tcPr>
            <w:tcW w:w="44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r>
      <w:tr>
        <w:trPr>
          <w:trHeight w:val="33"/>
        </w:trPr>
        <w:tc>
          <w:tcPr>
            <w:tcW w:w="1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2"/>
        </w:trPr>
        <w:tc>
          <w:tcPr>
            <w:tcW w:w="100" w:type="dxa"/>
            <w:vAlign w:val="bottom"/>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spacing w:after="0"/>
              <w:rPr>
                <w:sz w:val="21"/>
                <w:szCs w:val="21"/>
                <w:color w:val="auto"/>
              </w:rPr>
            </w:pPr>
          </w:p>
        </w:tc>
        <w:tc>
          <w:tcPr>
            <w:tcW w:w="1740" w:type="dxa"/>
            <w:vAlign w:val="bottom"/>
            <w:tcBorders>
              <w:bottom w:val="single" w:sz="8" w:color="auto"/>
            </w:tcBorders>
            <w:gridSpan w:val="2"/>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Cumulative</w:t>
            </w:r>
          </w:p>
        </w:tc>
        <w:tc>
          <w:tcPr>
            <w:tcW w:w="1700" w:type="dxa"/>
            <w:vAlign w:val="bottom"/>
            <w:gridSpan w:val="3"/>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Net Actuarial</w:t>
            </w:r>
          </w:p>
        </w:tc>
        <w:tc>
          <w:tcPr>
            <w:tcW w:w="184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Accumulated</w:t>
            </w:r>
          </w:p>
        </w:tc>
      </w:tr>
      <w:tr>
        <w:trPr>
          <w:trHeight w:val="210"/>
        </w:trPr>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7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Loss and Prior</w:t>
            </w:r>
          </w:p>
        </w:tc>
        <w:tc>
          <w:tcPr>
            <w:tcW w:w="600" w:type="dxa"/>
            <w:vAlign w:val="bottom"/>
          </w:tcPr>
          <w:p>
            <w:pPr>
              <w:spacing w:after="0"/>
              <w:rPr>
                <w:sz w:val="18"/>
                <w:szCs w:val="18"/>
                <w:color w:val="auto"/>
              </w:rPr>
            </w:pPr>
          </w:p>
        </w:tc>
        <w:tc>
          <w:tcPr>
            <w:tcW w:w="124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Other</w:t>
            </w:r>
          </w:p>
        </w:tc>
      </w:tr>
      <w:tr>
        <w:trPr>
          <w:trHeight w:val="230"/>
        </w:trPr>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38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b w:val="1"/>
                <w:bCs w:val="1"/>
                <w:color w:val="auto"/>
              </w:rPr>
              <w:t>Service Cost</w:t>
            </w:r>
          </w:p>
        </w:tc>
        <w:tc>
          <w:tcPr>
            <w:tcW w:w="320" w:type="dxa"/>
            <w:vAlign w:val="bottom"/>
          </w:tcPr>
          <w:p>
            <w:pPr>
              <w:spacing w:after="0"/>
              <w:rPr>
                <w:sz w:val="19"/>
                <w:szCs w:val="19"/>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Comprehensive Loss</w:t>
            </w:r>
          </w:p>
        </w:tc>
      </w:tr>
      <w:tr>
        <w:trPr>
          <w:trHeight w:val="27"/>
        </w:trPr>
        <w:tc>
          <w:tcPr>
            <w:tcW w:w="10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1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2023 (Predecessor)</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(504)</w:t>
            </w:r>
          </w:p>
        </w:tc>
        <w:tc>
          <w:tcPr>
            <w:tcW w:w="44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3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(1,556)</w:t>
            </w:r>
          </w:p>
        </w:tc>
        <w:tc>
          <w:tcPr>
            <w:tcW w:w="100" w:type="dxa"/>
            <w:vAlign w:val="bottom"/>
          </w:tcPr>
          <w:p>
            <w:pPr>
              <w:spacing w:after="0"/>
              <w:rPr>
                <w:sz w:val="19"/>
                <w:szCs w:val="19"/>
                <w:color w:val="auto"/>
              </w:rPr>
            </w:pPr>
          </w:p>
        </w:tc>
      </w:tr>
      <w:tr>
        <w:trPr>
          <w:trHeight w:val="27"/>
        </w:trPr>
        <w:tc>
          <w:tcPr>
            <w:tcW w:w="10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100" w:type="dxa"/>
            <w:vAlign w:val="bottom"/>
          </w:tcPr>
          <w:p>
            <w:pPr>
              <w:spacing w:after="0"/>
              <w:rPr>
                <w:sz w:val="18"/>
                <w:szCs w:val="18"/>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loss before</w:t>
            </w: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10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reclassifications</w:t>
            </w:r>
          </w:p>
        </w:tc>
        <w:tc>
          <w:tcPr>
            <w:tcW w:w="740" w:type="dxa"/>
            <w:vAlign w:val="bottom"/>
          </w:tcPr>
          <w:p>
            <w:pPr>
              <w:spacing w:after="0"/>
              <w:rPr>
                <w:sz w:val="19"/>
                <w:szCs w:val="19"/>
                <w:color w:val="auto"/>
              </w:rPr>
            </w:pPr>
          </w:p>
        </w:tc>
        <w:tc>
          <w:tcPr>
            <w:tcW w:w="13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r>
      <w:tr>
        <w:trPr>
          <w:trHeight w:val="262"/>
        </w:trPr>
        <w:tc>
          <w:tcPr>
            <w:tcW w:w="100" w:type="dxa"/>
            <w:vAlign w:val="bottom"/>
          </w:tcPr>
          <w:p>
            <w:pPr>
              <w:spacing w:after="0"/>
              <w:rPr>
                <w:sz w:val="22"/>
                <w:szCs w:val="22"/>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Reclassifications to net loss</w:t>
            </w:r>
          </w:p>
        </w:tc>
        <w:tc>
          <w:tcPr>
            <w:tcW w:w="740" w:type="dxa"/>
            <w:vAlign w:val="bottom"/>
          </w:tcPr>
          <w:p>
            <w:pPr>
              <w:spacing w:after="0"/>
              <w:rPr>
                <w:sz w:val="22"/>
                <w:szCs w:val="22"/>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600" w:type="dxa"/>
            <w:vAlign w:val="bottom"/>
          </w:tcPr>
          <w:p>
            <w:pPr>
              <w:spacing w:after="0"/>
              <w:rPr>
                <w:sz w:val="22"/>
                <w:szCs w:val="22"/>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2"/>
                <w:szCs w:val="22"/>
                <w:color w:val="auto"/>
              </w:rPr>
            </w:pPr>
          </w:p>
        </w:tc>
      </w:tr>
      <w:tr>
        <w:trPr>
          <w:trHeight w:val="27"/>
        </w:trPr>
        <w:tc>
          <w:tcPr>
            <w:tcW w:w="10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10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740" w:type="dxa"/>
            <w:vAlign w:val="bottom"/>
          </w:tcPr>
          <w:p>
            <w:pPr>
              <w:spacing w:after="0"/>
              <w:rPr>
                <w:sz w:val="19"/>
                <w:szCs w:val="19"/>
                <w:color w:val="auto"/>
              </w:rPr>
            </w:pPr>
          </w:p>
        </w:tc>
        <w:tc>
          <w:tcPr>
            <w:tcW w:w="13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r>
      <w:tr>
        <w:trPr>
          <w:trHeight w:val="27"/>
        </w:trPr>
        <w:tc>
          <w:tcPr>
            <w:tcW w:w="10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1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At September 30, 2024 (Predecessor)</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(505)</w:t>
            </w:r>
          </w:p>
        </w:tc>
        <w:tc>
          <w:tcPr>
            <w:tcW w:w="44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3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(1,524)</w:t>
            </w:r>
          </w:p>
        </w:tc>
        <w:tc>
          <w:tcPr>
            <w:tcW w:w="100" w:type="dxa"/>
            <w:vAlign w:val="bottom"/>
          </w:tcPr>
          <w:p>
            <w:pPr>
              <w:spacing w:after="0"/>
              <w:rPr>
                <w:sz w:val="19"/>
                <w:szCs w:val="19"/>
                <w:color w:val="auto"/>
              </w:rPr>
            </w:pPr>
          </w:p>
        </w:tc>
      </w:tr>
      <w:tr>
        <w:trPr>
          <w:trHeight w:val="33"/>
        </w:trPr>
        <w:tc>
          <w:tcPr>
            <w:tcW w:w="10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5"/>
          <w:szCs w:val="15"/>
          <w:color w:val="auto"/>
        </w:rPr>
        <w:t>a) Reflects amortization of net actuarial losses (see Note 12).</w:t>
      </w:r>
    </w:p>
    <w:p>
      <w:pPr>
        <w:spacing w:after="0" w:line="199"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9"/>
          <w:szCs w:val="19"/>
          <w:color w:val="auto"/>
        </w:rPr>
        <w:t>The net actuarial loss and prior service cost related to pension and other postretirement benefit plans included in other comprehensive income (loss) is net of a tax benefit of $8 million for the period from January 1 - August 6, 2025 (Predecessor) and $11 million for the nine months ended September 30, 2024 (Predecessor).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INCOME TAXES</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The provision for/benefit from income taxes represents federal, state and local, and foreign taxes on earnings (loss) from continuing operations before income taxes and equity in loss of investee companies. For the period from August 7 - September 30, 2025 (Successor),we recorded a provision for income taxes of $85 million and for the periods from July 1 - August 6, 2025 and January 1 - August 6, 2025 (Predecessor), we recorded a benefit from income taxes of $229 million and $79 million, respectively. The provision for income taxes in the Successor period reflects the timing of foreign inclusions and foreign-derived intangible income deductions between the Successor and Predecessor periods. The benefit from income taxes for the Predecessor periods reflect the tax impact of earnings attributable to noncontrolling interests, the timing of foreign inclusions between the Successor and Predecessor periods, and the tax benefit on the foreign-derived intangible income deduction.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320" w:top="731" w:right="559" w:bottom="1440" w:gutter="0" w:footer="0" w:header="0"/>
        </w:sectPr>
      </w:pPr>
    </w:p>
    <w:bookmarkStart w:id="31" w:name="page32"/>
    <w:bookmarkEnd w:id="31"/>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Each period was also impacted by the following items identified as affecting the comparability of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184150</wp:posOffset>
            </wp:positionV>
            <wp:extent cx="651192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1925" cy="16510"/>
                    </a:xfrm>
                    <a:prstGeom prst="rect">
                      <a:avLst/>
                    </a:prstGeom>
                    <a:noFill/>
                  </pic:spPr>
                </pic:pic>
              </a:graphicData>
            </a:graphic>
          </wp:anchor>
        </w:drawing>
      </w:r>
    </w:p>
    <w:p>
      <w:pPr>
        <w:spacing w:after="0" w:line="302"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58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Impact from Items Affecting Comparability</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7"/>
        </w:trPr>
        <w:tc>
          <w:tcPr>
            <w:tcW w:w="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22"/>
        </w:trPr>
        <w:tc>
          <w:tcPr>
            <w:tcW w:w="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29"/>
        </w:trPr>
        <w:tc>
          <w:tcPr>
            <w:tcW w:w="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Period From August 7 - September 30,</w:t>
            </w:r>
          </w:p>
        </w:tc>
        <w:tc>
          <w:tcPr>
            <w:tcW w:w="5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Period From July 1 - August 6,</w:t>
            </w:r>
          </w:p>
        </w:tc>
      </w:tr>
      <w:tr>
        <w:trPr>
          <w:trHeight w:val="229"/>
        </w:trPr>
        <w:tc>
          <w:tcPr>
            <w:tcW w:w="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6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4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Benefit from</w:t>
            </w:r>
          </w:p>
        </w:tc>
      </w:tr>
      <w:tr>
        <w:trPr>
          <w:trHeight w:val="210"/>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19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Before Income</w:t>
            </w:r>
          </w:p>
        </w:tc>
        <w:tc>
          <w:tcPr>
            <w:tcW w:w="1860" w:type="dxa"/>
            <w:vAlign w:val="bottom"/>
            <w:gridSpan w:val="3"/>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(Provision for)</w:t>
            </w:r>
          </w:p>
        </w:tc>
      </w:tr>
      <w:tr>
        <w:trPr>
          <w:trHeight w:val="230"/>
        </w:trPr>
        <w:tc>
          <w:tcPr>
            <w:tcW w:w="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Before Income Taxes</w:t>
            </w:r>
          </w:p>
        </w:tc>
        <w:tc>
          <w:tcPr>
            <w:tcW w:w="19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500" w:type="dxa"/>
            <w:vAlign w:val="bottom"/>
          </w:tcPr>
          <w:p>
            <w:pPr>
              <w:spacing w:after="0"/>
              <w:rPr>
                <w:sz w:val="19"/>
                <w:szCs w:val="19"/>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Taxes</w:t>
            </w:r>
          </w:p>
        </w:tc>
        <w:tc>
          <w:tcPr>
            <w:tcW w:w="48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Income Taxes</w:t>
            </w:r>
          </w:p>
        </w:tc>
      </w:tr>
      <w:tr>
        <w:trPr>
          <w:trHeight w:val="27"/>
        </w:trPr>
        <w:tc>
          <w:tcPr>
            <w:tcW w:w="1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29"/>
        </w:trPr>
        <w:tc>
          <w:tcPr>
            <w:tcW w:w="3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Restructuring charges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(185)</w:t>
            </w: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Borders>
              <w:right w:val="single" w:sz="8" w:color="auto"/>
            </w:tcBorders>
          </w:tcPr>
          <w:p>
            <w:pPr>
              <w:spacing w:after="0"/>
              <w:rPr>
                <w:sz w:val="19"/>
                <w:szCs w:val="19"/>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(13)</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3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Transaction-related items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(175)</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30</w:t>
            </w:r>
          </w:p>
        </w:tc>
      </w:tr>
      <w:tr>
        <w:trPr>
          <w:trHeight w:val="295"/>
        </w:trPr>
        <w:tc>
          <w:tcPr>
            <w:tcW w:w="3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 xml:space="preserve">Net discrete tax benefit </w:t>
            </w:r>
            <w:r>
              <w:rPr>
                <w:rFonts w:ascii="Times New Roman" w:cs="Times New Roman" w:eastAsia="Times New Roman" w:hAnsi="Times New Roman"/>
                <w:sz w:val="22"/>
                <w:szCs w:val="22"/>
                <w:color w:val="auto"/>
                <w:vertAlign w:val="superscript"/>
              </w:rPr>
              <w:t>(a)</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n/a</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73</w:t>
            </w:r>
          </w:p>
        </w:tc>
      </w:tr>
      <w:tr>
        <w:trPr>
          <w:trHeight w:val="229"/>
        </w:trPr>
        <w:tc>
          <w:tcPr>
            <w:tcW w:w="18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5"/>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36"/>
        </w:trPr>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580" w:type="dxa"/>
            <w:vAlign w:val="bottom"/>
            <w:gridSpan w:val="5"/>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Impact from Items Affecting Comparability</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22"/>
        </w:trPr>
        <w:tc>
          <w:tcPr>
            <w:tcW w:w="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center"/>
              <w:ind w:left="25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9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tcBorders>
              <w:right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7"/>
              </w:rPr>
              <w:t>Period From August 7 - September 30,</w:t>
            </w:r>
          </w:p>
        </w:tc>
        <w:tc>
          <w:tcPr>
            <w:tcW w:w="220" w:type="dxa"/>
            <w:vAlign w:val="bottom"/>
          </w:tcPr>
          <w:p>
            <w:pPr>
              <w:spacing w:after="0"/>
              <w:rPr>
                <w:sz w:val="19"/>
                <w:szCs w:val="19"/>
                <w:color w:val="auto"/>
              </w:rPr>
            </w:pPr>
          </w:p>
        </w:tc>
        <w:tc>
          <w:tcPr>
            <w:tcW w:w="34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Period From January 1 - August 6,</w:t>
            </w:r>
          </w:p>
        </w:tc>
      </w:tr>
      <w:tr>
        <w:trPr>
          <w:trHeight w:val="229"/>
        </w:trPr>
        <w:tc>
          <w:tcPr>
            <w:tcW w:w="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gridSpan w:val="2"/>
          </w:tcPr>
          <w:p>
            <w:pPr>
              <w:jc w:val="center"/>
              <w:ind w:left="25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900" w:type="dxa"/>
            <w:vAlign w:val="bottom"/>
            <w:tcBorders>
              <w:top w:val="single" w:sz="8" w:color="auto"/>
              <w:bottom w:val="single" w:sz="8" w:color="auto"/>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2"/>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17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220" w:type="dxa"/>
            <w:vAlign w:val="bottom"/>
          </w:tcPr>
          <w:p>
            <w:pPr>
              <w:spacing w:after="0"/>
              <w:rPr>
                <w:sz w:val="18"/>
                <w:szCs w:val="18"/>
                <w:color w:val="auto"/>
              </w:rPr>
            </w:pPr>
          </w:p>
        </w:tc>
        <w:tc>
          <w:tcPr>
            <w:tcW w:w="1600" w:type="dxa"/>
            <w:vAlign w:val="bottom"/>
            <w:gridSpan w:val="2"/>
          </w:tcPr>
          <w:p>
            <w:pPr>
              <w:jc w:val="center"/>
              <w:ind w:right="375"/>
              <w:spacing w:after="0"/>
              <w:rPr>
                <w:sz w:val="20"/>
                <w:szCs w:val="20"/>
                <w:color w:val="auto"/>
              </w:rPr>
            </w:pPr>
            <w:r>
              <w:rPr>
                <w:rFonts w:ascii="Times New Roman" w:cs="Times New Roman" w:eastAsia="Times New Roman" w:hAnsi="Times New Roman"/>
                <w:sz w:val="17"/>
                <w:szCs w:val="17"/>
                <w:b w:val="1"/>
                <w:bCs w:val="1"/>
                <w:color w:val="auto"/>
                <w:w w:val="99"/>
              </w:rPr>
              <w:t>Earnings (Loss)</w:t>
            </w:r>
          </w:p>
        </w:tc>
        <w:tc>
          <w:tcPr>
            <w:tcW w:w="1860" w:type="dxa"/>
            <w:vAlign w:val="bottom"/>
            <w:gridSpan w:val="3"/>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Benefit from</w:t>
            </w:r>
          </w:p>
        </w:tc>
      </w:tr>
      <w:tr>
        <w:trPr>
          <w:trHeight w:val="210"/>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2"/>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rPr>
              <w:t>Before Income</w:t>
            </w:r>
          </w:p>
        </w:tc>
        <w:tc>
          <w:tcPr>
            <w:tcW w:w="17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220" w:type="dxa"/>
            <w:vAlign w:val="bottom"/>
          </w:tcPr>
          <w:p>
            <w:pPr>
              <w:spacing w:after="0"/>
              <w:rPr>
                <w:sz w:val="18"/>
                <w:szCs w:val="18"/>
                <w:color w:val="auto"/>
              </w:rPr>
            </w:pPr>
          </w:p>
        </w:tc>
        <w:tc>
          <w:tcPr>
            <w:tcW w:w="1600" w:type="dxa"/>
            <w:vAlign w:val="bottom"/>
            <w:gridSpan w:val="2"/>
          </w:tcPr>
          <w:p>
            <w:pPr>
              <w:jc w:val="center"/>
              <w:ind w:right="395"/>
              <w:spacing w:after="0"/>
              <w:rPr>
                <w:sz w:val="20"/>
                <w:szCs w:val="20"/>
                <w:color w:val="auto"/>
              </w:rPr>
            </w:pPr>
            <w:r>
              <w:rPr>
                <w:rFonts w:ascii="Times New Roman" w:cs="Times New Roman" w:eastAsia="Times New Roman" w:hAnsi="Times New Roman"/>
                <w:sz w:val="17"/>
                <w:szCs w:val="17"/>
                <w:b w:val="1"/>
                <w:bCs w:val="1"/>
                <w:color w:val="auto"/>
              </w:rPr>
              <w:t>Before Income</w:t>
            </w:r>
          </w:p>
        </w:tc>
        <w:tc>
          <w:tcPr>
            <w:tcW w:w="1860" w:type="dxa"/>
            <w:vAlign w:val="bottom"/>
            <w:gridSpan w:val="3"/>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(Provision for)</w:t>
            </w:r>
          </w:p>
        </w:tc>
      </w:tr>
      <w:tr>
        <w:trPr>
          <w:trHeight w:val="230"/>
        </w:trPr>
        <w:tc>
          <w:tcPr>
            <w:tcW w:w="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center"/>
              <w:ind w:right="436"/>
              <w:spacing w:after="0"/>
              <w:rPr>
                <w:sz w:val="20"/>
                <w:szCs w:val="20"/>
                <w:color w:val="auto"/>
              </w:rPr>
            </w:pPr>
            <w:r>
              <w:rPr>
                <w:rFonts w:ascii="Times New Roman" w:cs="Times New Roman" w:eastAsia="Times New Roman" w:hAnsi="Times New Roman"/>
                <w:sz w:val="17"/>
                <w:szCs w:val="17"/>
                <w:b w:val="1"/>
                <w:bCs w:val="1"/>
                <w:color w:val="auto"/>
                <w:w w:val="98"/>
              </w:rPr>
              <w:t>Taxes</w:t>
            </w:r>
          </w:p>
        </w:tc>
        <w:tc>
          <w:tcPr>
            <w:tcW w:w="17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220" w:type="dxa"/>
            <w:vAlign w:val="bottom"/>
          </w:tcPr>
          <w:p>
            <w:pPr>
              <w:spacing w:after="0"/>
              <w:rPr>
                <w:sz w:val="19"/>
                <w:szCs w:val="19"/>
                <w:color w:val="auto"/>
              </w:rPr>
            </w:pPr>
          </w:p>
        </w:tc>
        <w:tc>
          <w:tcPr>
            <w:tcW w:w="1600" w:type="dxa"/>
            <w:vAlign w:val="bottom"/>
            <w:gridSpan w:val="2"/>
          </w:tcPr>
          <w:p>
            <w:pPr>
              <w:jc w:val="center"/>
              <w:ind w:right="395"/>
              <w:spacing w:after="0"/>
              <w:rPr>
                <w:sz w:val="20"/>
                <w:szCs w:val="20"/>
                <w:color w:val="auto"/>
              </w:rPr>
            </w:pPr>
            <w:r>
              <w:rPr>
                <w:rFonts w:ascii="Times New Roman" w:cs="Times New Roman" w:eastAsia="Times New Roman" w:hAnsi="Times New Roman"/>
                <w:sz w:val="17"/>
                <w:szCs w:val="17"/>
                <w:b w:val="1"/>
                <w:bCs w:val="1"/>
                <w:color w:val="auto"/>
              </w:rPr>
              <w:t>Taxes</w:t>
            </w:r>
          </w:p>
        </w:tc>
        <w:tc>
          <w:tcPr>
            <w:tcW w:w="1860" w:type="dxa"/>
            <w:vAlign w:val="bottom"/>
            <w:gridSpan w:val="3"/>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Income Taxes</w:t>
            </w:r>
          </w:p>
        </w:tc>
      </w:tr>
      <w:tr>
        <w:trPr>
          <w:trHeight w:val="27"/>
        </w:trPr>
        <w:tc>
          <w:tcPr>
            <w:tcW w:w="18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29"/>
        </w:trPr>
        <w:tc>
          <w:tcPr>
            <w:tcW w:w="18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Restructuring charges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(185)</w:t>
            </w: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spacing w:after="0"/>
              <w:rPr>
                <w:sz w:val="19"/>
                <w:szCs w:val="19"/>
                <w:color w:val="auto"/>
              </w:rPr>
            </w:pPr>
          </w:p>
        </w:tc>
        <w:tc>
          <w:tcPr>
            <w:tcW w:w="5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(255)</w:t>
            </w:r>
          </w:p>
        </w:tc>
        <w:tc>
          <w:tcPr>
            <w:tcW w:w="4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61</w:t>
            </w:r>
          </w:p>
        </w:tc>
        <w:tc>
          <w:tcPr>
            <w:tcW w:w="400" w:type="dxa"/>
            <w:vAlign w:val="bottom"/>
          </w:tcPr>
          <w:p>
            <w:pPr>
              <w:spacing w:after="0"/>
              <w:rPr>
                <w:sz w:val="19"/>
                <w:szCs w:val="19"/>
                <w:color w:val="auto"/>
              </w:rPr>
            </w:pPr>
          </w:p>
        </w:tc>
      </w:tr>
      <w:tr>
        <w:trPr>
          <w:trHeight w:val="262"/>
        </w:trPr>
        <w:tc>
          <w:tcPr>
            <w:tcW w:w="180" w:type="dxa"/>
            <w:vAlign w:val="bottom"/>
          </w:tcPr>
          <w:p>
            <w:pPr>
              <w:spacing w:after="0"/>
              <w:rPr>
                <w:sz w:val="22"/>
                <w:szCs w:val="22"/>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Transaction-related items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5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(199)</w:t>
            </w:r>
          </w:p>
        </w:tc>
        <w:tc>
          <w:tcPr>
            <w:tcW w:w="4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31</w:t>
            </w:r>
          </w:p>
        </w:tc>
        <w:tc>
          <w:tcPr>
            <w:tcW w:w="400" w:type="dxa"/>
            <w:vAlign w:val="bottom"/>
          </w:tcPr>
          <w:p>
            <w:pPr>
              <w:spacing w:after="0"/>
              <w:rPr>
                <w:sz w:val="22"/>
                <w:szCs w:val="22"/>
                <w:color w:val="auto"/>
              </w:rPr>
            </w:pPr>
          </w:p>
        </w:tc>
      </w:tr>
      <w:tr>
        <w:trPr>
          <w:trHeight w:val="262"/>
        </w:trPr>
        <w:tc>
          <w:tcPr>
            <w:tcW w:w="180" w:type="dxa"/>
            <w:vAlign w:val="bottom"/>
          </w:tcPr>
          <w:p>
            <w:pPr>
              <w:spacing w:after="0"/>
              <w:rPr>
                <w:sz w:val="22"/>
                <w:szCs w:val="22"/>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Impairment charges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5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(157)</w:t>
            </w:r>
          </w:p>
        </w:tc>
        <w:tc>
          <w:tcPr>
            <w:tcW w:w="4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39</w:t>
            </w:r>
          </w:p>
        </w:tc>
        <w:tc>
          <w:tcPr>
            <w:tcW w:w="400" w:type="dxa"/>
            <w:vAlign w:val="bottom"/>
          </w:tcPr>
          <w:p>
            <w:pPr>
              <w:spacing w:after="0"/>
              <w:rPr>
                <w:sz w:val="22"/>
                <w:szCs w:val="22"/>
                <w:color w:val="auto"/>
              </w:rPr>
            </w:pPr>
          </w:p>
        </w:tc>
      </w:tr>
      <w:tr>
        <w:trPr>
          <w:trHeight w:val="262"/>
        </w:trPr>
        <w:tc>
          <w:tcPr>
            <w:tcW w:w="180" w:type="dxa"/>
            <w:vAlign w:val="bottom"/>
          </w:tcPr>
          <w:p>
            <w:pPr>
              <w:spacing w:after="0"/>
              <w:rPr>
                <w:sz w:val="22"/>
                <w:szCs w:val="22"/>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from dispositions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5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35</w:t>
            </w:r>
          </w:p>
        </w:tc>
        <w:tc>
          <w:tcPr>
            <w:tcW w:w="4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w:t>
            </w:r>
          </w:p>
        </w:tc>
        <w:tc>
          <w:tcPr>
            <w:tcW w:w="400" w:type="dxa"/>
            <w:vAlign w:val="bottom"/>
          </w:tcPr>
          <w:p>
            <w:pPr>
              <w:spacing w:after="0"/>
              <w:rPr>
                <w:sz w:val="22"/>
                <w:szCs w:val="22"/>
                <w:color w:val="auto"/>
              </w:rPr>
            </w:pPr>
          </w:p>
        </w:tc>
      </w:tr>
      <w:tr>
        <w:trPr>
          <w:trHeight w:val="295"/>
        </w:trPr>
        <w:tc>
          <w:tcPr>
            <w:tcW w:w="180" w:type="dxa"/>
            <w:vAlign w:val="bottom"/>
          </w:tcPr>
          <w:p>
            <w:pPr>
              <w:spacing w:after="0"/>
              <w:rPr>
                <w:sz w:val="24"/>
                <w:szCs w:val="24"/>
                <w:color w:val="auto"/>
              </w:rPr>
            </w:pPr>
          </w:p>
        </w:tc>
        <w:tc>
          <w:tcPr>
            <w:tcW w:w="3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 xml:space="preserve">Net discrete tax benefit </w:t>
            </w:r>
            <w:r>
              <w:rPr>
                <w:rFonts w:ascii="Times New Roman" w:cs="Times New Roman" w:eastAsia="Times New Roman" w:hAnsi="Times New Roman"/>
                <w:sz w:val="22"/>
                <w:szCs w:val="22"/>
                <w:color w:val="auto"/>
                <w:vertAlign w:val="superscript"/>
              </w:rPr>
              <w:t>(a)</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rPr>
              <w:t>n/a</w:t>
            </w:r>
          </w:p>
        </w:tc>
        <w:tc>
          <w:tcPr>
            <w:tcW w:w="4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64</w:t>
            </w:r>
          </w:p>
        </w:tc>
        <w:tc>
          <w:tcPr>
            <w:tcW w:w="400" w:type="dxa"/>
            <w:vAlign w:val="bottom"/>
          </w:tcPr>
          <w:p>
            <w:pPr>
              <w:spacing w:after="0"/>
              <w:rPr>
                <w:sz w:val="24"/>
                <w:szCs w:val="24"/>
                <w:color w:val="auto"/>
              </w:rPr>
            </w:pPr>
          </w:p>
        </w:tc>
      </w:tr>
    </w:tbl>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52" w:lineRule="exact"/>
        <w:rPr>
          <w:sz w:val="20"/>
          <w:szCs w:val="20"/>
          <w:color w:val="auto"/>
        </w:rPr>
      </w:pPr>
    </w:p>
    <w:p>
      <w:pPr>
        <w:ind w:left="720" w:right="320" w:hanging="243"/>
        <w:spacing w:after="0" w:line="268" w:lineRule="auto"/>
        <w:tabs>
          <w:tab w:leader="none" w:pos="69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discrete tax benefit for the 2025 Predecessor periods reflects the reversal of the valuation allowance on our interest limitation carryforward deferred tax asset of $114 million, partially offset by a reserve for uncertain tax positions.</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On July 4, 2025, the U.S. government enacted tax legislation, which includes the extension of certain expired or expiring tax provisions, including a favorable change to the interest deduction limitation, and modifications to certain international tax provisions. The legislation has multiple effective dates with certain provisions effective in 2025. As described in the table above, the favorable change to the interest deduction limitation resulted in the reversal of the valuation allowance on our interest limitation carryforward deferred tax asset of $114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731" w:right="519" w:bottom="1440" w:gutter="0" w:footer="0" w:header="0"/>
        </w:sectPr>
      </w:pPr>
    </w:p>
    <w:bookmarkStart w:id="32" w:name="page33"/>
    <w:bookmarkEnd w:id="32"/>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9"/>
          <w:szCs w:val="19"/>
          <w:color w:val="auto"/>
        </w:rPr>
        <w:t>For the three and nine months ended September 30, 2024 (Predecessor), we recorded a provision for income taxes of $45 million and a benefit from income taxes of $342 million, reflecting an effective income tax rate of 37.5% and 5.6%, respectively. Included in the provision for/benefit from income taxes are the following items identified as affecting the comparability of our results, which in aggregate increased our effective income tax rate by 12.0 percentage points and decreased our effective income tax rate by 16.2 percentage points for their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100965</wp:posOffset>
            </wp:positionV>
            <wp:extent cx="704469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4690" cy="16510"/>
                    </a:xfrm>
                    <a:prstGeom prst="rect">
                      <a:avLst/>
                    </a:prstGeom>
                    <a:noFill/>
                  </pic:spPr>
                </pic:pic>
              </a:graphicData>
            </a:graphic>
          </wp:anchor>
        </w:drawing>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300" w:type="dxa"/>
            <w:vAlign w:val="bottom"/>
            <w:gridSpan w:val="5"/>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Impact from Items Affecting Comparability</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2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2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60" w:type="dxa"/>
            <w:vAlign w:val="bottom"/>
            <w:gridSpan w:val="3"/>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2860" w:type="dxa"/>
            <w:vAlign w:val="bottom"/>
          </w:tcPr>
          <w:p>
            <w:pPr>
              <w:spacing w:after="0"/>
              <w:rPr>
                <w:sz w:val="2"/>
                <w:szCs w:val="2"/>
                <w:color w:val="auto"/>
              </w:rPr>
            </w:pPr>
          </w:p>
        </w:tc>
        <w:tc>
          <w:tcPr>
            <w:tcW w:w="4220" w:type="dxa"/>
            <w:vAlign w:val="bottom"/>
            <w:tcBorders>
              <w:bottom w:val="single" w:sz="8" w:color="auto"/>
            </w:tcBorders>
            <w:gridSpan w:val="5"/>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229"/>
        </w:trPr>
        <w:tc>
          <w:tcPr>
            <w:tcW w:w="2860" w:type="dxa"/>
            <w:vAlign w:val="bottom"/>
          </w:tcPr>
          <w:p>
            <w:pPr>
              <w:spacing w:after="0"/>
              <w:rPr>
                <w:sz w:val="19"/>
                <w:szCs w:val="19"/>
                <w:color w:val="auto"/>
              </w:rPr>
            </w:pPr>
          </w:p>
        </w:tc>
        <w:tc>
          <w:tcPr>
            <w:tcW w:w="4220" w:type="dxa"/>
            <w:vAlign w:val="bottom"/>
            <w:gridSpan w:val="5"/>
          </w:tcPr>
          <w:p>
            <w:pPr>
              <w:ind w:left="48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2024</w:t>
            </w:r>
          </w:p>
        </w:tc>
        <w:tc>
          <w:tcPr>
            <w:tcW w:w="4020" w:type="dxa"/>
            <w:vAlign w:val="bottom"/>
            <w:gridSpan w:val="4"/>
          </w:tcPr>
          <w:p>
            <w:pPr>
              <w:ind w:left="500"/>
              <w:spacing w:after="0"/>
              <w:rPr>
                <w:sz w:val="20"/>
                <w:szCs w:val="20"/>
                <w:color w:val="auto"/>
              </w:rPr>
            </w:pPr>
            <w:r>
              <w:rPr>
                <w:rFonts w:ascii="Times New Roman" w:cs="Times New Roman" w:eastAsia="Times New Roman" w:hAnsi="Times New Roman"/>
                <w:sz w:val="17"/>
                <w:szCs w:val="17"/>
                <w:b w:val="1"/>
                <w:bCs w:val="1"/>
                <w:color w:val="auto"/>
              </w:rPr>
              <w:t>Nine Months Ended September 30, 2024</w:t>
            </w:r>
          </w:p>
        </w:tc>
      </w:tr>
      <w:tr>
        <w:trPr>
          <w:trHeight w:val="27"/>
        </w:trPr>
        <w:tc>
          <w:tcPr>
            <w:tcW w:w="2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r>
      <w:tr>
        <w:trPr>
          <w:trHeight w:val="209"/>
        </w:trPr>
        <w:tc>
          <w:tcPr>
            <w:tcW w:w="2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Benefit from</w:t>
            </w:r>
          </w:p>
        </w:tc>
      </w:tr>
      <w:tr>
        <w:trPr>
          <w:trHeight w:val="210"/>
        </w:trPr>
        <w:tc>
          <w:tcPr>
            <w:tcW w:w="286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Earnings (Loss) Before</w:t>
            </w:r>
          </w:p>
        </w:tc>
        <w:tc>
          <w:tcPr>
            <w:tcW w:w="22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Benefit from (Provision</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(Loss) Before</w:t>
            </w:r>
          </w:p>
        </w:tc>
        <w:tc>
          <w:tcPr>
            <w:tcW w:w="192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(Provision for) Income</w:t>
            </w:r>
          </w:p>
        </w:tc>
      </w:tr>
      <w:tr>
        <w:trPr>
          <w:trHeight w:val="230"/>
        </w:trPr>
        <w:tc>
          <w:tcPr>
            <w:tcW w:w="2860" w:type="dxa"/>
            <w:vAlign w:val="bottom"/>
          </w:tcPr>
          <w:p>
            <w:pPr>
              <w:spacing w:after="0"/>
              <w:rPr>
                <w:sz w:val="19"/>
                <w:szCs w:val="19"/>
                <w:color w:val="auto"/>
              </w:rPr>
            </w:pPr>
          </w:p>
        </w:tc>
        <w:tc>
          <w:tcPr>
            <w:tcW w:w="202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Income Taxes</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700" w:type="dxa"/>
            <w:vAlign w:val="bottom"/>
          </w:tcPr>
          <w:p>
            <w:pPr>
              <w:spacing w:after="0"/>
              <w:rPr>
                <w:sz w:val="19"/>
                <w:szCs w:val="19"/>
                <w:color w:val="auto"/>
              </w:rPr>
            </w:pPr>
          </w:p>
        </w:tc>
        <w:tc>
          <w:tcPr>
            <w:tcW w:w="1220" w:type="dxa"/>
            <w:vAlign w:val="bottom"/>
          </w:tcPr>
          <w:p>
            <w:pPr>
              <w:jc w:val="center"/>
              <w:ind w:right="473"/>
              <w:spacing w:after="0"/>
              <w:rPr>
                <w:sz w:val="20"/>
                <w:szCs w:val="20"/>
                <w:color w:val="auto"/>
              </w:rPr>
            </w:pPr>
            <w:r>
              <w:rPr>
                <w:rFonts w:ascii="Times New Roman" w:cs="Times New Roman" w:eastAsia="Times New Roman" w:hAnsi="Times New Roman"/>
                <w:sz w:val="17"/>
                <w:szCs w:val="17"/>
                <w:b w:val="1"/>
                <w:bCs w:val="1"/>
                <w:color w:val="auto"/>
                <w:w w:val="98"/>
              </w:rPr>
              <w:t>Taxes</w:t>
            </w:r>
          </w:p>
        </w:tc>
      </w:tr>
      <w:tr>
        <w:trPr>
          <w:trHeight w:val="27"/>
        </w:trPr>
        <w:tc>
          <w:tcPr>
            <w:tcW w:w="2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Programming charges (Note 3)</w:t>
            </w:r>
          </w:p>
        </w:tc>
        <w:tc>
          <w:tcPr>
            <w:tcW w:w="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(1,118)</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275</w:t>
            </w:r>
          </w:p>
        </w:tc>
      </w:tr>
      <w:tr>
        <w:trPr>
          <w:trHeight w:val="262"/>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 (Note 4)</w:t>
            </w:r>
          </w:p>
        </w:tc>
        <w:tc>
          <w:tcPr>
            <w:tcW w:w="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(104)</w:t>
            </w: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Pr>
          <w:p>
            <w:pPr>
              <w:spacing w:after="0"/>
              <w:rPr>
                <w:sz w:val="22"/>
                <w:szCs w:val="22"/>
                <w:color w:val="auto"/>
              </w:rPr>
            </w:pPr>
          </w:p>
        </w:tc>
        <w:tc>
          <w:tcPr>
            <w:tcW w:w="8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(6,100)</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375</w:t>
            </w:r>
          </w:p>
        </w:tc>
      </w:tr>
      <w:tr>
        <w:trPr>
          <w:trHeight w:val="288"/>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Restructuring charges (Note </w:t>
            </w:r>
            <w:r>
              <w:rPr>
                <w:rFonts w:ascii="Times New Roman" w:cs="Times New Roman" w:eastAsia="Times New Roman" w:hAnsi="Times New Roman"/>
                <w:sz w:val="19"/>
                <w:szCs w:val="19"/>
                <w:color w:val="auto"/>
              </w:rPr>
              <w:t>4</w:t>
            </w:r>
            <w:r>
              <w:rPr>
                <w:rFonts w:ascii="Times New Roman" w:cs="Times New Roman" w:eastAsia="Times New Roman" w:hAnsi="Times New Roman"/>
                <w:sz w:val="17"/>
                <w:szCs w:val="17"/>
                <w:color w:val="auto"/>
              </w:rPr>
              <w:t>)</w:t>
            </w:r>
          </w:p>
        </w:tc>
        <w:tc>
          <w:tcPr>
            <w:tcW w:w="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(288)</w:t>
            </w: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65</w:t>
            </w:r>
          </w:p>
        </w:tc>
        <w:tc>
          <w:tcPr>
            <w:tcW w:w="140" w:type="dxa"/>
            <w:vAlign w:val="bottom"/>
          </w:tcPr>
          <w:p>
            <w:pPr>
              <w:spacing w:after="0"/>
              <w:rPr>
                <w:sz w:val="24"/>
                <w:szCs w:val="24"/>
                <w:color w:val="auto"/>
              </w:rPr>
            </w:pPr>
          </w:p>
        </w:tc>
        <w:tc>
          <w:tcPr>
            <w:tcW w:w="8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(544)</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117</w:t>
            </w:r>
          </w:p>
        </w:tc>
      </w:tr>
      <w:tr>
        <w:trPr>
          <w:trHeight w:val="244"/>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Transaction-related</w:t>
            </w: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8"/>
        </w:trPr>
        <w:tc>
          <w:tcPr>
            <w:tcW w:w="2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items (Note 4)</w:t>
            </w:r>
          </w:p>
        </w:tc>
        <w:tc>
          <w:tcPr>
            <w:tcW w:w="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(33)</w:t>
            </w: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(51)</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investment</w:t>
            </w:r>
          </w:p>
        </w:tc>
        <w:tc>
          <w:tcPr>
            <w:tcW w:w="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(4)</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w:t>
            </w:r>
          </w:p>
        </w:tc>
      </w:tr>
      <w:tr>
        <w:trPr>
          <w:trHeight w:val="244"/>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discrete tax benefit</w:t>
            </w: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8"/>
        </w:trPr>
        <w:tc>
          <w:tcPr>
            <w:tcW w:w="2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w:t>
            </w:r>
          </w:p>
        </w:tc>
        <w:tc>
          <w:tcPr>
            <w:tcW w:w="820" w:type="dxa"/>
            <w:vAlign w:val="bottom"/>
          </w:tcPr>
          <w:p>
            <w:pPr>
              <w:spacing w:after="0"/>
              <w:rPr>
                <w:sz w:val="19"/>
                <w:szCs w:val="19"/>
                <w:color w:val="auto"/>
              </w:rPr>
            </w:pPr>
          </w:p>
        </w:tc>
        <w:tc>
          <w:tcPr>
            <w:tcW w:w="120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n/a</w:t>
            </w: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n/a</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(47)</w:t>
            </w:r>
          </w:p>
        </w:tc>
      </w:tr>
      <w:tr>
        <w:trPr>
          <w:trHeight w:val="33"/>
        </w:trPr>
        <w:tc>
          <w:tcPr>
            <w:tcW w:w="2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65" w:lineRule="exact"/>
        <w:rPr>
          <w:sz w:val="20"/>
          <w:szCs w:val="20"/>
          <w:color w:val="auto"/>
        </w:rPr>
      </w:pPr>
    </w:p>
    <w:p>
      <w:pPr>
        <w:ind w:left="400" w:right="340" w:hanging="238"/>
        <w:spacing w:after="0" w:line="254" w:lineRule="auto"/>
        <w:tabs>
          <w:tab w:leader="none" w:pos="37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discrete tax provision for the nine months ended September 30, 2024 is primarily attributable to the establishment of a valuation allowance on our interest limitation carryforward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731" w:right="399" w:bottom="1440" w:gutter="0" w:footer="0" w:header="0"/>
        </w:sectPr>
      </w:pPr>
    </w:p>
    <w:bookmarkStart w:id="33" w:name="page34"/>
    <w:bookmarkEnd w:id="33"/>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PENSION AND OTHER POSTRETIREMENT BENEFITS</w:t>
      </w:r>
    </w:p>
    <w:p>
      <w:pPr>
        <w:spacing w:after="0" w:line="15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auto"/>
        </w:rPr>
        <w:t>The following tables present the components of net periodic cost for our pension and postretirement benefit plans. The service cost component of net periodic cost is presented on the Consolidated Statements of Operations within operating income and all other components of net periodic cost are included within “Other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0311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3110" cy="16510"/>
                    </a:xfrm>
                    <a:prstGeom prst="rect">
                      <a:avLst/>
                    </a:prstGeom>
                    <a:noFill/>
                  </pic:spPr>
                </pic:pic>
              </a:graphicData>
            </a:graphic>
          </wp:anchor>
        </w:drawing>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0" w:type="dxa"/>
            <w:vAlign w:val="bottom"/>
            <w:gridSpan w:val="4"/>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4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17"/>
                <w:szCs w:val="17"/>
                <w:color w:val="auto"/>
              </w:rPr>
            </w:pPr>
          </w:p>
        </w:tc>
        <w:tc>
          <w:tcPr>
            <w:tcW w:w="146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From July</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124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40" w:type="dxa"/>
            <w:vAlign w:val="bottom"/>
            <w:tcBorders>
              <w:right w:val="single" w:sz="8" w:color="auto"/>
            </w:tcBorders>
          </w:tcPr>
          <w:p>
            <w:pPr>
              <w:spacing w:after="0"/>
              <w:rPr>
                <w:sz w:val="17"/>
                <w:szCs w:val="17"/>
                <w:color w:val="auto"/>
              </w:rPr>
            </w:pP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20" w:type="dxa"/>
            <w:vAlign w:val="bottom"/>
            <w:gridSpan w:val="2"/>
            <w:vMerge w:val="continue"/>
          </w:tcPr>
          <w:p>
            <w:pPr>
              <w:spacing w:after="0"/>
              <w:rPr>
                <w:sz w:val="15"/>
                <w:szCs w:val="15"/>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Ended September</w:t>
            </w:r>
          </w:p>
        </w:tc>
        <w:tc>
          <w:tcPr>
            <w:tcW w:w="124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240" w:type="dxa"/>
            <w:vAlign w:val="bottom"/>
            <w:tcBorders>
              <w:right w:val="single" w:sz="8" w:color="auto"/>
            </w:tcBorders>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380" w:type="dxa"/>
            <w:vAlign w:val="bottom"/>
          </w:tcPr>
          <w:p>
            <w:pPr>
              <w:spacing w:after="0"/>
              <w:rPr>
                <w:sz w:val="19"/>
                <w:szCs w:val="19"/>
                <w:color w:val="auto"/>
              </w:rPr>
            </w:pPr>
          </w:p>
        </w:tc>
        <w:tc>
          <w:tcPr>
            <w:tcW w:w="1460" w:type="dxa"/>
            <w:vAlign w:val="bottom"/>
            <w:tcBorders>
              <w:bottom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July 1 - August 6,</w:t>
            </w: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Components of net periodic</w:t>
            </w:r>
          </w:p>
        </w:tc>
        <w:tc>
          <w:tcPr>
            <w:tcW w:w="3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xml:space="preserve">cost </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Service cost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right w:val="single" w:sz="8" w:color="auto"/>
            </w:tcBorders>
          </w:tcPr>
          <w:p>
            <w:pPr>
              <w:spacing w:after="0"/>
              <w:rPr>
                <w:sz w:val="19"/>
                <w:szCs w:val="19"/>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2"/>
        </w:trPr>
        <w:tc>
          <w:tcPr>
            <w:tcW w:w="2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cost</w:t>
            </w:r>
          </w:p>
        </w:tc>
        <w:tc>
          <w:tcPr>
            <w:tcW w:w="320" w:type="dxa"/>
            <w:vAlign w:val="bottom"/>
          </w:tcPr>
          <w:p>
            <w:pPr>
              <w:spacing w:after="0"/>
              <w:rPr>
                <w:sz w:val="22"/>
                <w:szCs w:val="22"/>
                <w:color w:val="auto"/>
              </w:rPr>
            </w:pPr>
          </w:p>
        </w:tc>
        <w:tc>
          <w:tcPr>
            <w:tcW w:w="114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3"/>
              </w:rPr>
              <w:t>30</w:t>
            </w:r>
          </w:p>
        </w:tc>
        <w:tc>
          <w:tcPr>
            <w:tcW w:w="440" w:type="dxa"/>
            <w:vAlign w:val="bottom"/>
          </w:tcPr>
          <w:p>
            <w:pPr>
              <w:spacing w:after="0"/>
              <w:rPr>
                <w:sz w:val="22"/>
                <w:szCs w:val="22"/>
                <w:color w:val="auto"/>
              </w:rPr>
            </w:pP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21</w:t>
            </w:r>
          </w:p>
        </w:tc>
        <w:tc>
          <w:tcPr>
            <w:tcW w:w="500" w:type="dxa"/>
            <w:vAlign w:val="bottom"/>
          </w:tcPr>
          <w:p>
            <w:pPr>
              <w:spacing w:after="0"/>
              <w:rPr>
                <w:sz w:val="22"/>
                <w:szCs w:val="22"/>
                <w:color w:val="auto"/>
              </w:rPr>
            </w:pPr>
          </w:p>
        </w:tc>
        <w:tc>
          <w:tcPr>
            <w:tcW w:w="92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4"/>
        </w:trPr>
        <w:tc>
          <w:tcPr>
            <w:tcW w:w="2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Expected return on plan</w:t>
            </w:r>
          </w:p>
        </w:tc>
        <w:tc>
          <w:tcPr>
            <w:tcW w:w="3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assets</w:t>
            </w:r>
          </w:p>
        </w:tc>
        <w:tc>
          <w:tcPr>
            <w:tcW w:w="320" w:type="dxa"/>
            <w:vAlign w:val="bottom"/>
          </w:tcPr>
          <w:p>
            <w:pPr>
              <w:spacing w:after="0"/>
              <w:rPr>
                <w:sz w:val="19"/>
                <w:szCs w:val="19"/>
                <w:color w:val="auto"/>
              </w:rPr>
            </w:pPr>
          </w:p>
        </w:tc>
        <w:tc>
          <w:tcPr>
            <w:tcW w:w="1140" w:type="dxa"/>
            <w:vAlign w:val="bottom"/>
            <w:tcBorders>
              <w:right w:val="single" w:sz="8" w:color="auto"/>
            </w:tcBorders>
          </w:tcPr>
          <w:p>
            <w:pPr>
              <w:jc w:val="center"/>
              <w:ind w:left="76"/>
              <w:spacing w:after="0"/>
              <w:rPr>
                <w:sz w:val="20"/>
                <w:szCs w:val="20"/>
                <w:color w:val="auto"/>
              </w:rPr>
            </w:pPr>
            <w:r>
              <w:rPr>
                <w:rFonts w:ascii="Times New Roman" w:cs="Times New Roman" w:eastAsia="Times New Roman" w:hAnsi="Times New Roman"/>
                <w:sz w:val="17"/>
                <w:szCs w:val="17"/>
                <w:color w:val="auto"/>
              </w:rPr>
              <w:t>(19)</w:t>
            </w:r>
          </w:p>
        </w:tc>
        <w:tc>
          <w:tcPr>
            <w:tcW w:w="440" w:type="dxa"/>
            <w:vAlign w:val="bottom"/>
          </w:tcPr>
          <w:p>
            <w:pPr>
              <w:spacing w:after="0"/>
              <w:rPr>
                <w:sz w:val="19"/>
                <w:szCs w:val="19"/>
                <w:color w:val="auto"/>
              </w:rPr>
            </w:pP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(13)</w:t>
            </w:r>
          </w:p>
        </w:tc>
        <w:tc>
          <w:tcPr>
            <w:tcW w:w="500" w:type="dxa"/>
            <w:vAlign w:val="bottom"/>
          </w:tcPr>
          <w:p>
            <w:pPr>
              <w:spacing w:after="0"/>
              <w:rPr>
                <w:sz w:val="19"/>
                <w:szCs w:val="19"/>
                <w:color w:val="auto"/>
              </w:rPr>
            </w:pPr>
          </w:p>
        </w:tc>
        <w:tc>
          <w:tcPr>
            <w:tcW w:w="92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4"/>
        </w:trPr>
        <w:tc>
          <w:tcPr>
            <w:tcW w:w="23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Amortization of actuarial</w:t>
            </w:r>
          </w:p>
        </w:tc>
        <w:tc>
          <w:tcPr>
            <w:tcW w:w="3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 xml:space="preserve">loss (gain) </w:t>
            </w:r>
            <w:r>
              <w:rPr>
                <w:rFonts w:ascii="Times New Roman" w:cs="Times New Roman" w:eastAsia="Times New Roman" w:hAnsi="Times New Roman"/>
                <w:sz w:val="22"/>
                <w:szCs w:val="22"/>
                <w:color w:val="auto"/>
                <w:vertAlign w:val="superscript"/>
              </w:rPr>
              <w:t>(b)</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7</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Net periodic cost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3"/>
              </w:rPr>
              <w:t>11</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15</w:t>
            </w: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Borders>
              <w:right w:val="single" w:sz="8" w:color="auto"/>
            </w:tcBorders>
          </w:tcPr>
          <w:p>
            <w:pPr>
              <w:spacing w:after="0"/>
              <w:rPr>
                <w:sz w:val="19"/>
                <w:szCs w:val="19"/>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3"/>
        </w:trPr>
        <w:tc>
          <w:tcPr>
            <w:tcW w:w="2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166370</wp:posOffset>
            </wp:positionV>
            <wp:extent cx="711962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9620" cy="16510"/>
                    </a:xfrm>
                    <a:prstGeom prst="rect">
                      <a:avLst/>
                    </a:prstGeom>
                    <a:noFill/>
                  </pic:spPr>
                </pic:pic>
              </a:graphicData>
            </a:graphic>
          </wp:anchor>
        </w:drawing>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160" w:type="dxa"/>
            <w:vAlign w:val="bottom"/>
            <w:gridSpan w:val="4"/>
          </w:tcPr>
          <w:p>
            <w:pPr>
              <w:jc w:val="center"/>
              <w:ind w:right="237"/>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900" w:type="dxa"/>
            <w:vAlign w:val="bottom"/>
          </w:tcPr>
          <w:p>
            <w:pPr>
              <w:spacing w:after="0"/>
              <w:rPr>
                <w:sz w:val="19"/>
                <w:szCs w:val="19"/>
                <w:color w:val="auto"/>
              </w:rPr>
            </w:pPr>
          </w:p>
        </w:tc>
      </w:tr>
      <w:tr>
        <w:trPr>
          <w:trHeight w:val="27"/>
        </w:trPr>
        <w:tc>
          <w:tcPr>
            <w:tcW w:w="2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2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6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00" w:type="dxa"/>
            <w:vAlign w:val="bottom"/>
            <w:tcBorders>
              <w:bottom w:val="single" w:sz="8" w:color="auto"/>
            </w:tcBorders>
          </w:tcPr>
          <w:p>
            <w:pPr>
              <w:spacing w:after="0"/>
              <w:rPr>
                <w:sz w:val="19"/>
                <w:szCs w:val="19"/>
                <w:color w:val="auto"/>
              </w:rPr>
            </w:pPr>
          </w:p>
        </w:tc>
      </w:tr>
      <w:tr>
        <w:trPr>
          <w:trHeight w:val="194"/>
        </w:trPr>
        <w:tc>
          <w:tcPr>
            <w:tcW w:w="2400" w:type="dxa"/>
            <w:vAlign w:val="bottom"/>
          </w:tcPr>
          <w:p>
            <w:pPr>
              <w:spacing w:after="0"/>
              <w:rPr>
                <w:sz w:val="16"/>
                <w:szCs w:val="16"/>
                <w:color w:val="auto"/>
              </w:rPr>
            </w:pPr>
          </w:p>
        </w:tc>
        <w:tc>
          <w:tcPr>
            <w:tcW w:w="146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60" w:type="dxa"/>
            <w:vAlign w:val="bottom"/>
            <w:tcBorders>
              <w:right w:val="single" w:sz="8" w:color="auto"/>
            </w:tcBorders>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4"/>
        </w:trPr>
        <w:tc>
          <w:tcPr>
            <w:tcW w:w="2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122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260" w:type="dxa"/>
            <w:vAlign w:val="bottom"/>
            <w:tcBorders>
              <w:right w:val="single" w:sz="8" w:color="auto"/>
            </w:tcBorders>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520" w:type="dxa"/>
            <w:vAlign w:val="bottom"/>
            <w:gridSpan w:val="2"/>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r>
      <w:tr>
        <w:trPr>
          <w:trHeight w:val="208"/>
        </w:trPr>
        <w:tc>
          <w:tcPr>
            <w:tcW w:w="2400" w:type="dxa"/>
            <w:vAlign w:val="bottom"/>
          </w:tcPr>
          <w:p>
            <w:pPr>
              <w:spacing w:after="0"/>
              <w:rPr>
                <w:sz w:val="18"/>
                <w:szCs w:val="18"/>
                <w:color w:val="auto"/>
              </w:rPr>
            </w:pPr>
          </w:p>
        </w:tc>
        <w:tc>
          <w:tcPr>
            <w:tcW w:w="146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60" w:type="dxa"/>
            <w:vAlign w:val="bottom"/>
          </w:tcPr>
          <w:p>
            <w:pPr>
              <w:spacing w:after="0"/>
              <w:rPr>
                <w:sz w:val="18"/>
                <w:szCs w:val="18"/>
                <w:color w:val="auto"/>
              </w:rPr>
            </w:pPr>
          </w:p>
        </w:tc>
        <w:tc>
          <w:tcPr>
            <w:tcW w:w="1100" w:type="dxa"/>
            <w:vAlign w:val="bottom"/>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2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520" w:type="dxa"/>
            <w:vAlign w:val="bottom"/>
            <w:gridSpan w:val="2"/>
          </w:tcPr>
          <w:p>
            <w:pPr>
              <w:jc w:val="center"/>
              <w:ind w:left="77"/>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31"/>
        </w:trPr>
        <w:tc>
          <w:tcPr>
            <w:tcW w:w="2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2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6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5"/>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Components of net periodic</w:t>
            </w:r>
          </w:p>
        </w:tc>
        <w:tc>
          <w:tcPr>
            <w:tcW w:w="3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5"/>
        </w:trPr>
        <w:tc>
          <w:tcPr>
            <w:tcW w:w="2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xml:space="preserve">cost </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8"/>
        </w:trPr>
        <w:tc>
          <w:tcPr>
            <w:tcW w:w="2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right w:val="single" w:sz="8" w:color="auto"/>
            </w:tcBorders>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2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320" w:type="dxa"/>
            <w:vAlign w:val="bottom"/>
          </w:tcPr>
          <w:p>
            <w:pPr>
              <w:spacing w:after="0"/>
              <w:rPr>
                <w:sz w:val="22"/>
                <w:szCs w:val="22"/>
                <w:color w:val="auto"/>
              </w:rPr>
            </w:pPr>
          </w:p>
        </w:tc>
        <w:tc>
          <w:tcPr>
            <w:tcW w:w="114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3"/>
              </w:rPr>
              <w:t>30</w:t>
            </w:r>
          </w:p>
        </w:tc>
        <w:tc>
          <w:tcPr>
            <w:tcW w:w="360" w:type="dxa"/>
            <w:vAlign w:val="bottom"/>
          </w:tcPr>
          <w:p>
            <w:pPr>
              <w:spacing w:after="0"/>
              <w:rPr>
                <w:sz w:val="22"/>
                <w:szCs w:val="22"/>
                <w:color w:val="auto"/>
              </w:rPr>
            </w:pPr>
          </w:p>
        </w:tc>
        <w:tc>
          <w:tcPr>
            <w:tcW w:w="110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120</w:t>
            </w:r>
          </w:p>
        </w:tc>
        <w:tc>
          <w:tcPr>
            <w:tcW w:w="540" w:type="dxa"/>
            <w:vAlign w:val="bottom"/>
          </w:tcPr>
          <w:p>
            <w:pPr>
              <w:spacing w:after="0"/>
              <w:rPr>
                <w:sz w:val="22"/>
                <w:szCs w:val="22"/>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Borders>
              <w:righ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5</w:t>
            </w:r>
          </w:p>
        </w:tc>
        <w:tc>
          <w:tcPr>
            <w:tcW w:w="620" w:type="dxa"/>
            <w:vAlign w:val="bottom"/>
          </w:tcPr>
          <w:p>
            <w:pPr>
              <w:spacing w:after="0"/>
              <w:rPr>
                <w:sz w:val="22"/>
                <w:szCs w:val="22"/>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8</w:t>
            </w:r>
          </w:p>
        </w:tc>
      </w:tr>
      <w:tr>
        <w:trPr>
          <w:trHeight w:val="244"/>
        </w:trPr>
        <w:tc>
          <w:tcPr>
            <w:tcW w:w="2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Expected return on plan</w:t>
            </w:r>
          </w:p>
        </w:tc>
        <w:tc>
          <w:tcPr>
            <w:tcW w:w="3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8"/>
        </w:trPr>
        <w:tc>
          <w:tcPr>
            <w:tcW w:w="2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assets</w:t>
            </w:r>
          </w:p>
        </w:tc>
        <w:tc>
          <w:tcPr>
            <w:tcW w:w="320" w:type="dxa"/>
            <w:vAlign w:val="bottom"/>
          </w:tcPr>
          <w:p>
            <w:pPr>
              <w:spacing w:after="0"/>
              <w:rPr>
                <w:sz w:val="19"/>
                <w:szCs w:val="19"/>
                <w:color w:val="auto"/>
              </w:rPr>
            </w:pPr>
          </w:p>
        </w:tc>
        <w:tc>
          <w:tcPr>
            <w:tcW w:w="1140" w:type="dxa"/>
            <w:vAlign w:val="bottom"/>
            <w:tcBorders>
              <w:right w:val="single" w:sz="8" w:color="auto"/>
            </w:tcBorders>
          </w:tcPr>
          <w:p>
            <w:pPr>
              <w:jc w:val="center"/>
              <w:ind w:left="76"/>
              <w:spacing w:after="0"/>
              <w:rPr>
                <w:sz w:val="20"/>
                <w:szCs w:val="20"/>
                <w:color w:val="auto"/>
              </w:rPr>
            </w:pPr>
            <w:r>
              <w:rPr>
                <w:rFonts w:ascii="Times New Roman" w:cs="Times New Roman" w:eastAsia="Times New Roman" w:hAnsi="Times New Roman"/>
                <w:sz w:val="17"/>
                <w:szCs w:val="17"/>
                <w:color w:val="auto"/>
              </w:rPr>
              <w:t>(19)</w:t>
            </w:r>
          </w:p>
        </w:tc>
        <w:tc>
          <w:tcPr>
            <w:tcW w:w="360" w:type="dxa"/>
            <w:vAlign w:val="bottom"/>
          </w:tcPr>
          <w:p>
            <w:pPr>
              <w:spacing w:after="0"/>
              <w:rPr>
                <w:sz w:val="19"/>
                <w:szCs w:val="19"/>
                <w:color w:val="auto"/>
              </w:rPr>
            </w:pPr>
          </w:p>
        </w:tc>
        <w:tc>
          <w:tcPr>
            <w:tcW w:w="11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(77)</w:t>
            </w:r>
          </w:p>
        </w:tc>
        <w:tc>
          <w:tcPr>
            <w:tcW w:w="540" w:type="dxa"/>
            <w:vAlign w:val="bottom"/>
          </w:tcPr>
          <w:p>
            <w:pPr>
              <w:spacing w:after="0"/>
              <w:rPr>
                <w:sz w:val="19"/>
                <w:szCs w:val="19"/>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2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Amortization of actuarial</w:t>
            </w:r>
          </w:p>
        </w:tc>
        <w:tc>
          <w:tcPr>
            <w:tcW w:w="3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7"/>
        </w:trPr>
        <w:tc>
          <w:tcPr>
            <w:tcW w:w="2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 xml:space="preserve">loss (gain) </w:t>
            </w:r>
            <w:r>
              <w:rPr>
                <w:rFonts w:ascii="Times New Roman" w:cs="Times New Roman" w:eastAsia="Times New Roman" w:hAnsi="Times New Roman"/>
                <w:sz w:val="22"/>
                <w:szCs w:val="22"/>
                <w:color w:val="auto"/>
                <w:vertAlign w:val="superscript"/>
              </w:rPr>
              <w:t>(b)</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44</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(11)</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(13)</w:t>
            </w: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periodic cost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3"/>
              </w:rPr>
              <w:t>11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87</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Borders>
              <w:right w:val="single" w:sz="8" w:color="auto"/>
            </w:tcBorders>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w:t>
            </w:r>
          </w:p>
        </w:tc>
      </w:tr>
      <w:tr>
        <w:trPr>
          <w:trHeight w:val="33"/>
        </w:trPr>
        <w:tc>
          <w:tcPr>
            <w:tcW w:w="2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300" w:hanging="216"/>
        <w:spacing w:after="0"/>
        <w:tabs>
          <w:tab w:leader="none" w:pos="3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our domestic plans only.</w:t>
      </w:r>
    </w:p>
    <w:p>
      <w:pPr>
        <w:spacing w:after="0" w:line="52" w:lineRule="exact"/>
        <w:rPr>
          <w:rFonts w:ascii="Times New Roman" w:cs="Times New Roman" w:eastAsia="Times New Roman" w:hAnsi="Times New Roman"/>
          <w:sz w:val="16"/>
          <w:szCs w:val="16"/>
          <w:color w:val="auto"/>
        </w:rPr>
      </w:pPr>
    </w:p>
    <w:p>
      <w:pPr>
        <w:ind w:left="300" w:hanging="216"/>
        <w:spacing w:after="0"/>
        <w:tabs>
          <w:tab w:leader="none" w:pos="3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amounts reclassified from accumulated other comprehensive loss to net earnings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34" w:name="page35"/>
    <w:bookmarkEnd w:id="34"/>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SEGMENT INFORMATION</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The tables below set forth our financial information by reportable segment that is regularly reviewed by the Company’s chief operating decision maker (“CODM”), who is the Company’s Chief Strategy Officer and Chief Operating Officer, Andrew Gordon. We are in the process of transitioning our reporting structure into three new segments: Studios, Direct-to-Consumer, and TV Media, which will be completed and reflected in our Quarterly Report on Form 10-Q for the first quarter of 2026. The following is a description of our current segments:</w:t>
      </w:r>
    </w:p>
    <w:p>
      <w:pPr>
        <w:spacing w:after="0" w:line="183" w:lineRule="exact"/>
        <w:rPr>
          <w:sz w:val="20"/>
          <w:szCs w:val="20"/>
          <w:color w:val="auto"/>
        </w:rPr>
      </w:pPr>
    </w:p>
    <w:p>
      <w:pPr>
        <w:ind w:left="640" w:right="120" w:hanging="320"/>
        <w:spacing w:after="0" w:line="260" w:lineRule="auto"/>
        <w:tabs>
          <w:tab w:leader="none" w:pos="628" w:val="left"/>
        </w:tabs>
        <w:numPr>
          <w:ilvl w:val="0"/>
          <w:numId w:val="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consists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CBS Television Network, our domestic broadcast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television network; CBS Stations, our owned television stations; and our international free-to-air networks, Network 10, Channel 5, and Chilevisión;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and Paramount Television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Streaming for 24 hour news and CBS Sports HQ for sports news and analysis.</w:t>
      </w:r>
    </w:p>
    <w:p>
      <w:pPr>
        <w:spacing w:after="0" w:line="192" w:lineRule="exact"/>
        <w:rPr>
          <w:rFonts w:ascii="Times New Roman" w:cs="Times New Roman" w:eastAsia="Times New Roman" w:hAnsi="Times New Roman"/>
          <w:sz w:val="19"/>
          <w:szCs w:val="19"/>
          <w:b w:val="1"/>
          <w:bCs w:val="1"/>
          <w:i w:val="1"/>
          <w:iCs w:val="1"/>
          <w:color w:val="auto"/>
        </w:rPr>
      </w:pPr>
    </w:p>
    <w:p>
      <w:pPr>
        <w:ind w:left="640" w:right="500" w:hanging="320"/>
        <w:spacing w:after="0" w:line="297" w:lineRule="auto"/>
        <w:tabs>
          <w:tab w:leader="none" w:pos="628" w:val="left"/>
        </w:tabs>
        <w:numPr>
          <w:ilvl w:val="0"/>
          <w:numId w:val="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includes our portfolio of domestic and international pay and free streaming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including Paramount+, Pluto TV, and BET+.</w:t>
      </w:r>
    </w:p>
    <w:p>
      <w:pPr>
        <w:spacing w:after="0" w:line="167" w:lineRule="exact"/>
        <w:rPr>
          <w:rFonts w:ascii="Times New Roman" w:cs="Times New Roman" w:eastAsia="Times New Roman" w:hAnsi="Times New Roman"/>
          <w:sz w:val="19"/>
          <w:szCs w:val="19"/>
          <w:b w:val="1"/>
          <w:bCs w:val="1"/>
          <w:i w:val="1"/>
          <w:iCs w:val="1"/>
          <w:color w:val="auto"/>
        </w:rPr>
      </w:pPr>
    </w:p>
    <w:p>
      <w:pPr>
        <w:ind w:left="640" w:right="220" w:hanging="320"/>
        <w:spacing w:after="0" w:line="283" w:lineRule="auto"/>
        <w:tabs>
          <w:tab w:leader="none" w:pos="628" w:val="left"/>
        </w:tabs>
        <w:numPr>
          <w:ilvl w:val="0"/>
          <w:numId w:val="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consists of Paramount Pictures, Skydance’s Animation, Film, Television,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Interactive/Games, and Sports divisions, Paramount Players, Paramount Animation, Nickelodeon Studio, Awesomeness, and Miramax.</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35" w:name="page36"/>
    <w:bookmarkEnd w:id="35"/>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We present operating income excluding depreciation and amortization, stock-based compensation, impairment charges, restructuring charges, transaction-related items, programming charges, and gain on dispositions, each where applicable (“Adjusted OIBDA”), as the primary measure of profit and loss for our operating segments in accordance with FASB guidance for segment reporting. Programming charges consist only of charges related to major strategic changes (see Note 3), and do not include impairment charges that occur as part of our normal operations, which are recorded within content costs in the tables below, where applicable, and are not excluded in Adjusted OIBDA. Stock-based compensation is excluded from our segment measure of profit and loss because it is set and approved by our Board of Directors in consultation with corporate executive management. We do not disclose our assets by segment because they are not regularly provided to the CODM and are not used to evaluate our operating performance or in determining the allocation of resources.</w:t>
      </w:r>
    </w:p>
    <w:p>
      <w:pPr>
        <w:spacing w:after="0" w:line="130" w:lineRule="exact"/>
        <w:rPr>
          <w:sz w:val="20"/>
          <w:szCs w:val="20"/>
          <w:color w:val="auto"/>
        </w:rPr>
      </w:pPr>
    </w:p>
    <w:tbl>
      <w:tblPr>
        <w:tblLayout w:type="fixed"/>
        <w:tblInd w:w="980" w:type="dxa"/>
        <w:tblCellMar>
          <w:top w:w="0" w:type="dxa"/>
          <w:left w:w="0" w:type="dxa"/>
          <w:bottom w:w="0" w:type="dxa"/>
          <w:right w:w="0" w:type="dxa"/>
        </w:tblCellMar>
      </w:tblPr>
      <w:tr>
        <w:trPr>
          <w:trHeight w:val="255"/>
        </w:trPr>
        <w:tc>
          <w:tcPr>
            <w:tcW w:w="47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6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72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From July</w:t>
            </w: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6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16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6"/>
        </w:trPr>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980</w:t>
            </w: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485</w:t>
            </w:r>
          </w:p>
        </w:tc>
        <w:tc>
          <w:tcPr>
            <w:tcW w:w="6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1,666</w:t>
            </w:r>
          </w:p>
        </w:tc>
        <w:tc>
          <w:tcPr>
            <w:tcW w:w="0" w:type="dxa"/>
            <w:vAlign w:val="bottom"/>
          </w:tcPr>
          <w:p>
            <w:pPr>
              <w:spacing w:after="0"/>
              <w:rPr>
                <w:sz w:val="1"/>
                <w:szCs w:val="1"/>
                <w:color w:val="auto"/>
              </w:rPr>
            </w:pP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1,044</w:t>
            </w:r>
          </w:p>
        </w:tc>
        <w:tc>
          <w:tcPr>
            <w:tcW w:w="460" w:type="dxa"/>
            <w:vAlign w:val="bottom"/>
          </w:tcPr>
          <w:p>
            <w:pPr>
              <w:spacing w:after="0"/>
              <w:rPr>
                <w:sz w:val="22"/>
                <w:szCs w:val="22"/>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696</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1,872</w:t>
            </w:r>
          </w:p>
        </w:tc>
        <w:tc>
          <w:tcPr>
            <w:tcW w:w="0" w:type="dxa"/>
            <w:vAlign w:val="bottom"/>
          </w:tcPr>
          <w:p>
            <w:pPr>
              <w:spacing w:after="0"/>
              <w:rPr>
                <w:sz w:val="1"/>
                <w:szCs w:val="1"/>
                <w:color w:val="auto"/>
              </w:rPr>
            </w:pP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 and other</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344</w:t>
            </w:r>
          </w:p>
        </w:tc>
        <w:tc>
          <w:tcPr>
            <w:tcW w:w="460" w:type="dxa"/>
            <w:vAlign w:val="bottom"/>
          </w:tcPr>
          <w:p>
            <w:pPr>
              <w:spacing w:after="0"/>
              <w:rPr>
                <w:sz w:val="22"/>
                <w:szCs w:val="22"/>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247</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760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TV Media</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2,368</w:t>
            </w:r>
          </w:p>
        </w:tc>
        <w:tc>
          <w:tcPr>
            <w:tcW w:w="460" w:type="dxa"/>
            <w:vAlign w:val="bottom"/>
          </w:tcPr>
          <w:p>
            <w:pPr>
              <w:spacing w:after="0"/>
              <w:rPr>
                <w:sz w:val="19"/>
                <w:szCs w:val="19"/>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1,428</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4,298</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300</w:t>
            </w:r>
          </w:p>
        </w:tc>
        <w:tc>
          <w:tcPr>
            <w:tcW w:w="460" w:type="dxa"/>
            <w:vAlign w:val="bottom"/>
          </w:tcPr>
          <w:p>
            <w:pPr>
              <w:spacing w:after="0"/>
              <w:rPr>
                <w:sz w:val="19"/>
                <w:szCs w:val="19"/>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179</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507</w:t>
            </w:r>
          </w:p>
        </w:tc>
        <w:tc>
          <w:tcPr>
            <w:tcW w:w="0" w:type="dxa"/>
            <w:vAlign w:val="bottom"/>
          </w:tcPr>
          <w:p>
            <w:pPr>
              <w:spacing w:after="0"/>
              <w:rPr>
                <w:sz w:val="1"/>
                <w:szCs w:val="1"/>
                <w:color w:val="auto"/>
              </w:rPr>
            </w:pP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Subscription</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983</w:t>
            </w:r>
          </w:p>
        </w:tc>
        <w:tc>
          <w:tcPr>
            <w:tcW w:w="460" w:type="dxa"/>
            <w:vAlign w:val="bottom"/>
          </w:tcPr>
          <w:p>
            <w:pPr>
              <w:spacing w:after="0"/>
              <w:rPr>
                <w:sz w:val="22"/>
                <w:szCs w:val="22"/>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704</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1,343</w:t>
            </w:r>
          </w:p>
        </w:tc>
        <w:tc>
          <w:tcPr>
            <w:tcW w:w="0" w:type="dxa"/>
            <w:vAlign w:val="bottom"/>
          </w:tcPr>
          <w:p>
            <w:pPr>
              <w:spacing w:after="0"/>
              <w:rPr>
                <w:sz w:val="1"/>
                <w:szCs w:val="1"/>
                <w:color w:val="auto"/>
              </w:rPr>
            </w:pP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1</w:t>
            </w:r>
          </w:p>
        </w:tc>
        <w:tc>
          <w:tcPr>
            <w:tcW w:w="460" w:type="dxa"/>
            <w:vAlign w:val="bottom"/>
          </w:tcPr>
          <w:p>
            <w:pPr>
              <w:spacing w:after="0"/>
              <w:rPr>
                <w:sz w:val="22"/>
                <w:szCs w:val="22"/>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Direct-to-Consumer</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1,284</w:t>
            </w:r>
          </w:p>
        </w:tc>
        <w:tc>
          <w:tcPr>
            <w:tcW w:w="460" w:type="dxa"/>
            <w:vAlign w:val="bottom"/>
          </w:tcPr>
          <w:p>
            <w:pPr>
              <w:spacing w:after="0"/>
              <w:rPr>
                <w:sz w:val="19"/>
                <w:szCs w:val="19"/>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883</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1,860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Theatrical</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39</w:t>
            </w:r>
          </w:p>
        </w:tc>
        <w:tc>
          <w:tcPr>
            <w:tcW w:w="460" w:type="dxa"/>
            <w:vAlign w:val="bottom"/>
          </w:tcPr>
          <w:p>
            <w:pPr>
              <w:spacing w:after="0"/>
              <w:rPr>
                <w:sz w:val="19"/>
                <w:szCs w:val="19"/>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73</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 and other</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440</w:t>
            </w:r>
          </w:p>
        </w:tc>
        <w:tc>
          <w:tcPr>
            <w:tcW w:w="460" w:type="dxa"/>
            <w:vAlign w:val="bottom"/>
          </w:tcPr>
          <w:p>
            <w:pPr>
              <w:spacing w:after="0"/>
              <w:rPr>
                <w:sz w:val="22"/>
                <w:szCs w:val="22"/>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202</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1</w:t>
            </w:r>
          </w:p>
        </w:tc>
        <w:tc>
          <w:tcPr>
            <w:tcW w:w="460" w:type="dxa"/>
            <w:vAlign w:val="bottom"/>
          </w:tcPr>
          <w:p>
            <w:pPr>
              <w:spacing w:after="0"/>
              <w:rPr>
                <w:sz w:val="22"/>
                <w:szCs w:val="22"/>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Filmed Entertainment</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480</w:t>
            </w:r>
          </w:p>
        </w:tc>
        <w:tc>
          <w:tcPr>
            <w:tcW w:w="460" w:type="dxa"/>
            <w:vAlign w:val="bottom"/>
          </w:tcPr>
          <w:p>
            <w:pPr>
              <w:spacing w:after="0"/>
              <w:rPr>
                <w:sz w:val="19"/>
                <w:szCs w:val="19"/>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276</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590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Eliminations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(11)</w:t>
            </w:r>
          </w:p>
        </w:tc>
        <w:tc>
          <w:tcPr>
            <w:tcW w:w="460" w:type="dxa"/>
            <w:vAlign w:val="bottom"/>
          </w:tcPr>
          <w:p>
            <w:pPr>
              <w:spacing w:after="0"/>
              <w:rPr>
                <w:sz w:val="19"/>
                <w:szCs w:val="19"/>
                <w:color w:val="auto"/>
              </w:rPr>
            </w:pP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w:t>
            </w:r>
          </w:p>
        </w:tc>
        <w:tc>
          <w:tcPr>
            <w:tcW w:w="600" w:type="dxa"/>
            <w:vAlign w:val="bottom"/>
          </w:tcPr>
          <w:p>
            <w:pPr>
              <w:spacing w:after="0"/>
              <w:rPr>
                <w:sz w:val="19"/>
                <w:szCs w:val="19"/>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4,121</w:t>
            </w: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2,581</w:t>
            </w:r>
          </w:p>
        </w:tc>
        <w:tc>
          <w:tcPr>
            <w:tcW w:w="6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6,731</w:t>
            </w:r>
          </w:p>
        </w:tc>
        <w:tc>
          <w:tcPr>
            <w:tcW w:w="0" w:type="dxa"/>
            <w:vAlign w:val="bottom"/>
          </w:tcPr>
          <w:p>
            <w:pPr>
              <w:spacing w:after="0"/>
              <w:rPr>
                <w:sz w:val="1"/>
                <w:szCs w:val="1"/>
                <w:color w:val="auto"/>
              </w:rPr>
            </w:pPr>
          </w:p>
        </w:tc>
      </w:tr>
      <w:tr>
        <w:trPr>
          <w:trHeight w:val="33"/>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36" w:name="page37"/>
    <w:bookmarkEnd w:id="36"/>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99" w:lineRule="exact"/>
        <w:rPr>
          <w:sz w:val="20"/>
          <w:szCs w:val="20"/>
          <w:color w:val="auto"/>
        </w:rPr>
      </w:pPr>
    </w:p>
    <w:tbl>
      <w:tblPr>
        <w:tblLayout w:type="fixed"/>
        <w:tblInd w:w="1000" w:type="dxa"/>
        <w:tblCellMar>
          <w:top w:w="0" w:type="dxa"/>
          <w:left w:w="0" w:type="dxa"/>
          <w:bottom w:w="0" w:type="dxa"/>
          <w:right w:w="0" w:type="dxa"/>
        </w:tblCellMar>
      </w:tblPr>
      <w:tr>
        <w:trPr>
          <w:trHeight w:val="255"/>
        </w:trPr>
        <w:tc>
          <w:tcPr>
            <w:tcW w:w="47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9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r>
      <w:tr>
        <w:trPr>
          <w:trHeight w:val="194"/>
        </w:trPr>
        <w:tc>
          <w:tcPr>
            <w:tcW w:w="472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80" w:type="dxa"/>
            <w:vAlign w:val="bottom"/>
            <w:gridSpan w:val="2"/>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Borders>
              <w:right w:val="single" w:sz="8" w:color="auto"/>
            </w:tcBorders>
          </w:tcPr>
          <w:p>
            <w:pPr>
              <w:jc w:val="center"/>
              <w:ind w:right="374"/>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8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54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2"/>
        </w:trPr>
        <w:tc>
          <w:tcPr>
            <w:tcW w:w="4720" w:type="dxa"/>
            <w:vAlign w:val="bottom"/>
          </w:tcPr>
          <w:p>
            <w:pPr>
              <w:spacing w:after="0"/>
              <w:rPr>
                <w:sz w:val="20"/>
                <w:szCs w:val="20"/>
                <w:color w:val="auto"/>
              </w:rPr>
            </w:pPr>
          </w:p>
        </w:tc>
        <w:tc>
          <w:tcPr>
            <w:tcW w:w="1520" w:type="dxa"/>
            <w:vAlign w:val="bottom"/>
            <w:tcBorders>
              <w:bottom w:val="single" w:sz="8" w:color="auto"/>
              <w:right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6,</w:t>
            </w:r>
          </w:p>
        </w:tc>
        <w:tc>
          <w:tcPr>
            <w:tcW w:w="15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9"/>
        </w:trPr>
        <w:tc>
          <w:tcPr>
            <w:tcW w:w="4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980</w:t>
            </w: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4,180</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5,981</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1,044</w:t>
            </w:r>
          </w:p>
        </w:tc>
        <w:tc>
          <w:tcPr>
            <w:tcW w:w="460" w:type="dxa"/>
            <w:vAlign w:val="bottom"/>
          </w:tcPr>
          <w:p>
            <w:pPr>
              <w:spacing w:after="0"/>
              <w:rPr>
                <w:sz w:val="22"/>
                <w:szCs w:val="22"/>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4,302</w:t>
            </w:r>
          </w:p>
        </w:tc>
        <w:tc>
          <w:tcPr>
            <w:tcW w:w="540" w:type="dxa"/>
            <w:vAlign w:val="bottom"/>
          </w:tcPr>
          <w:p>
            <w:pPr>
              <w:spacing w:after="0"/>
              <w:rPr>
                <w:sz w:val="22"/>
                <w:szCs w:val="22"/>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5,778</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 and other</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344</w:t>
            </w:r>
          </w:p>
        </w:tc>
        <w:tc>
          <w:tcPr>
            <w:tcW w:w="460" w:type="dxa"/>
            <w:vAlign w:val="bottom"/>
          </w:tcPr>
          <w:p>
            <w:pPr>
              <w:spacing w:after="0"/>
              <w:rPr>
                <w:sz w:val="22"/>
                <w:szCs w:val="22"/>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1,495</w:t>
            </w:r>
          </w:p>
        </w:tc>
        <w:tc>
          <w:tcPr>
            <w:tcW w:w="540" w:type="dxa"/>
            <w:vAlign w:val="bottom"/>
          </w:tcPr>
          <w:p>
            <w:pPr>
              <w:spacing w:after="0"/>
              <w:rPr>
                <w:sz w:val="22"/>
                <w:szCs w:val="22"/>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2,041</w:t>
            </w:r>
          </w:p>
        </w:tc>
      </w:tr>
      <w:tr>
        <w:trPr>
          <w:trHeight w:val="27"/>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2,368</w:t>
            </w:r>
          </w:p>
        </w:tc>
        <w:tc>
          <w:tcPr>
            <w:tcW w:w="460" w:type="dxa"/>
            <w:vAlign w:val="bottom"/>
          </w:tcPr>
          <w:p>
            <w:pPr>
              <w:spacing w:after="0"/>
              <w:rPr>
                <w:sz w:val="19"/>
                <w:szCs w:val="19"/>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9,977</w:t>
            </w:r>
          </w:p>
        </w:tc>
        <w:tc>
          <w:tcPr>
            <w:tcW w:w="54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13,800</w:t>
            </w:r>
          </w:p>
        </w:tc>
      </w:tr>
      <w:tr>
        <w:trPr>
          <w:trHeight w:val="27"/>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300</w:t>
            </w:r>
          </w:p>
        </w:tc>
        <w:tc>
          <w:tcPr>
            <w:tcW w:w="460" w:type="dxa"/>
            <w:vAlign w:val="bottom"/>
          </w:tcPr>
          <w:p>
            <w:pPr>
              <w:spacing w:after="0"/>
              <w:rPr>
                <w:sz w:val="19"/>
                <w:szCs w:val="19"/>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1,146</w:t>
            </w:r>
          </w:p>
        </w:tc>
        <w:tc>
          <w:tcPr>
            <w:tcW w:w="54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1,540</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Subscription</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983</w:t>
            </w:r>
          </w:p>
        </w:tc>
        <w:tc>
          <w:tcPr>
            <w:tcW w:w="460" w:type="dxa"/>
            <w:vAlign w:val="bottom"/>
          </w:tcPr>
          <w:p>
            <w:pPr>
              <w:spacing w:after="0"/>
              <w:rPr>
                <w:sz w:val="22"/>
                <w:szCs w:val="22"/>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3,940</w:t>
            </w:r>
          </w:p>
        </w:tc>
        <w:tc>
          <w:tcPr>
            <w:tcW w:w="540" w:type="dxa"/>
            <w:vAlign w:val="bottom"/>
          </w:tcPr>
          <w:p>
            <w:pPr>
              <w:spacing w:after="0"/>
              <w:rPr>
                <w:sz w:val="22"/>
                <w:szCs w:val="22"/>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4,069</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w:t>
            </w:r>
          </w:p>
        </w:tc>
        <w:tc>
          <w:tcPr>
            <w:tcW w:w="460" w:type="dxa"/>
            <w:vAlign w:val="bottom"/>
          </w:tcPr>
          <w:p>
            <w:pPr>
              <w:spacing w:after="0"/>
              <w:rPr>
                <w:sz w:val="22"/>
                <w:szCs w:val="22"/>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tcPr>
          <w:p>
            <w:pPr>
              <w:spacing w:after="0"/>
              <w:rPr>
                <w:sz w:val="22"/>
                <w:szCs w:val="22"/>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w:t>
            </w:r>
          </w:p>
        </w:tc>
      </w:tr>
      <w:tr>
        <w:trPr>
          <w:trHeight w:val="27"/>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Direct-to-Consumer</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1,284</w:t>
            </w:r>
          </w:p>
        </w:tc>
        <w:tc>
          <w:tcPr>
            <w:tcW w:w="460" w:type="dxa"/>
            <w:vAlign w:val="bottom"/>
          </w:tcPr>
          <w:p>
            <w:pPr>
              <w:spacing w:after="0"/>
              <w:rPr>
                <w:sz w:val="19"/>
                <w:szCs w:val="19"/>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5,087</w:t>
            </w:r>
          </w:p>
        </w:tc>
        <w:tc>
          <w:tcPr>
            <w:tcW w:w="54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5,619</w:t>
            </w:r>
          </w:p>
        </w:tc>
      </w:tr>
      <w:tr>
        <w:trPr>
          <w:trHeight w:val="27"/>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Theatrical</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39</w:t>
            </w:r>
          </w:p>
        </w:tc>
        <w:tc>
          <w:tcPr>
            <w:tcW w:w="460" w:type="dxa"/>
            <w:vAlign w:val="bottom"/>
          </w:tcPr>
          <w:p>
            <w:pPr>
              <w:spacing w:after="0"/>
              <w:rPr>
                <w:sz w:val="19"/>
                <w:szCs w:val="19"/>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475</w:t>
            </w:r>
          </w:p>
        </w:tc>
        <w:tc>
          <w:tcPr>
            <w:tcW w:w="54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399</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 and other</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440</w:t>
            </w:r>
          </w:p>
        </w:tc>
        <w:tc>
          <w:tcPr>
            <w:tcW w:w="460" w:type="dxa"/>
            <w:vAlign w:val="bottom"/>
          </w:tcPr>
          <w:p>
            <w:pPr>
              <w:spacing w:after="0"/>
              <w:rPr>
                <w:sz w:val="22"/>
                <w:szCs w:val="22"/>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1,112</w:t>
            </w:r>
          </w:p>
        </w:tc>
        <w:tc>
          <w:tcPr>
            <w:tcW w:w="540" w:type="dxa"/>
            <w:vAlign w:val="bottom"/>
          </w:tcPr>
          <w:p>
            <w:pPr>
              <w:spacing w:after="0"/>
              <w:rPr>
                <w:sz w:val="22"/>
                <w:szCs w:val="22"/>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1,465</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w:t>
            </w:r>
          </w:p>
        </w:tc>
        <w:tc>
          <w:tcPr>
            <w:tcW w:w="460" w:type="dxa"/>
            <w:vAlign w:val="bottom"/>
          </w:tcPr>
          <w:p>
            <w:pPr>
              <w:spacing w:after="0"/>
              <w:rPr>
                <w:sz w:val="22"/>
                <w:szCs w:val="22"/>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6</w:t>
            </w:r>
          </w:p>
        </w:tc>
        <w:tc>
          <w:tcPr>
            <w:tcW w:w="540" w:type="dxa"/>
            <w:vAlign w:val="bottom"/>
          </w:tcPr>
          <w:p>
            <w:pPr>
              <w:spacing w:after="0"/>
              <w:rPr>
                <w:sz w:val="22"/>
                <w:szCs w:val="22"/>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w:t>
            </w:r>
          </w:p>
        </w:tc>
      </w:tr>
      <w:tr>
        <w:trPr>
          <w:trHeight w:val="27"/>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480</w:t>
            </w:r>
          </w:p>
        </w:tc>
        <w:tc>
          <w:tcPr>
            <w:tcW w:w="460" w:type="dxa"/>
            <w:vAlign w:val="bottom"/>
          </w:tcPr>
          <w:p>
            <w:pPr>
              <w:spacing w:after="0"/>
              <w:rPr>
                <w:sz w:val="19"/>
                <w:szCs w:val="19"/>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1,593</w:t>
            </w:r>
          </w:p>
        </w:tc>
        <w:tc>
          <w:tcPr>
            <w:tcW w:w="54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1,874</w:t>
            </w:r>
          </w:p>
        </w:tc>
      </w:tr>
      <w:tr>
        <w:trPr>
          <w:trHeight w:val="27"/>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Eliminations</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(11)</w:t>
            </w:r>
          </w:p>
        </w:tc>
        <w:tc>
          <w:tcPr>
            <w:tcW w:w="46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(35)</w:t>
            </w:r>
          </w:p>
        </w:tc>
        <w:tc>
          <w:tcPr>
            <w:tcW w:w="540" w:type="dxa"/>
            <w:vAlign w:val="bottom"/>
          </w:tcPr>
          <w:p>
            <w:pPr>
              <w:spacing w:after="0"/>
              <w:rPr>
                <w:sz w:val="19"/>
                <w:szCs w:val="19"/>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(64)</w:t>
            </w:r>
          </w:p>
        </w:tc>
      </w:tr>
      <w:tr>
        <w:trPr>
          <w:trHeight w:val="27"/>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4,121</w:t>
            </w: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16,622</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21,229</w:t>
            </w:r>
          </w:p>
        </w:tc>
      </w:tr>
      <w:tr>
        <w:trPr>
          <w:trHeight w:val="33"/>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Revenues generated between segments are principally from intersegment arrangements for the distribution of content, rental of studio space, and advertising, as well as licensing revenues earned from third parties who license our content to our internal platforms either through a sub-license or co-production arrangement. These transactions are recorded at market value as if the sales were to third parties and are eliminated in consolidation. For content that is licensed between segments, content costs are allocated across segments based on the relative value of the distribution windows within each segment. Accordingly, no intersegment licensing revenues or profits are recorded by the licensor segment.</w:t>
      </w:r>
    </w:p>
    <w:p>
      <w:pPr>
        <w:spacing w:after="0" w:line="126" w:lineRule="exact"/>
        <w:rPr>
          <w:sz w:val="20"/>
          <w:szCs w:val="20"/>
          <w:color w:val="auto"/>
        </w:rPr>
      </w:pPr>
    </w:p>
    <w:tbl>
      <w:tblPr>
        <w:tblLayout w:type="fixed"/>
        <w:tblInd w:w="980" w:type="dxa"/>
        <w:tblCellMar>
          <w:top w:w="0" w:type="dxa"/>
          <w:left w:w="0" w:type="dxa"/>
          <w:bottom w:w="0" w:type="dxa"/>
          <w:right w:w="0" w:type="dxa"/>
        </w:tblCellMar>
      </w:tblPr>
      <w:tr>
        <w:trPr>
          <w:trHeight w:val="255"/>
        </w:trPr>
        <w:tc>
          <w:tcPr>
            <w:tcW w:w="47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74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Borders>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0" w:type="dxa"/>
            <w:vAlign w:val="bottom"/>
          </w:tcPr>
          <w:p>
            <w:pPr>
              <w:spacing w:after="0"/>
              <w:rPr>
                <w:sz w:val="1"/>
                <w:szCs w:val="1"/>
                <w:color w:val="auto"/>
              </w:rPr>
            </w:pPr>
          </w:p>
        </w:tc>
      </w:tr>
      <w:tr>
        <w:trPr>
          <w:trHeight w:val="232"/>
        </w:trPr>
        <w:tc>
          <w:tcPr>
            <w:tcW w:w="4740" w:type="dxa"/>
            <w:vAlign w:val="bottom"/>
          </w:tcPr>
          <w:p>
            <w:pPr>
              <w:spacing w:after="0"/>
              <w:rPr>
                <w:sz w:val="20"/>
                <w:szCs w:val="20"/>
                <w:color w:val="auto"/>
              </w:rPr>
            </w:pPr>
          </w:p>
        </w:tc>
        <w:tc>
          <w:tcPr>
            <w:tcW w:w="1520" w:type="dxa"/>
            <w:vAlign w:val="bottom"/>
            <w:tcBorders>
              <w:bottom w:val="single" w:sz="8" w:color="auto"/>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16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55"/>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Intercompany Revenues:</w:t>
            </w:r>
          </w:p>
        </w:tc>
        <w:tc>
          <w:tcPr>
            <w:tcW w:w="3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62"/>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8</w:t>
            </w:r>
          </w:p>
        </w:tc>
        <w:tc>
          <w:tcPr>
            <w:tcW w:w="380" w:type="dxa"/>
            <w:vAlign w:val="bottom"/>
          </w:tcPr>
          <w:p>
            <w:pPr>
              <w:spacing w:after="0"/>
              <w:rPr>
                <w:sz w:val="22"/>
                <w:szCs w:val="22"/>
                <w:color w:val="auto"/>
              </w:rPr>
            </w:pP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tcPr>
          <w:p>
            <w:pPr>
              <w:spacing w:after="0"/>
              <w:rPr>
                <w:sz w:val="22"/>
                <w:szCs w:val="22"/>
                <w:color w:val="auto"/>
              </w:rPr>
            </w:pP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Total Intercompany Revenues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11</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6</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4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Borders>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740" w:type="dxa"/>
            <w:vAlign w:val="bottom"/>
          </w:tcPr>
          <w:p>
            <w:pPr>
              <w:spacing w:after="0"/>
              <w:rPr>
                <w:sz w:val="19"/>
                <w:szCs w:val="19"/>
                <w:color w:val="auto"/>
              </w:rPr>
            </w:pPr>
          </w:p>
        </w:tc>
        <w:tc>
          <w:tcPr>
            <w:tcW w:w="1520" w:type="dxa"/>
            <w:vAlign w:val="bottom"/>
            <w:tcBorders>
              <w:bottom w:val="single" w:sz="8" w:color="auto"/>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6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55"/>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Intercompany Revenues:</w:t>
            </w:r>
          </w:p>
        </w:tc>
        <w:tc>
          <w:tcPr>
            <w:tcW w:w="3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20</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62"/>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8</w:t>
            </w:r>
          </w:p>
        </w:tc>
        <w:tc>
          <w:tcPr>
            <w:tcW w:w="380" w:type="dxa"/>
            <w:vAlign w:val="bottom"/>
          </w:tcPr>
          <w:p>
            <w:pPr>
              <w:spacing w:after="0"/>
              <w:rPr>
                <w:sz w:val="22"/>
                <w:szCs w:val="22"/>
                <w:color w:val="auto"/>
              </w:rPr>
            </w:pP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15</w:t>
            </w:r>
          </w:p>
        </w:tc>
        <w:tc>
          <w:tcPr>
            <w:tcW w:w="600" w:type="dxa"/>
            <w:vAlign w:val="bottom"/>
          </w:tcPr>
          <w:p>
            <w:pPr>
              <w:spacing w:after="0"/>
              <w:rPr>
                <w:sz w:val="22"/>
                <w:szCs w:val="22"/>
                <w:color w:val="auto"/>
              </w:rPr>
            </w:pP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Total Intercompany Revenues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11</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35</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731" w:right="459" w:bottom="1440" w:gutter="0" w:footer="0" w:header="0"/>
        </w:sectPr>
      </w:pPr>
    </w:p>
    <w:bookmarkStart w:id="37" w:name="page38"/>
    <w:bookmarkEnd w:id="37"/>
    <w:p>
      <w:pPr>
        <w:ind w:left="178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7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33"/>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6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20" w:type="dxa"/>
            <w:vAlign w:val="bottom"/>
            <w:tcBorders>
              <w:top w:val="single" w:sz="8" w:color="auto"/>
              <w:bottom w:val="single" w:sz="8" w:color="auto"/>
            </w:tcBorders>
          </w:tcPr>
          <w:p>
            <w:pPr>
              <w:spacing w:after="0"/>
              <w:rPr>
                <w:sz w:val="22"/>
                <w:szCs w:val="22"/>
                <w:color w:val="auto"/>
              </w:rPr>
            </w:pPr>
          </w:p>
        </w:tc>
      </w:tr>
      <w:tr>
        <w:trPr>
          <w:trHeight w:val="194"/>
        </w:trPr>
        <w:tc>
          <w:tcPr>
            <w:tcW w:w="472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4"/>
        </w:trPr>
        <w:tc>
          <w:tcPr>
            <w:tcW w:w="4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jc w:val="center"/>
              <w:ind w:right="333"/>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From July</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32"/>
        </w:trPr>
        <w:tc>
          <w:tcPr>
            <w:tcW w:w="4720" w:type="dxa"/>
            <w:vAlign w:val="bottom"/>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16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9"/>
        </w:trPr>
        <w:tc>
          <w:tcPr>
            <w:tcW w:w="4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TV Media</w:t>
            </w: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2"/>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2,368</w:t>
            </w: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1,428</w:t>
            </w:r>
          </w:p>
        </w:tc>
        <w:tc>
          <w:tcPr>
            <w:tcW w:w="6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4,298</w:t>
            </w:r>
          </w:p>
        </w:tc>
      </w:tr>
      <w:tr>
        <w:trPr>
          <w:trHeight w:val="354"/>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 costs</w:t>
            </w:r>
          </w:p>
        </w:tc>
        <w:tc>
          <w:tcPr>
            <w:tcW w:w="320" w:type="dxa"/>
            <w:vAlign w:val="bottom"/>
          </w:tcPr>
          <w:p>
            <w:pPr>
              <w:spacing w:after="0"/>
              <w:rPr>
                <w:sz w:val="24"/>
                <w:szCs w:val="24"/>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1,109</w:t>
            </w:r>
          </w:p>
        </w:tc>
        <w:tc>
          <w:tcPr>
            <w:tcW w:w="460" w:type="dxa"/>
            <w:vAlign w:val="bottom"/>
          </w:tcPr>
          <w:p>
            <w:pPr>
              <w:spacing w:after="0"/>
              <w:rPr>
                <w:sz w:val="24"/>
                <w:szCs w:val="24"/>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657</w:t>
            </w:r>
          </w:p>
        </w:tc>
        <w:tc>
          <w:tcPr>
            <w:tcW w:w="600" w:type="dxa"/>
            <w:vAlign w:val="bottom"/>
          </w:tcPr>
          <w:p>
            <w:pPr>
              <w:spacing w:after="0"/>
              <w:rPr>
                <w:sz w:val="24"/>
                <w:szCs w:val="24"/>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2,066</w:t>
            </w:r>
          </w:p>
        </w:tc>
      </w:tr>
      <w:tr>
        <w:trPr>
          <w:trHeight w:val="262"/>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62</w:t>
            </w:r>
          </w:p>
        </w:tc>
        <w:tc>
          <w:tcPr>
            <w:tcW w:w="46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59</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164</w:t>
            </w:r>
          </w:p>
        </w:tc>
      </w:tr>
      <w:tr>
        <w:trPr>
          <w:trHeight w:val="289"/>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(a)</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657</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430</w:t>
            </w: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1,132</w:t>
            </w:r>
          </w:p>
        </w:tc>
      </w:tr>
      <w:tr>
        <w:trPr>
          <w:trHeight w:val="229"/>
        </w:trPr>
        <w:tc>
          <w:tcPr>
            <w:tcW w:w="4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segment expenses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1,828</w:t>
            </w:r>
          </w:p>
        </w:tc>
        <w:tc>
          <w:tcPr>
            <w:tcW w:w="46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1,146</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3,362</w:t>
            </w:r>
          </w:p>
        </w:tc>
      </w:tr>
      <w:tr>
        <w:trPr>
          <w:trHeight w:val="354"/>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TV Media Adjusted OIBDA</w:t>
            </w:r>
          </w:p>
        </w:tc>
        <w:tc>
          <w:tcPr>
            <w:tcW w:w="320" w:type="dxa"/>
            <w:vAlign w:val="bottom"/>
          </w:tcPr>
          <w:p>
            <w:pPr>
              <w:spacing w:after="0"/>
              <w:rPr>
                <w:sz w:val="24"/>
                <w:szCs w:val="24"/>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540</w:t>
            </w:r>
          </w:p>
        </w:tc>
        <w:tc>
          <w:tcPr>
            <w:tcW w:w="460" w:type="dxa"/>
            <w:vAlign w:val="bottom"/>
          </w:tcPr>
          <w:p>
            <w:pPr>
              <w:spacing w:after="0"/>
              <w:rPr>
                <w:sz w:val="24"/>
                <w:szCs w:val="24"/>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282</w:t>
            </w:r>
          </w:p>
        </w:tc>
        <w:tc>
          <w:tcPr>
            <w:tcW w:w="600" w:type="dxa"/>
            <w:vAlign w:val="bottom"/>
          </w:tcPr>
          <w:p>
            <w:pPr>
              <w:spacing w:after="0"/>
              <w:rPr>
                <w:sz w:val="24"/>
                <w:szCs w:val="24"/>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936</w:t>
            </w: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Direct-to-Consumer</w:t>
            </w:r>
          </w:p>
        </w:tc>
        <w:tc>
          <w:tcPr>
            <w:tcW w:w="32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2"/>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1,284</w:t>
            </w:r>
          </w:p>
        </w:tc>
        <w:tc>
          <w:tcPr>
            <w:tcW w:w="46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883</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1,860</w:t>
            </w:r>
          </w:p>
        </w:tc>
      </w:tr>
      <w:tr>
        <w:trPr>
          <w:trHeight w:val="354"/>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 costs</w:t>
            </w:r>
          </w:p>
        </w:tc>
        <w:tc>
          <w:tcPr>
            <w:tcW w:w="320" w:type="dxa"/>
            <w:vAlign w:val="bottom"/>
          </w:tcPr>
          <w:p>
            <w:pPr>
              <w:spacing w:after="0"/>
              <w:rPr>
                <w:sz w:val="24"/>
                <w:szCs w:val="24"/>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545</w:t>
            </w:r>
          </w:p>
        </w:tc>
        <w:tc>
          <w:tcPr>
            <w:tcW w:w="460" w:type="dxa"/>
            <w:vAlign w:val="bottom"/>
          </w:tcPr>
          <w:p>
            <w:pPr>
              <w:spacing w:after="0"/>
              <w:rPr>
                <w:sz w:val="24"/>
                <w:szCs w:val="24"/>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412</w:t>
            </w:r>
          </w:p>
        </w:tc>
        <w:tc>
          <w:tcPr>
            <w:tcW w:w="600" w:type="dxa"/>
            <w:vAlign w:val="bottom"/>
          </w:tcPr>
          <w:p>
            <w:pPr>
              <w:spacing w:after="0"/>
              <w:rPr>
                <w:sz w:val="24"/>
                <w:szCs w:val="24"/>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961</w:t>
            </w:r>
          </w:p>
        </w:tc>
      </w:tr>
      <w:tr>
        <w:trPr>
          <w:trHeight w:val="262"/>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153</w:t>
            </w:r>
          </w:p>
        </w:tc>
        <w:tc>
          <w:tcPr>
            <w:tcW w:w="46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114</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259</w:t>
            </w:r>
          </w:p>
        </w:tc>
      </w:tr>
      <w:tr>
        <w:trPr>
          <w:trHeight w:val="289"/>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(b)</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351</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252</w:t>
            </w: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591</w:t>
            </w:r>
          </w:p>
        </w:tc>
      </w:tr>
      <w:tr>
        <w:trPr>
          <w:trHeight w:val="229"/>
        </w:trPr>
        <w:tc>
          <w:tcPr>
            <w:tcW w:w="4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segment expenses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1,049</w:t>
            </w:r>
          </w:p>
        </w:tc>
        <w:tc>
          <w:tcPr>
            <w:tcW w:w="46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778</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1,811</w:t>
            </w:r>
          </w:p>
        </w:tc>
      </w:tr>
      <w:tr>
        <w:trPr>
          <w:trHeight w:val="354"/>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Direct-to-Consumer Adjusted OIBDA</w:t>
            </w:r>
          </w:p>
        </w:tc>
        <w:tc>
          <w:tcPr>
            <w:tcW w:w="320" w:type="dxa"/>
            <w:vAlign w:val="bottom"/>
          </w:tcPr>
          <w:p>
            <w:pPr>
              <w:spacing w:after="0"/>
              <w:rPr>
                <w:sz w:val="24"/>
                <w:szCs w:val="24"/>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235</w:t>
            </w:r>
          </w:p>
        </w:tc>
        <w:tc>
          <w:tcPr>
            <w:tcW w:w="460" w:type="dxa"/>
            <w:vAlign w:val="bottom"/>
          </w:tcPr>
          <w:p>
            <w:pPr>
              <w:spacing w:after="0"/>
              <w:rPr>
                <w:sz w:val="24"/>
                <w:szCs w:val="24"/>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105</w:t>
            </w:r>
          </w:p>
        </w:tc>
        <w:tc>
          <w:tcPr>
            <w:tcW w:w="600" w:type="dxa"/>
            <w:vAlign w:val="bottom"/>
          </w:tcPr>
          <w:p>
            <w:pPr>
              <w:spacing w:after="0"/>
              <w:rPr>
                <w:sz w:val="24"/>
                <w:szCs w:val="24"/>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49</w:t>
            </w: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Filmed Entertainment</w:t>
            </w:r>
          </w:p>
        </w:tc>
        <w:tc>
          <w:tcPr>
            <w:tcW w:w="32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2"/>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480</w:t>
            </w:r>
          </w:p>
        </w:tc>
        <w:tc>
          <w:tcPr>
            <w:tcW w:w="46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276</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590</w:t>
            </w:r>
          </w:p>
        </w:tc>
      </w:tr>
      <w:tr>
        <w:trPr>
          <w:trHeight w:val="354"/>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 costs</w:t>
            </w:r>
          </w:p>
        </w:tc>
        <w:tc>
          <w:tcPr>
            <w:tcW w:w="320" w:type="dxa"/>
            <w:vAlign w:val="bottom"/>
          </w:tcPr>
          <w:p>
            <w:pPr>
              <w:spacing w:after="0"/>
              <w:rPr>
                <w:sz w:val="24"/>
                <w:szCs w:val="24"/>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337</w:t>
            </w:r>
          </w:p>
        </w:tc>
        <w:tc>
          <w:tcPr>
            <w:tcW w:w="460" w:type="dxa"/>
            <w:vAlign w:val="bottom"/>
          </w:tcPr>
          <w:p>
            <w:pPr>
              <w:spacing w:after="0"/>
              <w:rPr>
                <w:sz w:val="24"/>
                <w:szCs w:val="24"/>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131</w:t>
            </w:r>
          </w:p>
        </w:tc>
        <w:tc>
          <w:tcPr>
            <w:tcW w:w="600" w:type="dxa"/>
            <w:vAlign w:val="bottom"/>
          </w:tcPr>
          <w:p>
            <w:pPr>
              <w:spacing w:after="0"/>
              <w:rPr>
                <w:sz w:val="24"/>
                <w:szCs w:val="24"/>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274</w:t>
            </w:r>
          </w:p>
        </w:tc>
      </w:tr>
      <w:tr>
        <w:trPr>
          <w:trHeight w:val="262"/>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54</w:t>
            </w:r>
          </w:p>
        </w:tc>
        <w:tc>
          <w:tcPr>
            <w:tcW w:w="46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106</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145</w:t>
            </w:r>
          </w:p>
        </w:tc>
      </w:tr>
      <w:tr>
        <w:trPr>
          <w:trHeight w:val="289"/>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(c)</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102</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75</w:t>
            </w: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168</w:t>
            </w: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segment expenses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493</w:t>
            </w:r>
          </w:p>
        </w:tc>
        <w:tc>
          <w:tcPr>
            <w:tcW w:w="46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312</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587</w:t>
            </w:r>
          </w:p>
        </w:tc>
      </w:tr>
      <w:tr>
        <w:trPr>
          <w:trHeight w:val="354"/>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Filmed Entertainment Adjusted OIBDA</w:t>
            </w:r>
          </w:p>
        </w:tc>
        <w:tc>
          <w:tcPr>
            <w:tcW w:w="320" w:type="dxa"/>
            <w:vAlign w:val="bottom"/>
          </w:tcPr>
          <w:p>
            <w:pPr>
              <w:spacing w:after="0"/>
              <w:rPr>
                <w:sz w:val="24"/>
                <w:szCs w:val="24"/>
                <w:color w:val="auto"/>
              </w:rPr>
            </w:pPr>
          </w:p>
        </w:tc>
        <w:tc>
          <w:tcPr>
            <w:tcW w:w="118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(13)</w:t>
            </w:r>
          </w:p>
        </w:tc>
        <w:tc>
          <w:tcPr>
            <w:tcW w:w="460" w:type="dxa"/>
            <w:vAlign w:val="bottom"/>
          </w:tcPr>
          <w:p>
            <w:pPr>
              <w:spacing w:after="0"/>
              <w:rPr>
                <w:sz w:val="24"/>
                <w:szCs w:val="24"/>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(36)</w:t>
            </w:r>
          </w:p>
        </w:tc>
        <w:tc>
          <w:tcPr>
            <w:tcW w:w="600" w:type="dxa"/>
            <w:vAlign w:val="bottom"/>
          </w:tcPr>
          <w:p>
            <w:pPr>
              <w:spacing w:after="0"/>
              <w:rPr>
                <w:sz w:val="24"/>
                <w:szCs w:val="24"/>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w:t>
            </w: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Corporate/Eliminations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(78)</w:t>
            </w:r>
          </w:p>
        </w:tc>
        <w:tc>
          <w:tcPr>
            <w:tcW w:w="460" w:type="dxa"/>
            <w:vAlign w:val="bottom"/>
          </w:tcPr>
          <w:p>
            <w:pPr>
              <w:spacing w:after="0"/>
              <w:rPr>
                <w:sz w:val="19"/>
                <w:szCs w:val="19"/>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(38)</w:t>
            </w:r>
          </w:p>
        </w:tc>
        <w:tc>
          <w:tcPr>
            <w:tcW w:w="600" w:type="dxa"/>
            <w:vAlign w:val="bottom"/>
          </w:tcPr>
          <w:p>
            <w:pPr>
              <w:spacing w:after="0"/>
              <w:rPr>
                <w:sz w:val="19"/>
                <w:szCs w:val="19"/>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(84)</w:t>
            </w:r>
          </w:p>
        </w:tc>
      </w:tr>
      <w:tr>
        <w:trPr>
          <w:trHeight w:val="297"/>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(d)</w:t>
            </w:r>
          </w:p>
        </w:tc>
        <w:tc>
          <w:tcPr>
            <w:tcW w:w="320" w:type="dxa"/>
            <w:vAlign w:val="bottom"/>
          </w:tcPr>
          <w:p>
            <w:pPr>
              <w:spacing w:after="0"/>
              <w:rPr>
                <w:sz w:val="24"/>
                <w:szCs w:val="24"/>
                <w:color w:val="auto"/>
              </w:rPr>
            </w:pPr>
          </w:p>
        </w:tc>
        <w:tc>
          <w:tcPr>
            <w:tcW w:w="118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(29)</w:t>
            </w:r>
          </w:p>
        </w:tc>
        <w:tc>
          <w:tcPr>
            <w:tcW w:w="460" w:type="dxa"/>
            <w:vAlign w:val="bottom"/>
          </w:tcPr>
          <w:p>
            <w:pPr>
              <w:spacing w:after="0"/>
              <w:rPr>
                <w:sz w:val="24"/>
                <w:szCs w:val="24"/>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(16)</w:t>
            </w:r>
          </w:p>
        </w:tc>
        <w:tc>
          <w:tcPr>
            <w:tcW w:w="600" w:type="dxa"/>
            <w:vAlign w:val="bottom"/>
          </w:tcPr>
          <w:p>
            <w:pPr>
              <w:spacing w:after="0"/>
              <w:rPr>
                <w:sz w:val="24"/>
                <w:szCs w:val="24"/>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(46)</w:t>
            </w:r>
          </w:p>
        </w:tc>
      </w:tr>
      <w:tr>
        <w:trPr>
          <w:trHeight w:val="228"/>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(226)</w:t>
            </w:r>
          </w:p>
        </w:tc>
        <w:tc>
          <w:tcPr>
            <w:tcW w:w="460" w:type="dxa"/>
            <w:vAlign w:val="bottom"/>
          </w:tcPr>
          <w:p>
            <w:pPr>
              <w:spacing w:after="0"/>
              <w:rPr>
                <w:sz w:val="19"/>
                <w:szCs w:val="19"/>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(29)</w:t>
            </w:r>
          </w:p>
        </w:tc>
        <w:tc>
          <w:tcPr>
            <w:tcW w:w="600" w:type="dxa"/>
            <w:vAlign w:val="bottom"/>
          </w:tcPr>
          <w:p>
            <w:pPr>
              <w:spacing w:after="0"/>
              <w:rPr>
                <w:sz w:val="19"/>
                <w:szCs w:val="19"/>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(96)</w:t>
            </w:r>
          </w:p>
        </w:tc>
      </w:tr>
      <w:tr>
        <w:trPr>
          <w:trHeight w:val="262"/>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(104)</w:t>
            </w:r>
          </w:p>
        </w:tc>
      </w:tr>
      <w:tr>
        <w:trPr>
          <w:trHeight w:val="28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Restructuring and transaction-related items </w:t>
            </w:r>
            <w:r>
              <w:rPr>
                <w:rFonts w:ascii="Times New Roman" w:cs="Times New Roman" w:eastAsia="Times New Roman" w:hAnsi="Times New Roman"/>
                <w:sz w:val="22"/>
                <w:szCs w:val="22"/>
                <w:color w:val="auto"/>
                <w:vertAlign w:val="superscript"/>
              </w:rPr>
              <w:t>(d)</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(185)</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(188)</w:t>
            </w: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(321)</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244</w:t>
            </w:r>
          </w:p>
        </w:tc>
        <w:tc>
          <w:tcPr>
            <w:tcW w:w="46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80</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337</w:t>
            </w:r>
          </w:p>
        </w:tc>
      </w:tr>
      <w:tr>
        <w:trPr>
          <w:trHeight w:val="262"/>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(138)</w:t>
            </w:r>
          </w:p>
        </w:tc>
        <w:tc>
          <w:tcPr>
            <w:tcW w:w="460" w:type="dxa"/>
            <w:vAlign w:val="bottom"/>
          </w:tcPr>
          <w:p>
            <w:pPr>
              <w:spacing w:after="0"/>
              <w:rPr>
                <w:sz w:val="22"/>
                <w:szCs w:val="22"/>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(85)</w:t>
            </w:r>
          </w:p>
        </w:tc>
        <w:tc>
          <w:tcPr>
            <w:tcW w:w="600" w:type="dxa"/>
            <w:vAlign w:val="bottom"/>
          </w:tcPr>
          <w:p>
            <w:pPr>
              <w:spacing w:after="0"/>
              <w:rPr>
                <w:sz w:val="22"/>
                <w:szCs w:val="22"/>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(209)</w:t>
            </w:r>
          </w:p>
        </w:tc>
      </w:tr>
      <w:tr>
        <w:trPr>
          <w:trHeight w:val="262"/>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24</w:t>
            </w:r>
          </w:p>
        </w:tc>
        <w:tc>
          <w:tcPr>
            <w:tcW w:w="46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13</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31</w:t>
            </w:r>
          </w:p>
        </w:tc>
      </w:tr>
      <w:tr>
        <w:trPr>
          <w:trHeight w:val="262"/>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items, net</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(8)</w:t>
            </w:r>
          </w:p>
        </w:tc>
        <w:tc>
          <w:tcPr>
            <w:tcW w:w="460" w:type="dxa"/>
            <w:vAlign w:val="bottom"/>
          </w:tcPr>
          <w:p>
            <w:pPr>
              <w:spacing w:after="0"/>
              <w:rPr>
                <w:sz w:val="22"/>
                <w:szCs w:val="22"/>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(16)</w:t>
            </w:r>
          </w:p>
        </w:tc>
        <w:tc>
          <w:tcPr>
            <w:tcW w:w="600" w:type="dxa"/>
            <w:vAlign w:val="bottom"/>
          </w:tcPr>
          <w:p>
            <w:pPr>
              <w:spacing w:after="0"/>
              <w:rPr>
                <w:sz w:val="22"/>
                <w:szCs w:val="22"/>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(39)</w:t>
            </w: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1"/>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(loss) from continuing operations before</w:t>
            </w:r>
          </w:p>
        </w:tc>
        <w:tc>
          <w:tcPr>
            <w:tcW w:w="3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4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taxes and equity in loss of investee</w:t>
            </w:r>
          </w:p>
        </w:tc>
        <w:tc>
          <w:tcPr>
            <w:tcW w:w="3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4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companies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122</w:t>
            </w:r>
          </w:p>
        </w:tc>
        <w:tc>
          <w:tcPr>
            <w:tcW w:w="460" w:type="dxa"/>
            <w:vAlign w:val="bottom"/>
          </w:tcPr>
          <w:p>
            <w:pPr>
              <w:spacing w:after="0"/>
              <w:rPr>
                <w:sz w:val="19"/>
                <w:szCs w:val="19"/>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(8)</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120</w:t>
            </w:r>
          </w:p>
        </w:tc>
      </w:tr>
      <w:tr>
        <w:trPr>
          <w:trHeight w:val="262"/>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(85)</w:t>
            </w:r>
          </w:p>
        </w:tc>
        <w:tc>
          <w:tcPr>
            <w:tcW w:w="46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229</w:t>
            </w:r>
          </w:p>
        </w:tc>
        <w:tc>
          <w:tcPr>
            <w:tcW w:w="600" w:type="dxa"/>
            <w:vAlign w:val="bottom"/>
          </w:tcPr>
          <w:p>
            <w:pPr>
              <w:spacing w:after="0"/>
              <w:rPr>
                <w:sz w:val="22"/>
                <w:szCs w:val="22"/>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(45)</w:t>
            </w:r>
          </w:p>
        </w:tc>
      </w:tr>
      <w:tr>
        <w:trPr>
          <w:trHeight w:val="262"/>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loss of investee companies, net of tax</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(33)</w:t>
            </w:r>
          </w:p>
        </w:tc>
        <w:tc>
          <w:tcPr>
            <w:tcW w:w="460" w:type="dxa"/>
            <w:vAlign w:val="bottom"/>
          </w:tcPr>
          <w:p>
            <w:pPr>
              <w:spacing w:after="0"/>
              <w:rPr>
                <w:sz w:val="22"/>
                <w:szCs w:val="22"/>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(31)</w:t>
            </w:r>
          </w:p>
        </w:tc>
        <w:tc>
          <w:tcPr>
            <w:tcW w:w="600" w:type="dxa"/>
            <w:vAlign w:val="bottom"/>
          </w:tcPr>
          <w:p>
            <w:pPr>
              <w:spacing w:after="0"/>
              <w:rPr>
                <w:sz w:val="22"/>
                <w:szCs w:val="22"/>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(59)</w:t>
            </w: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from continuing operations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4</w:t>
            </w:r>
          </w:p>
        </w:tc>
        <w:tc>
          <w:tcPr>
            <w:tcW w:w="46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190</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16</w:t>
            </w:r>
          </w:p>
        </w:tc>
      </w:tr>
      <w:tr>
        <w:trPr>
          <w:trHeight w:val="262"/>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from discontinued operations, net of tax</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w:t>
            </w: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1"/>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3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(Parent and noncontrolling interests)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4</w:t>
            </w:r>
          </w:p>
        </w:tc>
        <w:tc>
          <w:tcPr>
            <w:tcW w:w="46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190</w:t>
            </w:r>
          </w:p>
        </w:tc>
        <w:tc>
          <w:tcPr>
            <w:tcW w:w="60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21</w:t>
            </w:r>
          </w:p>
        </w:tc>
      </w:tr>
      <w:tr>
        <w:trPr>
          <w:trHeight w:val="262"/>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noncontrolling interests</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(17)</w:t>
            </w:r>
          </w:p>
        </w:tc>
        <w:tc>
          <w:tcPr>
            <w:tcW w:w="460" w:type="dxa"/>
            <w:vAlign w:val="bottom"/>
          </w:tcPr>
          <w:p>
            <w:pPr>
              <w:spacing w:after="0"/>
              <w:rPr>
                <w:sz w:val="22"/>
                <w:szCs w:val="22"/>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(434)</w:t>
            </w:r>
          </w:p>
        </w:tc>
        <w:tc>
          <w:tcPr>
            <w:tcW w:w="600" w:type="dxa"/>
            <w:vAlign w:val="bottom"/>
          </w:tcPr>
          <w:p>
            <w:pPr>
              <w:spacing w:after="0"/>
              <w:rPr>
                <w:sz w:val="22"/>
                <w:szCs w:val="22"/>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(20)</w:t>
            </w:r>
          </w:p>
        </w:tc>
      </w:tr>
      <w:tr>
        <w:trPr>
          <w:trHeight w:val="27"/>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(loss) attributable to Parent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(13)</w:t>
            </w: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(244)</w:t>
            </w:r>
          </w:p>
        </w:tc>
        <w:tc>
          <w:tcPr>
            <w:tcW w:w="6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w:t>
            </w:r>
          </w:p>
        </w:tc>
      </w:tr>
      <w:tr>
        <w:trPr>
          <w:trHeight w:val="33"/>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320"/>
          </w:cols>
          <w:pgMar w:left="1280" w:top="731" w:right="1299" w:bottom="785" w:gutter="0" w:footer="0" w:header="0"/>
        </w:sectPr>
      </w:pPr>
    </w:p>
    <w:bookmarkStart w:id="38" w:name="page39"/>
    <w:bookmarkEnd w:id="38"/>
    <w:p>
      <w:pPr>
        <w:ind w:left="176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76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right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4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r>
      <w:tr>
        <w:trPr>
          <w:trHeight w:val="194"/>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Borders>
              <w:right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Borders>
              <w:right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340" w:type="dxa"/>
            <w:vAlign w:val="bottom"/>
          </w:tcPr>
          <w:p>
            <w:pPr>
              <w:spacing w:after="0"/>
              <w:rPr>
                <w:sz w:val="15"/>
                <w:szCs w:val="15"/>
                <w:color w:val="auto"/>
              </w:rPr>
            </w:pPr>
          </w:p>
        </w:tc>
        <w:tc>
          <w:tcPr>
            <w:tcW w:w="1040" w:type="dxa"/>
            <w:vAlign w:val="bottom"/>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2"/>
        </w:trPr>
        <w:tc>
          <w:tcPr>
            <w:tcW w:w="4760" w:type="dxa"/>
            <w:vAlign w:val="bottom"/>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6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9"/>
        </w:trPr>
        <w:tc>
          <w:tcPr>
            <w:tcW w:w="4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8"/>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TV Media</w:t>
            </w:r>
          </w:p>
        </w:tc>
        <w:tc>
          <w:tcPr>
            <w:tcW w:w="2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2,368</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9,977</w:t>
            </w:r>
          </w:p>
        </w:tc>
        <w:tc>
          <w:tcPr>
            <w:tcW w:w="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13,800</w:t>
            </w:r>
          </w:p>
        </w:tc>
      </w:tr>
      <w:tr>
        <w:trPr>
          <w:trHeight w:val="328"/>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260" w:type="dxa"/>
            <w:vAlign w:val="bottom"/>
          </w:tcPr>
          <w:p>
            <w:pPr>
              <w:spacing w:after="0"/>
              <w:rPr>
                <w:sz w:val="24"/>
                <w:szCs w:val="24"/>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1,109</w:t>
            </w:r>
          </w:p>
        </w:tc>
        <w:tc>
          <w:tcPr>
            <w:tcW w:w="34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4,956</w:t>
            </w:r>
          </w:p>
        </w:tc>
        <w:tc>
          <w:tcPr>
            <w:tcW w:w="640" w:type="dxa"/>
            <w:vAlign w:val="bottom"/>
          </w:tcPr>
          <w:p>
            <w:pPr>
              <w:spacing w:after="0"/>
              <w:rPr>
                <w:sz w:val="24"/>
                <w:szCs w:val="24"/>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6,528</w:t>
            </w:r>
          </w:p>
        </w:tc>
      </w:tr>
      <w:tr>
        <w:trPr>
          <w:trHeight w:val="236"/>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62</w:t>
            </w:r>
          </w:p>
        </w:tc>
        <w:tc>
          <w:tcPr>
            <w:tcW w:w="340" w:type="dxa"/>
            <w:vAlign w:val="bottom"/>
          </w:tcPr>
          <w:p>
            <w:pPr>
              <w:spacing w:after="0"/>
              <w:rPr>
                <w:sz w:val="20"/>
                <w:szCs w:val="20"/>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328</w:t>
            </w:r>
          </w:p>
        </w:tc>
        <w:tc>
          <w:tcPr>
            <w:tcW w:w="64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444</w:t>
            </w:r>
          </w:p>
        </w:tc>
      </w:tr>
      <w:tr>
        <w:trPr>
          <w:trHeight w:val="254"/>
        </w:trPr>
        <w:tc>
          <w:tcPr>
            <w:tcW w:w="4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(a)</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657</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2,626</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3,429</w:t>
            </w:r>
          </w:p>
        </w:tc>
      </w:tr>
      <w:tr>
        <w:trPr>
          <w:trHeight w:val="212"/>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segment expenses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1,828</w:t>
            </w:r>
          </w:p>
        </w:tc>
        <w:tc>
          <w:tcPr>
            <w:tcW w:w="340" w:type="dxa"/>
            <w:vAlign w:val="bottom"/>
          </w:tcPr>
          <w:p>
            <w:pPr>
              <w:spacing w:after="0"/>
              <w:rPr>
                <w:sz w:val="18"/>
                <w:szCs w:val="18"/>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7,910</w:t>
            </w:r>
          </w:p>
        </w:tc>
        <w:tc>
          <w:tcPr>
            <w:tcW w:w="640" w:type="dxa"/>
            <w:vAlign w:val="bottom"/>
          </w:tcPr>
          <w:p>
            <w:pPr>
              <w:spacing w:after="0"/>
              <w:rPr>
                <w:sz w:val="18"/>
                <w:szCs w:val="18"/>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10,401</w:t>
            </w:r>
          </w:p>
        </w:tc>
      </w:tr>
      <w:tr>
        <w:trPr>
          <w:trHeight w:val="339"/>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TV Media Adjusted OIBDA</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540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2,067</w:t>
            </w:r>
          </w:p>
        </w:tc>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3,399</w:t>
            </w:r>
          </w:p>
        </w:tc>
      </w:tr>
      <w:tr>
        <w:trPr>
          <w:trHeight w:val="218"/>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Direct-to-Consumer</w:t>
            </w:r>
          </w:p>
        </w:tc>
        <w:tc>
          <w:tcPr>
            <w:tcW w:w="2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1,284</w:t>
            </w:r>
          </w:p>
        </w:tc>
        <w:tc>
          <w:tcPr>
            <w:tcW w:w="340" w:type="dxa"/>
            <w:vAlign w:val="bottom"/>
          </w:tcPr>
          <w:p>
            <w:pPr>
              <w:spacing w:after="0"/>
              <w:rPr>
                <w:sz w:val="20"/>
                <w:szCs w:val="20"/>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5,087</w:t>
            </w:r>
          </w:p>
        </w:tc>
        <w:tc>
          <w:tcPr>
            <w:tcW w:w="64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5,619</w:t>
            </w:r>
          </w:p>
        </w:tc>
      </w:tr>
      <w:tr>
        <w:trPr>
          <w:trHeight w:val="328"/>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260" w:type="dxa"/>
            <w:vAlign w:val="bottom"/>
          </w:tcPr>
          <w:p>
            <w:pPr>
              <w:spacing w:after="0"/>
              <w:rPr>
                <w:sz w:val="24"/>
                <w:szCs w:val="24"/>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545</w:t>
            </w:r>
          </w:p>
        </w:tc>
        <w:tc>
          <w:tcPr>
            <w:tcW w:w="34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2,712</w:t>
            </w:r>
          </w:p>
        </w:tc>
        <w:tc>
          <w:tcPr>
            <w:tcW w:w="640" w:type="dxa"/>
            <w:vAlign w:val="bottom"/>
          </w:tcPr>
          <w:p>
            <w:pPr>
              <w:spacing w:after="0"/>
              <w:rPr>
                <w:sz w:val="24"/>
                <w:szCs w:val="24"/>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3,176</w:t>
            </w:r>
          </w:p>
        </w:tc>
      </w:tr>
      <w:tr>
        <w:trPr>
          <w:trHeight w:val="236"/>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153</w:t>
            </w:r>
          </w:p>
        </w:tc>
        <w:tc>
          <w:tcPr>
            <w:tcW w:w="340" w:type="dxa"/>
            <w:vAlign w:val="bottom"/>
          </w:tcPr>
          <w:p>
            <w:pPr>
              <w:spacing w:after="0"/>
              <w:rPr>
                <w:sz w:val="20"/>
                <w:szCs w:val="20"/>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749</w:t>
            </w:r>
          </w:p>
        </w:tc>
        <w:tc>
          <w:tcPr>
            <w:tcW w:w="64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871</w:t>
            </w:r>
          </w:p>
        </w:tc>
      </w:tr>
      <w:tr>
        <w:trPr>
          <w:trHeight w:val="254"/>
        </w:trPr>
        <w:tc>
          <w:tcPr>
            <w:tcW w:w="4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351</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1,473</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1,783</w:t>
            </w:r>
          </w:p>
        </w:tc>
      </w:tr>
      <w:tr>
        <w:trPr>
          <w:trHeight w:val="212"/>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segment expenses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1,049</w:t>
            </w:r>
          </w:p>
        </w:tc>
        <w:tc>
          <w:tcPr>
            <w:tcW w:w="340" w:type="dxa"/>
            <w:vAlign w:val="bottom"/>
          </w:tcPr>
          <w:p>
            <w:pPr>
              <w:spacing w:after="0"/>
              <w:rPr>
                <w:sz w:val="18"/>
                <w:szCs w:val="18"/>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4,934</w:t>
            </w:r>
          </w:p>
        </w:tc>
        <w:tc>
          <w:tcPr>
            <w:tcW w:w="640" w:type="dxa"/>
            <w:vAlign w:val="bottom"/>
          </w:tcPr>
          <w:p>
            <w:pPr>
              <w:spacing w:after="0"/>
              <w:rPr>
                <w:sz w:val="18"/>
                <w:szCs w:val="18"/>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5,830</w:t>
            </w:r>
          </w:p>
        </w:tc>
      </w:tr>
      <w:tr>
        <w:trPr>
          <w:trHeight w:val="339"/>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Direct-to-Consumer Adjusted OIBDA</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235</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153</w:t>
            </w:r>
          </w:p>
        </w:tc>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(211)</w:t>
            </w:r>
          </w:p>
        </w:tc>
      </w:tr>
      <w:tr>
        <w:trPr>
          <w:trHeight w:val="218"/>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Filmed Entertainment</w:t>
            </w:r>
          </w:p>
        </w:tc>
        <w:tc>
          <w:tcPr>
            <w:tcW w:w="2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480</w:t>
            </w:r>
          </w:p>
        </w:tc>
        <w:tc>
          <w:tcPr>
            <w:tcW w:w="340" w:type="dxa"/>
            <w:vAlign w:val="bottom"/>
          </w:tcPr>
          <w:p>
            <w:pPr>
              <w:spacing w:after="0"/>
              <w:rPr>
                <w:sz w:val="20"/>
                <w:szCs w:val="20"/>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1,593</w:t>
            </w:r>
          </w:p>
        </w:tc>
        <w:tc>
          <w:tcPr>
            <w:tcW w:w="64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1,874</w:t>
            </w:r>
          </w:p>
        </w:tc>
      </w:tr>
      <w:tr>
        <w:trPr>
          <w:trHeight w:val="328"/>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260" w:type="dxa"/>
            <w:vAlign w:val="bottom"/>
          </w:tcPr>
          <w:p>
            <w:pPr>
              <w:spacing w:after="0"/>
              <w:rPr>
                <w:sz w:val="24"/>
                <w:szCs w:val="24"/>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337</w:t>
            </w:r>
          </w:p>
        </w:tc>
        <w:tc>
          <w:tcPr>
            <w:tcW w:w="34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846</w:t>
            </w:r>
          </w:p>
        </w:tc>
        <w:tc>
          <w:tcPr>
            <w:tcW w:w="640" w:type="dxa"/>
            <w:vAlign w:val="bottom"/>
          </w:tcPr>
          <w:p>
            <w:pPr>
              <w:spacing w:after="0"/>
              <w:rPr>
                <w:sz w:val="24"/>
                <w:szCs w:val="24"/>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905</w:t>
            </w:r>
          </w:p>
        </w:tc>
      </w:tr>
      <w:tr>
        <w:trPr>
          <w:trHeight w:val="236"/>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54</w:t>
            </w:r>
          </w:p>
        </w:tc>
        <w:tc>
          <w:tcPr>
            <w:tcW w:w="340" w:type="dxa"/>
            <w:vAlign w:val="bottom"/>
          </w:tcPr>
          <w:p>
            <w:pPr>
              <w:spacing w:after="0"/>
              <w:rPr>
                <w:sz w:val="20"/>
                <w:szCs w:val="20"/>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417</w:t>
            </w:r>
          </w:p>
        </w:tc>
        <w:tc>
          <w:tcPr>
            <w:tcW w:w="64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470</w:t>
            </w:r>
          </w:p>
        </w:tc>
      </w:tr>
      <w:tr>
        <w:trPr>
          <w:trHeight w:val="254"/>
        </w:trPr>
        <w:tc>
          <w:tcPr>
            <w:tcW w:w="4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(c)</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102</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430</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553</w:t>
            </w:r>
          </w:p>
        </w:tc>
      </w:tr>
      <w:tr>
        <w:trPr>
          <w:trHeight w:val="212"/>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segment expenses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493</w:t>
            </w:r>
          </w:p>
        </w:tc>
        <w:tc>
          <w:tcPr>
            <w:tcW w:w="340" w:type="dxa"/>
            <w:vAlign w:val="bottom"/>
          </w:tcPr>
          <w:p>
            <w:pPr>
              <w:spacing w:after="0"/>
              <w:rPr>
                <w:sz w:val="18"/>
                <w:szCs w:val="18"/>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1,693</w:t>
            </w:r>
          </w:p>
        </w:tc>
        <w:tc>
          <w:tcPr>
            <w:tcW w:w="640" w:type="dxa"/>
            <w:vAlign w:val="bottom"/>
          </w:tcPr>
          <w:p>
            <w:pPr>
              <w:spacing w:after="0"/>
              <w:rPr>
                <w:sz w:val="18"/>
                <w:szCs w:val="18"/>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1,928</w:t>
            </w:r>
          </w:p>
        </w:tc>
      </w:tr>
      <w:tr>
        <w:trPr>
          <w:trHeight w:val="339"/>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Filmed Entertainment Adjusted OIBDA</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(54)</w:t>
            </w:r>
          </w:p>
        </w:tc>
      </w:tr>
      <w:tr>
        <w:trPr>
          <w:trHeight w:val="218"/>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Corporate/Eliminations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(78)</w:t>
            </w:r>
          </w:p>
        </w:tc>
        <w:tc>
          <w:tcPr>
            <w:tcW w:w="34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(212)</w:t>
            </w:r>
          </w:p>
        </w:tc>
        <w:tc>
          <w:tcPr>
            <w:tcW w:w="640" w:type="dxa"/>
            <w:vAlign w:val="bottom"/>
          </w:tcPr>
          <w:p>
            <w:pPr>
              <w:spacing w:after="0"/>
              <w:rPr>
                <w:sz w:val="18"/>
                <w:szCs w:val="18"/>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(281)</w:t>
            </w:r>
          </w:p>
        </w:tc>
      </w:tr>
      <w:tr>
        <w:trPr>
          <w:trHeight w:val="266"/>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0"/>
                <w:szCs w:val="20"/>
                <w:color w:val="auto"/>
                <w:vertAlign w:val="superscript"/>
              </w:rPr>
              <w:t>(d)</w:t>
            </w: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(29)</w:t>
            </w:r>
          </w:p>
        </w:tc>
        <w:tc>
          <w:tcPr>
            <w:tcW w:w="340" w:type="dxa"/>
            <w:vAlign w:val="bottom"/>
          </w:tcPr>
          <w:p>
            <w:pPr>
              <w:spacing w:after="0"/>
              <w:rPr>
                <w:sz w:val="23"/>
                <w:szCs w:val="23"/>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(99)</w:t>
            </w:r>
          </w:p>
        </w:tc>
        <w:tc>
          <w:tcPr>
            <w:tcW w:w="640" w:type="dxa"/>
            <w:vAlign w:val="bottom"/>
          </w:tcPr>
          <w:p>
            <w:pPr>
              <w:spacing w:after="0"/>
              <w:rPr>
                <w:sz w:val="23"/>
                <w:szCs w:val="23"/>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(141)</w:t>
            </w:r>
          </w:p>
        </w:tc>
      </w:tr>
      <w:tr>
        <w:trPr>
          <w:trHeight w:val="20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124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(226)</w:t>
            </w:r>
          </w:p>
        </w:tc>
        <w:tc>
          <w:tcPr>
            <w:tcW w:w="34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(204)</w:t>
            </w:r>
          </w:p>
        </w:tc>
        <w:tc>
          <w:tcPr>
            <w:tcW w:w="640" w:type="dxa"/>
            <w:vAlign w:val="bottom"/>
          </w:tcPr>
          <w:p>
            <w:pPr>
              <w:spacing w:after="0"/>
              <w:rPr>
                <w:sz w:val="17"/>
                <w:szCs w:val="17"/>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(297)</w:t>
            </w: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Programming charges</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(1,118)</w:t>
            </w: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charges</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(157)</w:t>
            </w:r>
          </w:p>
        </w:tc>
        <w:tc>
          <w:tcPr>
            <w:tcW w:w="640" w:type="dxa"/>
            <w:vAlign w:val="bottom"/>
          </w:tcPr>
          <w:p>
            <w:pPr>
              <w:spacing w:after="0"/>
              <w:rPr>
                <w:sz w:val="20"/>
                <w:szCs w:val="20"/>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(6,100)</w:t>
            </w:r>
          </w:p>
        </w:tc>
      </w:tr>
      <w:tr>
        <w:trPr>
          <w:trHeight w:val="266"/>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Restructuring and transaction-related items </w:t>
            </w:r>
            <w:r>
              <w:rPr>
                <w:rFonts w:ascii="Times New Roman" w:cs="Times New Roman" w:eastAsia="Times New Roman" w:hAnsi="Times New Roman"/>
                <w:sz w:val="20"/>
                <w:szCs w:val="20"/>
                <w:color w:val="auto"/>
                <w:vertAlign w:val="superscript"/>
              </w:rPr>
              <w:t>(d)</w:t>
            </w: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(185)</w:t>
            </w:r>
          </w:p>
        </w:tc>
        <w:tc>
          <w:tcPr>
            <w:tcW w:w="340" w:type="dxa"/>
            <w:vAlign w:val="bottom"/>
          </w:tcPr>
          <w:p>
            <w:pPr>
              <w:spacing w:after="0"/>
              <w:rPr>
                <w:sz w:val="23"/>
                <w:szCs w:val="23"/>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(454)</w:t>
            </w:r>
          </w:p>
        </w:tc>
        <w:tc>
          <w:tcPr>
            <w:tcW w:w="640" w:type="dxa"/>
            <w:vAlign w:val="bottom"/>
          </w:tcPr>
          <w:p>
            <w:pPr>
              <w:spacing w:after="0"/>
              <w:rPr>
                <w:sz w:val="23"/>
                <w:szCs w:val="23"/>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(595)</w:t>
            </w:r>
          </w:p>
        </w:tc>
      </w:tr>
      <w:tr>
        <w:trPr>
          <w:trHeight w:val="217"/>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Gain on dispositions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35</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244</w:t>
            </w:r>
          </w:p>
        </w:tc>
        <w:tc>
          <w:tcPr>
            <w:tcW w:w="340" w:type="dxa"/>
            <w:vAlign w:val="bottom"/>
          </w:tcPr>
          <w:p>
            <w:pPr>
              <w:spacing w:after="0"/>
              <w:rPr>
                <w:sz w:val="18"/>
                <w:szCs w:val="18"/>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1,029</w:t>
            </w:r>
          </w:p>
        </w:tc>
        <w:tc>
          <w:tcPr>
            <w:tcW w:w="640" w:type="dxa"/>
            <w:vAlign w:val="bottom"/>
          </w:tcPr>
          <w:p>
            <w:pPr>
              <w:spacing w:after="0"/>
              <w:rPr>
                <w:sz w:val="18"/>
                <w:szCs w:val="18"/>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(5,398)</w:t>
            </w:r>
          </w:p>
        </w:tc>
      </w:tr>
      <w:tr>
        <w:trPr>
          <w:trHeight w:val="236"/>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(138)</w:t>
            </w:r>
          </w:p>
        </w:tc>
        <w:tc>
          <w:tcPr>
            <w:tcW w:w="340" w:type="dxa"/>
            <w:vAlign w:val="bottom"/>
          </w:tcPr>
          <w:p>
            <w:pPr>
              <w:spacing w:after="0"/>
              <w:rPr>
                <w:sz w:val="20"/>
                <w:szCs w:val="20"/>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(516)</w:t>
            </w:r>
          </w:p>
        </w:tc>
        <w:tc>
          <w:tcPr>
            <w:tcW w:w="640" w:type="dxa"/>
            <w:vAlign w:val="bottom"/>
          </w:tcPr>
          <w:p>
            <w:pPr>
              <w:spacing w:after="0"/>
              <w:rPr>
                <w:sz w:val="20"/>
                <w:szCs w:val="20"/>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(645)</w:t>
            </w:r>
          </w:p>
        </w:tc>
      </w:tr>
      <w:tr>
        <w:trPr>
          <w:trHeight w:val="236"/>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24</w:t>
            </w:r>
          </w:p>
        </w:tc>
        <w:tc>
          <w:tcPr>
            <w:tcW w:w="340" w:type="dxa"/>
            <w:vAlign w:val="bottom"/>
          </w:tcPr>
          <w:p>
            <w:pPr>
              <w:spacing w:after="0"/>
              <w:rPr>
                <w:sz w:val="20"/>
                <w:szCs w:val="20"/>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83</w:t>
            </w:r>
          </w:p>
        </w:tc>
        <w:tc>
          <w:tcPr>
            <w:tcW w:w="64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111</w:t>
            </w:r>
          </w:p>
        </w:tc>
      </w:tr>
      <w:tr>
        <w:trPr>
          <w:trHeight w:val="236"/>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investment</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w:t>
            </w:r>
          </w:p>
        </w:tc>
      </w:tr>
      <w:tr>
        <w:trPr>
          <w:trHeight w:val="247"/>
        </w:trPr>
        <w:tc>
          <w:tcPr>
            <w:tcW w:w="4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items, net</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(8)</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(92)</w:t>
            </w: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(126)</w:t>
            </w:r>
          </w:p>
        </w:tc>
      </w:tr>
      <w:tr>
        <w:trPr>
          <w:trHeight w:val="196"/>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from continuing operations before</w:t>
            </w:r>
          </w:p>
        </w:tc>
        <w:tc>
          <w:tcPr>
            <w:tcW w:w="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7"/>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and equity in loss of investee</w:t>
            </w:r>
          </w:p>
        </w:tc>
        <w:tc>
          <w:tcPr>
            <w:tcW w:w="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companies</w:t>
            </w:r>
          </w:p>
        </w:tc>
        <w:tc>
          <w:tcPr>
            <w:tcW w:w="260" w:type="dxa"/>
            <w:vAlign w:val="bottom"/>
          </w:tcPr>
          <w:p>
            <w:pPr>
              <w:spacing w:after="0"/>
              <w:rPr>
                <w:sz w:val="17"/>
                <w:szCs w:val="17"/>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122</w:t>
            </w:r>
          </w:p>
        </w:tc>
        <w:tc>
          <w:tcPr>
            <w:tcW w:w="340" w:type="dxa"/>
            <w:vAlign w:val="bottom"/>
          </w:tcPr>
          <w:p>
            <w:pPr>
              <w:spacing w:after="0"/>
              <w:rPr>
                <w:sz w:val="17"/>
                <w:szCs w:val="17"/>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504</w:t>
            </w:r>
          </w:p>
        </w:tc>
        <w:tc>
          <w:tcPr>
            <w:tcW w:w="640" w:type="dxa"/>
            <w:vAlign w:val="bottom"/>
          </w:tcPr>
          <w:p>
            <w:pPr>
              <w:spacing w:after="0"/>
              <w:rPr>
                <w:sz w:val="17"/>
                <w:szCs w:val="17"/>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(6,062)</w:t>
            </w: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(85)</w:t>
            </w:r>
          </w:p>
        </w:tc>
        <w:tc>
          <w:tcPr>
            <w:tcW w:w="340" w:type="dxa"/>
            <w:vAlign w:val="bottom"/>
          </w:tcPr>
          <w:p>
            <w:pPr>
              <w:spacing w:after="0"/>
              <w:rPr>
                <w:sz w:val="20"/>
                <w:szCs w:val="20"/>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79</w:t>
            </w:r>
          </w:p>
        </w:tc>
        <w:tc>
          <w:tcPr>
            <w:tcW w:w="64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342</w:t>
            </w:r>
          </w:p>
        </w:tc>
      </w:tr>
      <w:tr>
        <w:trPr>
          <w:trHeight w:val="247"/>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Equity in loss of investee companies, net of tax</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(33)</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(171)</w:t>
            </w: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(221)</w:t>
            </w:r>
          </w:p>
        </w:tc>
      </w:tr>
      <w:tr>
        <w:trPr>
          <w:trHeight w:val="218"/>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from continuing operations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tcPr>
          <w:p>
            <w:pPr>
              <w:spacing w:after="0"/>
              <w:rPr>
                <w:sz w:val="18"/>
                <w:szCs w:val="18"/>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412</w:t>
            </w:r>
          </w:p>
        </w:tc>
        <w:tc>
          <w:tcPr>
            <w:tcW w:w="640" w:type="dxa"/>
            <w:vAlign w:val="bottom"/>
          </w:tcPr>
          <w:p>
            <w:pPr>
              <w:spacing w:after="0"/>
              <w:rPr>
                <w:sz w:val="18"/>
                <w:szCs w:val="18"/>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(5,941)</w:t>
            </w:r>
          </w:p>
        </w:tc>
      </w:tr>
      <w:tr>
        <w:trPr>
          <w:trHeight w:val="247"/>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 from discontinued operations, net of tax</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14</w:t>
            </w:r>
          </w:p>
        </w:tc>
      </w:tr>
      <w:tr>
        <w:trPr>
          <w:trHeight w:val="196"/>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(Parent and noncontrolling interests)</w:t>
            </w:r>
          </w:p>
        </w:tc>
        <w:tc>
          <w:tcPr>
            <w:tcW w:w="260" w:type="dxa"/>
            <w:vAlign w:val="bottom"/>
          </w:tcPr>
          <w:p>
            <w:pPr>
              <w:spacing w:after="0"/>
              <w:rPr>
                <w:sz w:val="19"/>
                <w:szCs w:val="19"/>
                <w:color w:val="auto"/>
              </w:rPr>
            </w:pPr>
          </w:p>
        </w:tc>
        <w:tc>
          <w:tcPr>
            <w:tcW w:w="124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tcPr>
          <w:p>
            <w:pPr>
              <w:spacing w:after="0"/>
              <w:rPr>
                <w:sz w:val="19"/>
                <w:szCs w:val="19"/>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412</w:t>
            </w:r>
          </w:p>
        </w:tc>
        <w:tc>
          <w:tcPr>
            <w:tcW w:w="640" w:type="dxa"/>
            <w:vAlign w:val="bottom"/>
          </w:tcPr>
          <w:p>
            <w:pPr>
              <w:spacing w:after="0"/>
              <w:rPr>
                <w:sz w:val="19"/>
                <w:szCs w:val="19"/>
                <w:color w:val="auto"/>
              </w:rPr>
            </w:pP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(5,927)</w:t>
            </w:r>
          </w:p>
        </w:tc>
      </w:tr>
      <w:tr>
        <w:trPr>
          <w:trHeight w:val="247"/>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noncontrolling interests</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(17)</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(447)</w:t>
            </w: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(39)</w:t>
            </w:r>
          </w:p>
        </w:tc>
      </w:tr>
      <w:tr>
        <w:trPr>
          <w:trHeight w:val="242"/>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Parent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(35)</w:t>
            </w: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(5,966)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74930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280"/>
          </w:cols>
          <w:pgMar w:left="1300" w:top="731" w:right="1319" w:bottom="1126" w:gutter="0" w:footer="0" w:header="0"/>
        </w:sectPr>
      </w:pPr>
    </w:p>
    <w:bookmarkStart w:id="39" w:name="page40"/>
    <w:bookmarkEnd w:id="39"/>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ind w:left="1020" w:right="980" w:hanging="228"/>
        <w:spacing w:after="0" w:line="263" w:lineRule="auto"/>
        <w:tabs>
          <w:tab w:leader="none" w:pos="998"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11" w:lineRule="exact"/>
        <w:rPr>
          <w:rFonts w:ascii="Times New Roman" w:cs="Times New Roman" w:eastAsia="Times New Roman" w:hAnsi="Times New Roman"/>
          <w:sz w:val="16"/>
          <w:szCs w:val="16"/>
          <w:color w:val="auto"/>
        </w:rPr>
      </w:pPr>
    </w:p>
    <w:p>
      <w:pPr>
        <w:ind w:left="1020" w:right="1220" w:hanging="228"/>
        <w:spacing w:after="0" w:line="282" w:lineRule="auto"/>
        <w:tabs>
          <w:tab w:leader="none" w:pos="1007"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ind w:left="1020" w:right="1140" w:hanging="228"/>
        <w:spacing w:after="0" w:line="271" w:lineRule="auto"/>
        <w:tabs>
          <w:tab w:leader="none" w:pos="998"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19" w:lineRule="exact"/>
        <w:rPr>
          <w:rFonts w:ascii="Times New Roman" w:cs="Times New Roman" w:eastAsia="Times New Roman" w:hAnsi="Times New Roman"/>
          <w:sz w:val="16"/>
          <w:szCs w:val="16"/>
          <w:color w:val="auto"/>
        </w:rPr>
      </w:pPr>
    </w:p>
    <w:p>
      <w:pPr>
        <w:ind w:left="1020" w:right="960" w:hanging="228"/>
        <w:spacing w:after="0" w:line="254" w:lineRule="auto"/>
        <w:tabs>
          <w:tab w:leader="none" w:pos="1007"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Successor period from August 7 - September 30, 2025, and the Predecessor periods from July 1 - August 6, 2025 and January 1 - August 6, 2025, stock-based compensation expense of $30 million, $10 million, and $14 million, respectively, is included in “Restructuring and transaction-related items.” For the Predecessor periods in 2024, stock-based compensation expense of $20 million and $34 million, respectively, is included in “Restructuring and transaction-related items.”</w:t>
      </w:r>
    </w:p>
    <w:p>
      <w:pPr>
        <w:spacing w:after="0" w:line="167" w:lineRule="exact"/>
        <w:rPr>
          <w:rFonts w:ascii="Times New Roman" w:cs="Times New Roman" w:eastAsia="Times New Roman" w:hAnsi="Times New Roman"/>
          <w:sz w:val="16"/>
          <w:szCs w:val="16"/>
          <w:color w:val="auto"/>
        </w:rPr>
      </w:pPr>
    </w:p>
    <w:p>
      <w:pPr>
        <w:ind w:left="300" w:hanging="295"/>
        <w:spacing w:after="0"/>
        <w:tabs>
          <w:tab w:leader="none" w:pos="300" w:val="left"/>
        </w:tabs>
        <w:numPr>
          <w:ilvl w:val="0"/>
          <w:numId w:val="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At September 30, 2025 (Successor), we had outstanding letters of credit and surety bonds of $673 million that were not recorded on the Consolidated Balance Sheet, including $436 million issued under a $1.9 billion standby letter of credit facility in accordance with the contractual requirements of one of our commitments. The amount outstanding under the letter of credit decreases throughout 2025 as we make payments under the related contractual commitment. Letters of credit and surety bonds are primarily used as security against non-performance in the normal course of business under contractual requirements of certain of our commitments. The standby letter of credit facility, which matures in May 2026, is subject to provisions similar to the Credit Facility, including the same principal financial covenant (see Note 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40" w:name="page41"/>
    <w:bookmarkEnd w:id="40"/>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Relating to the Transactions</w:t>
      </w:r>
    </w:p>
    <w:p>
      <w:pPr>
        <w:spacing w:after="0" w:line="15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In connection with the Transactions, on July 24, 2024, Scott Baker, a purported holder of Paramount Global Class B Common Stock, filed a putative class action lawsuit in the Court of Chancery of the State of Delaware (the “Court”) against NAI, Shari E. Redstone, Barbara M. Byrne, Linda M. Griego, Judith A. McHale, Charles E. Phillips, Jr., Susan Schuman, Skydance and David Ellison (the “Baker Action”). The complaint alleges breaches of fiduciary duties to Class B stockholders in connection with the negotiation and approval of the Transaction Agreement, among other claims, and seeks unspecified damages, costs and expenses, as well as other relief. On November 4, 2024, the Court granted the parties’ stipulation in the Baker Action agreeing to (i) postpone briefing on motions to dismiss until the filing or designation of an operative complaint following resolution of the plaintiff’s motion to appoint him and the Baerlocher Family Trust, a purported holder of Paramount Global Class B Common Stock, as co-lead plaintiffs and Berger Montague PC as interim class counsel (the “Baker Leadership Motion”), and (ii) stay discovery until resolution of any motions to dismiss any operative complaint following resolution of the Baker Leadership Motion. Throughout October 2024, various purported stockholders filed motions for intervention to oppose the Baker Leadership Motion. On December 31, 2024, the plaintiff, along with Mark Baerlocher, as trustee for the Baerlocher Family Trust, filed an amended complaint alleging the same breaches of fiduciary duties against the same defendants as in the original complaint. On June 27, 2025, counsel for Mr. Baker informed the Court that the Baker Leadership Motion would be withdrawn without prejudice and that the group of purported stockholders seeking lead plaintiff status would meet and confer to propose a schedule for resolving lead plaintiff applications.</w:t>
      </w:r>
    </w:p>
    <w:p>
      <w:pPr>
        <w:spacing w:after="0" w:line="21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On April 30, 2024, the State of Rhode Island Office of the General Treasurer, on behalf of the Employees’ Retirement System of Rhode Island, a purported holder of Paramount Global Class B Common Stock filed a verified complaint for the inspection of books and records under Section 220 of the General Corporation Law of the State of Delaware (the “DGCL”) in the Court against us, seeking the inspection of our books and records in order to investigate whether our Board of Directors, NAI, Shari E. Redstone and/or our executive officers may have breached their fiduciary duties to our stockholders for alleged diversion of corporate opportunities (the “220 Action”). The magistrate judge held a trial on July 24, 2024, and denied the request for inspection. The plaintiff noticed an exception to the Court, and on January 29, 2025, the Court ruled that the plaintiff is entitled to obtain books and records that are both necessary and sufficient to fulfill the purpose of its request. On February 25, 2025, the Court granted an implementing order returning the 220 Action to the magistrate judge for further proceedings on the scope of production. On March 24, 2025, the Court granted our application for certification of interlocutory appeal to the Delaware Supreme Court, which was accepted on April 30, 2025. Briefing on the appeal is complete. Certain other purported holders of Paramount Global Class B Common Stock and Class A Common Stock have delivered demand letters to investigate similar alleged breaches of fiduciary duties in connection with the Transactions and requested the inspection of books and records. We have also received demand letters from purported holders of Paramount Global Class B Common Stock related to alleged omissions in New Paramount’s registration statement on Form S-4.</w:t>
      </w:r>
    </w:p>
    <w:p>
      <w:pPr>
        <w:spacing w:after="0" w:line="1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Additionally, on August 20, 2024, LiveVideo.AI Corp. filed a lawsuit in the U.S. District Court for the Southern District of New York against Shari E.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and other relief. The defendants were never served. The parties exchanged several filings related to service and default. On August 12, 2025, the magistrate judge issued a Report and Recommendation recommending that the case be dismissed and the court impose $10,000 in monetary sanctions against LiveVideo.AI Corp. The district judge adopted the report in full on September 30, 2025, dismissing the case, imposing the sanctions, and enjoining LiveVideo.AI Corp. from filing any further lawsuits in any federal district court arising out of the Transactions.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41" w:name="page42"/>
    <w:bookmarkEnd w:id="41"/>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On August 13, 2025, Gabelli Value 25 Fund Inc. (“Gabelli”) filed a putative class action complaint against Barbara M. Byrne, Linda M. Griego, Judith A. McHale, Charles E. Phillips, Jr., Susan Schuman (the “Special Committee Defendants”), Harbor Lights Entertainment, Inc. (f/k/a National Amusements, Inc.) and Shari Redstone (the “NAI Defendants”), and Skydance Media, LLC and RB Tentpole LP (the “Skydance Defendants”), alleging causes of action for breach of fiduciary duty against all defendants and unjust enrichment against the NAI Defendants. Gabelli seeks a declaratory judgment, damages, including rescissory damages and/or quasi-appraisal damages, disgorgement of NAI’s profits, fees and costs, and pre- and post-judgment interest. On September 16, 2025, the Skydance Defendants filed placeholder motions to dismiss, and Gabelli filed a motion to be appointed as interim lead plaintiff representing former minority holders of Class A shares of pre-Transaction Paramount (the “Gabelli Class A Leadership Motion”). On October 16, 2025, counsel for Gabelli filed a letter with the Court indicating that no competing motions or objections to the Gabelli Class A Leadership Motion were filed and proposed that the Court appoint Gabelli as lead plaintiff.</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On February 4, 2025, New York City Employees’ Retirement System, the New York City Fire Department Pension Fund, the New York City Police Pension Fund, the New York City Board of Education Retirement System, and the Teachers’ Retirement System of the City of New York, purported holders of Paramount Global Class B Common Stock and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claimed was superior to the Transactions (the “NYCERS Action”). The plaintiffs argue that the no-shop provision in the Transaction Agreement should be declared invalid and unenforceable because it prevented the parties from engaging in further deal discussions and negotiations with companies other than Skydance, including, specifically, Project Rise Partners, after the no-shop period began.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were not named as defendants in the original complaint. The NYCERS Action originally sought, among other forms of relief, an order from the Court enjoining the closing of the Transactions until the Court reached a final resolution on the plaintiffs’ claims and an order compelling the Special Committee to evaluate Project Rise Partners’ alternative offer to, among other things, acquire Paramount Global Class A Common Stock for $23.00 per share and Paramount Global Class B Common Stock for $19.00 per share. The Project Rise Partners’ offer was made after the go-shop period in the Transaction Agreement had ended. The complaint does not seek compensatory damages. The plaintiffs filed a motion for expedited proceedings along with their complaint. On February 18, 2025, the plaintiffs moved to join Paramount and Skydance (and various other entities named in the Transaction Agreement) as necessary parties to the litigation and moved for a temporary restraining order preventing the closing of the Transactions until the Court considered the plaintiffs’ anticipated motion for injunctive relief following expedited discovery. The parties reached agreement to withdraw plaintiffs’ request for expedition and their application for injunctive relief in exchange for targeted discovery from certain of the defendants and third parties. The matter is in discovery.</w:t>
      </w:r>
    </w:p>
    <w:p>
      <w:pPr>
        <w:spacing w:after="0" w:line="2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9"/>
          <w:szCs w:val="19"/>
          <w:color w:val="auto"/>
        </w:rPr>
        <w:t>On April 8, 2025, Metropolitan Water Reclamation District Retirement Fund, Laborers’ and Retirement Board Employees’ Annuity and Benefit Fund of Chicago, Gary Mendelsohn, and Park Employees’ Annuity and Benefit Fund of Chicago, purported holders of Class B Common Stock, filed a complaint for the inspection of books and records under Section 220 of the DGCL in the Court against us to maintain standing to enforce their statutory inspection rights and seek an order that Paramount produce all the books and records identified in their Section 220 demands to investigate possible breaches of fiduciary duties in connection with the Transactions. The complaint alleges that the documents produced to such purported stockholders thus far pursuant to their Section 220 demands are insufficient. The complaint seeks an order requiring us to produce the documents identified in their Section 220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42" w:name="page43"/>
    <w:bookmarkEnd w:id="42"/>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demands, among other relief. On April 21, 2025, the Court approved a stipulation by the parties to stay all proceedings in the action in an effort to resolve the dispute.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Distribution Agreements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In October 2024, Sony Pictures Television Inc., along with Jeopardy Productions, Inc. and Califon Productions, Inc. (collectively, “Sony”), filed a civil complaint for damages against CBS Studios Inc. in the Superior Court of the State of California, for Los Angeles County, asserting a breach of contract claim against us relating to our exclusive right to distribute Wheel of Fortune and Jeopardy! (the “Distribution Agreements”). In December 2024, we filed a cross-complaint against Sony seeking, among other things, a declaration that the Distribution Agreements remain in full force and effect. On February 3, 2025, Sony purported to assume our distribution functions, and on February 4, 2025, we filed an ex parte application, seeking a temporary restraining order preventing Sony from assuming these distribution functions, which the trial court granted on February 5, 2025. On April 10, 2025, the trial court declined to issue a preliminary injunction preventing Sony from assuming these distribution functions for the duration of the litigation. On April 11, 2025, we appealed the trial court’s ruling and requested a stay of the order denying the preliminary injunction, which was granted on April 16, 2025. The parties have reached a settlement of this matter.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5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September 30, 2025 (Successor), we had pending approximately 17,540 asbestos claims, as compared with approximately 18,310 as of December 31, 2024 (Predecessor). For the period from August 7 - September 30, 2025 (Successor) and for the period from July 1 - August 6, 2025 (Predecessor) we received approximately 450 and 330 new claims, respectively, and closed or moved to an inactive docket approximately 910 and 120 claims, respectively.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2024 (Predecessor) and 2023 (Predecessor) for settlement and defense of asbestos claims after insurance recoveries and net of tax were approximately $34 million and $54 million, respectively. Our costs for settlement and defense of asbestos claims may vary year to year and insurance proceeds are not always recovered in the same period as the insured portion of the expenses.</w:t>
      </w:r>
    </w:p>
    <w:p>
      <w:pPr>
        <w:spacing w:after="0" w:line="206"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43" w:name="page44"/>
    <w:bookmarkEnd w:id="43"/>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ind w:right="520"/>
        <w:spacing w:after="0" w:line="270" w:lineRule="auto"/>
        <w:rPr>
          <w:sz w:val="20"/>
          <w:szCs w:val="20"/>
          <w:color w:val="auto"/>
        </w:rPr>
      </w:pPr>
      <w:r>
        <w:rPr>
          <w:rFonts w:ascii="Times New Roman" w:cs="Times New Roman" w:eastAsia="Times New Roman" w:hAnsi="Times New Roman"/>
          <w:sz w:val="19"/>
          <w:szCs w:val="19"/>
          <w:color w:val="auto"/>
        </w:rPr>
        <w:t>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15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9"/>
          <w:szCs w:val="19"/>
          <w:color w:val="auto"/>
        </w:rPr>
        <w:t>In connection with recording Paramount Global’s net assets at the Ultimate Parent’s basis, “Other liabilities” was increased to reflect the fair value of Paramount Global’s estimated contingent liabilities for the defense and settlement of asbestos lawsuits as well as claims from federal and state environmental regulatory agencies and other entities asserting liability for environmental cleanup costs and related damages (See Note 2). The estimated fair value of the asbestos-related liability was determined in consultation with a third-party firm with expertise in estimating asbestos liability and represents the estimate of the amount a third party would pay to take on the risk of any asbestos-related future losses. While we believe that our accruals for these matters are adequate, there can be no assurance that circumstances will not change in future periods and, as a result, our actual liabilities may be higher or lower than our accrual.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SUPPLEMENTAL FINANCIAL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Supplemental Cash Flow Information</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55"/>
        </w:trPr>
        <w:tc>
          <w:tcPr>
            <w:tcW w:w="52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33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6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60" w:type="dxa"/>
            <w:vAlign w:val="bottom"/>
            <w:tcBorders>
              <w:top w:val="single" w:sz="8" w:color="auto"/>
              <w:bottom w:val="single" w:sz="8" w:color="auto"/>
            </w:tcBorders>
          </w:tcPr>
          <w:p>
            <w:pPr>
              <w:spacing w:after="0"/>
              <w:rPr>
                <w:sz w:val="22"/>
                <w:szCs w:val="22"/>
                <w:color w:val="auto"/>
              </w:rPr>
            </w:pPr>
          </w:p>
        </w:tc>
      </w:tr>
      <w:tr>
        <w:trPr>
          <w:trHeight w:val="194"/>
        </w:trPr>
        <w:tc>
          <w:tcPr>
            <w:tcW w:w="522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80" w:type="dxa"/>
            <w:vAlign w:val="bottom"/>
            <w:gridSpan w:val="2"/>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5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Borders>
              <w:right w:val="single" w:sz="8" w:color="auto"/>
            </w:tcBorders>
          </w:tcPr>
          <w:p>
            <w:pPr>
              <w:jc w:val="center"/>
              <w:ind w:right="337"/>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58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2"/>
        </w:trPr>
        <w:tc>
          <w:tcPr>
            <w:tcW w:w="5220" w:type="dxa"/>
            <w:vAlign w:val="bottom"/>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6"/>
                <w:szCs w:val="16"/>
                <w:b w:val="1"/>
                <w:bCs w:val="1"/>
                <w:color w:val="auto"/>
              </w:rPr>
              <w:t>6,</w:t>
            </w:r>
          </w:p>
        </w:tc>
        <w:tc>
          <w:tcPr>
            <w:tcW w:w="16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9"/>
        </w:trPr>
        <w:tc>
          <w:tcPr>
            <w:tcW w:w="5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37"/>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148</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524</w:t>
            </w: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676</w:t>
            </w:r>
          </w:p>
        </w:tc>
      </w:tr>
      <w:tr>
        <w:trPr>
          <w:trHeight w:val="315"/>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11</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201</w:t>
            </w: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68</w:t>
            </w:r>
          </w:p>
        </w:tc>
      </w:tr>
      <w:tr>
        <w:trPr>
          <w:trHeight w:val="315"/>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additions to operating lease assets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1</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82</w:t>
            </w: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76</w:t>
            </w:r>
          </w:p>
        </w:tc>
      </w:tr>
      <w:tr>
        <w:trPr>
          <w:trHeight w:val="33"/>
        </w:trPr>
        <w:tc>
          <w:tcPr>
            <w:tcW w:w="5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color w:val="auto"/>
        </w:rPr>
        <w:t>The cash balance on August 6, 2025 (Predecessor) was $2.46 billion. The cash balance on August 7, 2025 (Successor) was $3.85 billion. The difference reflects the proceeds received from the PIPE Transaction (see Note 1) and cash received from Skydance’s opening balance sheet, offset by cash paid for transaction-related costs incurred prior to the Closing Date.</w:t>
      </w:r>
    </w:p>
    <w:p>
      <w:pPr>
        <w:spacing w:after="0" w:line="175"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9"/>
          <w:szCs w:val="19"/>
          <w:color w:val="auto"/>
        </w:rPr>
        <w:t>In connection with the closing of the Transactions, on August 7, 2025 (Successor), borrowings outstanding of $720 million under Skydance’s revolving credit facility were repaid in full.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Lease Income</w:t>
      </w:r>
    </w:p>
    <w:p>
      <w:pPr>
        <w:spacing w:after="0" w:line="1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We enter into operating leases for the use of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We recorded total lease income, including both fixed and variable amounts, of $7 million, $2 million and $23 million for the periods from August 7 - September 30, 2025 (Successor), July 1 - August 6,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44" w:name="page45"/>
    <w:bookmarkEnd w:id="44"/>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9"/>
          <w:szCs w:val="19"/>
          <w:color w:val="auto"/>
        </w:rPr>
        <w:t>and January 1 - August 6, 2025 (Predecessor), respectively, and $10 million and $25 million for the three and nine months ended September 30, 2024 (Predecessor),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Dispositions</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During the first quarter of 2025 (Predecessor), we recorded gains totaling $35 million, principally associated with the disposition of a noncore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Discontinued Operations</w:t>
      </w:r>
    </w:p>
    <w:p>
      <w:pPr>
        <w:spacing w:after="0" w:line="15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9"/>
          <w:szCs w:val="19"/>
          <w:color w:val="auto"/>
        </w:rPr>
        <w:t>On October 30, 2023, we completed the sale of Simon &amp; Schuster to affiliates of Kohlberg Kravis Roberts &amp; Co. During the first quarter of 2024 (Predecessor), we recorded an additional pretax gain of $12 million on the sale as a result of a working capital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45" w:name="page46"/>
    <w:bookmarkEnd w:id="45"/>
    <w:p>
      <w:pPr>
        <w:ind w:left="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Management’s Discussion and Analysis of Results of Operations and Financial Condition.</w:t>
      </w:r>
    </w:p>
    <w:p>
      <w:pPr>
        <w:spacing w:after="0" w:line="7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4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Management’s discussion and analysis of the results of operations and financial condition of Paramount Skydance Corporation should be read in conjunction with the consolidated financial statements and related notes in the Annual Report on Form 10-K for the year ended December 31, 2024 of our Predecessor, Paramount Global. References to “Paramount,” the “Company,” “we,” “us” and “our” refer to Paramount Skydance Corporation and its consolidated subsidiaries, unless the context otherwise requires.</w:t>
      </w:r>
    </w:p>
    <w:p>
      <w:pPr>
        <w:spacing w:after="0" w:line="19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i w:val="1"/>
          <w:iCs w:val="1"/>
          <w:color w:val="auto"/>
        </w:rPr>
        <w:t>The NAI Transaction</w:t>
      </w:r>
      <w:r>
        <w:rPr>
          <w:rFonts w:ascii="Times New Roman" w:cs="Times New Roman" w:eastAsia="Times New Roman" w:hAnsi="Times New Roman"/>
          <w:sz w:val="19"/>
          <w:szCs w:val="19"/>
          <w:color w:val="auto"/>
        </w:rPr>
        <w:t>—On August 7, 2025, pursuant to a purchase and sale agreement dated July 7, 2024, certain affiliates of investors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Skydance Media, LLC (“Skydance”), comprised of entities controlled by the Ellison Family (as defined below), and affiliates of RedBird Capital Partners (collectively the “NAI Equity Investors”), purchased all of the outstanding equity interests of National Amusements, Inc. (“NAI”), which had previously been the controlling stockholder of Paramount Global, from the shareholders of NAI (the “NAI Transaction”).</w:t>
      </w:r>
    </w:p>
    <w:p>
      <w:pPr>
        <w:spacing w:after="0" w:line="2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i w:val="1"/>
          <w:iCs w:val="1"/>
          <w:color w:val="auto"/>
        </w:rPr>
        <w:t>The Transactions</w:t>
      </w:r>
      <w:r>
        <w:rPr>
          <w:rFonts w:ascii="Times New Roman" w:cs="Times New Roman" w:eastAsia="Times New Roman" w:hAnsi="Times New Roman"/>
          <w:sz w:val="19"/>
          <w:szCs w:val="19"/>
          <w:color w:val="auto"/>
        </w:rPr>
        <w:t>—Also on August 7, 2025 (the “Closing Date”), following the completion of the NAI Transaction and pursuant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 Agreement dated as of July 7, 2024, Paramount Global and Skydance became wholly-owned subsidiaries of Paramount Skydance Corporation (the transactions contemplated by the Transaction Agreement, the “Transactions”). Paramount Skydance Corporation was formerly known as New Pluto Global, Inc., which was formed on June 3, 2024 for purposes of consummating the Transactions and was a wholly-owned direct subsidiary of Paramount Global prior to the closing of the Transactions when, through a series of mergers contemplated by the Transaction Agreement, it became the holding company of Paramount Global and Skydance.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Concurrent with the NAI Transaction, the NAI Equity Investors and certain other affiliates of investors in Skydance made an investment of $6.0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billion into Paramount Skydance Corporation (the “PIPE Transaction”) in exchange for 400 million newly issued shares of Class B common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of Paramount Skydance Corporation (“Paramount Skydance Corporation Class B Common Stock”) for a purchase price of $15.00 per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share, and the NAI Equity Investors also received warrants to purchase 200 million shares of Paramount Skydance Corporation Class B Common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at an initial exercise price of $30.50 per share (subject to customary anti-dilution adjustments), which expire five years after issuance.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$4.45 billion of the PIPE Transaction investment was used to fund the cash-stock election discussed below and $1.52 billion of cash was provided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Company.</w:t>
      </w:r>
    </w:p>
    <w:p>
      <w:pPr>
        <w:spacing w:after="0" w:line="2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The Transactions also included: (1) a transaction pursuant to which each outstanding Skydance membership unit held by Skydance investors and each Skydance Phantom Unit was converted into the right to receive the applicable portion of 316.7 million shares of Paramount Skydance Corporation Class B Common Stock (313.8 million shares after reduction in connection with certain tax withholding requirements), and (2) a cash-stock election offered to holders of Paramount Global common stock pursuant to which (a) shares of Paramount Global Class A Common Stock held by stockholders other than NAI or its subsidiaries were converted, at the stockholders’ election, into the right to receive either $23.00 in cash (“Class A Cash Consideration”) or 1.5333 shares of Paramount Skydance Corporation Class B Common Stock (“Class A Stock Consideration”), and (b) shares of Paramount Global Class B Common Stock held by stockholders other than NAI or its subsidiaries, the NAI Equity Investors and certain other affiliates of investors in Skydance referred to above were converted, at the stockholders’ election, into the right to receive either $15.00 in cash (“Class B Cash Consideration”), subject to proration, or one share of Paramount Skydance Corporation Class B Common Stock (“Class B Stock Consideration”). The shares of Paramount Class A Common Stock held by NAI and its subsidiaries converted into shares of Class A common stock, par value $0.001 per share. Shares of Paramount Global Class A Common Stock for which elections to receive Class A Cash Consideration or Class A Stock Consideration were not made or were validly revoked were automatically converted into Class A Stock Consideration. Shares of Paramount Global Class B Common Stock for which elections to receive Class B Cash Consideration were not made or were validly revoked were converted automatically into one share of Paramount Skydance Corporation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Shares of Paramount Skydance Corporation Class B Common Stock now trade on the Nasdaq Stock Market LLC (“Nasdaq”) under the ticker symbol “PSKY”. All shares of Paramount Global Class A Common Stock and Class B Common Stock have been delisted from Nasdaq and have been cancelled and ceased to exist.</w:t>
      </w:r>
    </w:p>
    <w:p>
      <w:pPr>
        <w:spacing w:after="0" w:line="1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Holders of shares of Class A common stock of Paramount Skydance Corporation (“Paramount Skydance Corporation Class A Common Stock”) are entitled to one vote per share with respect to all matters on which the holders of Paramount Skydance Corporation common stock are entitled to vote. Holders of Paramount Skydance Corporation Class B Common Stock do not have voting rights. Following the closing of the Transactions and the NAI Transaction, NAI, which was renamed Harbor Lights Entertainment, Inc., and its subsidiaries held 100.0% of the Paramount Skydance Corporation Class A Common Stock. Accordingly, entities controlled by the Ellison Family (as defined below) indirectly hold approximately 77.5% of the Paramount Skydance Corporation Class A Common Stock through their collective approximate 77.5% ownership interest in Harbor Lights Entertainment, Inc., and as a result the Ellison Family is the controlling stockholder of Paramount. For the purpose of determining the controlling ownership of Paramount, the Ellison family is comprised of Lawrence Ellison and David Ellison (the “Ellison Family”). David Ellison is the son of Lawrence Ellison, and Lawrence Ellison and David Ellison are accordingly considered immediate family members. The Ellison Family either individually or through ownership of various entities are collectively the ultimate parent of Paramount (“Ultimate Parent”).</w:t>
      </w:r>
    </w:p>
    <w:p>
      <w:pPr>
        <w:spacing w:after="0" w:line="1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i w:val="1"/>
          <w:iCs w:val="1"/>
          <w:color w:val="auto"/>
        </w:rPr>
        <w:t>Pushdown of Ultimate Parent’s Basis</w:t>
      </w:r>
      <w:r>
        <w:rPr>
          <w:rFonts w:ascii="Times New Roman" w:cs="Times New Roman" w:eastAsia="Times New Roman" w:hAnsi="Times New Roman"/>
          <w:sz w:val="19"/>
          <w:szCs w:val="19"/>
          <w:color w:val="auto"/>
        </w:rPr>
        <w:t>— At the time Paramount Global and Skydance became subsidiaries of Paramount Skydance Corporation,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Ellison Family controlled both Paramount Global and Skydance, and as a result, this transaction has been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As a result, the net assets of Paramount Global were recorded at their fair value as of this date. Since the net assets of Skydance were already at the Ultimate Parent’s basis, no adjustment to the fair value of net assets was necessary, and Skydance was combined with Paramount Global’s net assets at the Ultimate Parent’s basis as of this date.</w:t>
      </w:r>
    </w:p>
    <w:p>
      <w:pPr>
        <w:spacing w:after="0" w:line="200" w:lineRule="exact"/>
        <w:rPr>
          <w:sz w:val="20"/>
          <w:szCs w:val="20"/>
          <w:color w:val="auto"/>
        </w:rPr>
      </w:pPr>
    </w:p>
    <w:p>
      <w:pPr>
        <w:spacing w:after="0" w:line="24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9"/>
          <w:szCs w:val="19"/>
          <w:color w:val="auto"/>
        </w:rPr>
        <w:t>Our consolidated financial statements and footnote disclosures are presented in two distinct periods to indicate the pushdown of the Ultimate Parent’s basis, which resulted in a new basis of accounting. The periods prior to the closing of the Transactions include only Paramount Global and are identified as “Predecessor”, and the periods beginning on August 7, 2025 reflect Paramount Skydance Corporation and are identified as “Successor”. Due to the application of pushdown accounting, the results of operations, financial position and cash flows are not comparable between the Successor and Predecessor periods. Paramount Global has been identified as the predecessor entity to Paramount Skydance Corporation based on the relative size and fair value of Paramount Global and Skydance, and the fact that Paramount Global was an existing publicly traded company prior to the completion of the Transactions. No single factor was the sole determinant in the overall conclusion that Paramount Global is the predecessor; rather all factors were considered in arriving at such conclusion.</w:t>
      </w:r>
    </w:p>
    <w:p>
      <w:pPr>
        <w:spacing w:after="0" w:line="20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9"/>
          <w:szCs w:val="19"/>
          <w:color w:val="auto"/>
        </w:rPr>
        <w:t>We have certain contracts that may require us to obtain consents from other parties in connection with the Transactions. If these consents cannot be obtained, the counterparties to these contracts (and, as a result, other third parties with which we have contractual agreements) may have the right to terminate, reduce the scope of or otherwise alter their relationships with us following the Transactions. Accordingly, the failure to obtain such consents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components of management’s discussion and analysis of results of operations and financial condition include:</w:t>
      </w:r>
    </w:p>
    <w:p>
      <w:pPr>
        <w:spacing w:after="0" w:line="147" w:lineRule="exact"/>
        <w:rPr>
          <w:sz w:val="20"/>
          <w:szCs w:val="20"/>
          <w:color w:val="auto"/>
        </w:rPr>
      </w:pPr>
    </w:p>
    <w:p>
      <w:pPr>
        <w:ind w:left="620" w:hanging="143"/>
        <w:spacing w:after="0"/>
        <w:tabs>
          <w:tab w:leader="none" w:pos="6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Overview</w:t>
      </w:r>
      <w:r>
        <w:rPr>
          <w:rFonts w:ascii="Times New Roman" w:cs="Times New Roman" w:eastAsia="Times New Roman" w:hAnsi="Times New Roman"/>
          <w:sz w:val="19"/>
          <w:szCs w:val="19"/>
          <w:color w:val="auto"/>
        </w:rPr>
        <w:t>—Summary of our business and operational highlights.</w:t>
      </w:r>
    </w:p>
    <w:p>
      <w:pPr>
        <w:spacing w:after="0" w:line="122" w:lineRule="exact"/>
        <w:rPr>
          <w:rFonts w:ascii="Times New Roman" w:cs="Times New Roman" w:eastAsia="Times New Roman" w:hAnsi="Times New Roman"/>
          <w:sz w:val="19"/>
          <w:szCs w:val="19"/>
          <w:color w:val="auto"/>
        </w:rPr>
      </w:pPr>
    </w:p>
    <w:p>
      <w:pPr>
        <w:ind w:left="640" w:right="160" w:hanging="163"/>
        <w:spacing w:after="0" w:line="271" w:lineRule="auto"/>
        <w:tabs>
          <w:tab w:leader="none" w:pos="62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Consolidated Results of Operations</w:t>
      </w:r>
      <w:r>
        <w:rPr>
          <w:rFonts w:ascii="Times New Roman" w:cs="Times New Roman" w:eastAsia="Times New Roman" w:hAnsi="Times New Roman"/>
          <w:sz w:val="19"/>
          <w:szCs w:val="19"/>
          <w:color w:val="auto"/>
        </w:rPr>
        <w:t>—Analysis of our results on a consolidated basis for the period from August 7 - September 30, 2025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(Successor) and for the periods from July 1 - August 6, 2025, January 1 - August 6, 2025, and the three and nine months ended September 30, 2024 (Predecessor).</w:t>
      </w:r>
    </w:p>
    <w:p>
      <w:pPr>
        <w:spacing w:after="0" w:line="59" w:lineRule="exact"/>
        <w:rPr>
          <w:rFonts w:ascii="Times New Roman" w:cs="Times New Roman" w:eastAsia="Times New Roman" w:hAnsi="Times New Roman"/>
          <w:sz w:val="19"/>
          <w:szCs w:val="19"/>
          <w:color w:val="auto"/>
        </w:rPr>
      </w:pPr>
    </w:p>
    <w:p>
      <w:pPr>
        <w:ind w:left="640" w:right="40" w:hanging="163"/>
        <w:spacing w:after="0" w:line="271" w:lineRule="auto"/>
        <w:tabs>
          <w:tab w:leader="none" w:pos="62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Segment Results of Operations</w:t>
      </w:r>
      <w:r>
        <w:rPr>
          <w:rFonts w:ascii="Times New Roman" w:cs="Times New Roman" w:eastAsia="Times New Roman" w:hAnsi="Times New Roman"/>
          <w:sz w:val="19"/>
          <w:szCs w:val="19"/>
          <w:color w:val="auto"/>
        </w:rPr>
        <w:t>—Analysis of our results on a reportable segment basis for the period from August 7 - September 30, 2025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(Successor) and for the periods from July 1 - August 6, 2025, January 1 - August 6, 2025, and the three and nine months ended September 30, 2024 (Predecessor).</w:t>
      </w:r>
    </w:p>
    <w:p>
      <w:pPr>
        <w:spacing w:after="0" w:line="46" w:lineRule="exact"/>
        <w:rPr>
          <w:rFonts w:ascii="Times New Roman" w:cs="Times New Roman" w:eastAsia="Times New Roman" w:hAnsi="Times New Roman"/>
          <w:sz w:val="19"/>
          <w:szCs w:val="19"/>
          <w:color w:val="auto"/>
        </w:rPr>
      </w:pPr>
    </w:p>
    <w:p>
      <w:pPr>
        <w:ind w:left="640" w:right="400" w:hanging="163"/>
        <w:spacing w:after="0" w:line="267" w:lineRule="auto"/>
        <w:tabs>
          <w:tab w:leader="none" w:pos="62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Liquidity and Capital Resources</w:t>
      </w:r>
      <w:r>
        <w:rPr>
          <w:rFonts w:ascii="Times New Roman" w:cs="Times New Roman" w:eastAsia="Times New Roman" w:hAnsi="Times New Roman"/>
          <w:sz w:val="19"/>
          <w:szCs w:val="19"/>
          <w:color w:val="auto"/>
        </w:rPr>
        <w:t>—Discussion of our cash flows, including sources and uses of cash, for the period from August 7 -</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September 30, 2025 (Successor) and for the period from January 1 - August 6, 2025, and the nine months ended September 30, 2024 (Predecessor), and of our outstanding debt as of September 30, 2025 (Successor), including </w:t>
      </w:r>
      <w:r>
        <w:rPr>
          <w:rFonts w:ascii="Times New Roman" w:cs="Times New Roman" w:eastAsia="Times New Roman" w:hAnsi="Times New Roman"/>
          <w:sz w:val="19"/>
          <w:szCs w:val="19"/>
          <w:i w:val="1"/>
          <w:iCs w:val="1"/>
          <w:color w:val="auto"/>
        </w:rPr>
        <w:t>Supplemental Guarantor 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Information</w:t>
      </w:r>
      <w:r>
        <w:rPr>
          <w:rFonts w:ascii="Times New Roman" w:cs="Times New Roman" w:eastAsia="Times New Roman" w:hAnsi="Times New Roman"/>
          <w:sz w:val="19"/>
          <w:szCs w:val="19"/>
          <w:color w:val="auto"/>
        </w:rPr>
        <w:t>.</w:t>
      </w:r>
    </w:p>
    <w:p>
      <w:pPr>
        <w:spacing w:after="0" w:line="63" w:lineRule="exact"/>
        <w:rPr>
          <w:rFonts w:ascii="Times New Roman" w:cs="Times New Roman" w:eastAsia="Times New Roman" w:hAnsi="Times New Roman"/>
          <w:sz w:val="19"/>
          <w:szCs w:val="19"/>
          <w:color w:val="auto"/>
        </w:rPr>
      </w:pPr>
    </w:p>
    <w:p>
      <w:pPr>
        <w:ind w:left="620" w:hanging="143"/>
        <w:spacing w:after="0"/>
        <w:tabs>
          <w:tab w:leader="none" w:pos="6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—Discussion of legal matters to which we are involved.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Operational Highlights - Three Months Ended September 30, 2025 and 2024</w:t>
      </w:r>
    </w:p>
    <w:p>
      <w:pPr>
        <w:spacing w:after="0" w:line="180" w:lineRule="exact"/>
        <w:rPr>
          <w:sz w:val="20"/>
          <w:szCs w:val="20"/>
          <w:color w:val="auto"/>
        </w:rPr>
      </w:pPr>
    </w:p>
    <w:tbl>
      <w:tblPr>
        <w:tblLayout w:type="fixed"/>
        <w:tblInd w:w="900" w:type="dxa"/>
        <w:tblCellMar>
          <w:top w:w="0" w:type="dxa"/>
          <w:left w:w="0" w:type="dxa"/>
          <w:bottom w:w="0" w:type="dxa"/>
          <w:right w:w="0" w:type="dxa"/>
        </w:tblCellMar>
      </w:tblPr>
      <w:tr>
        <w:trPr>
          <w:trHeight w:val="255"/>
        </w:trPr>
        <w:tc>
          <w:tcPr>
            <w:tcW w:w="49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6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w:t>
            </w: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0" w:type="dxa"/>
            <w:vAlign w:val="bottom"/>
          </w:tcPr>
          <w:p>
            <w:pPr>
              <w:spacing w:after="0"/>
              <w:rPr>
                <w:sz w:val="1"/>
                <w:szCs w:val="1"/>
                <w:color w:val="auto"/>
              </w:rPr>
            </w:pPr>
          </w:p>
        </w:tc>
      </w:tr>
      <w:tr>
        <w:trPr>
          <w:trHeight w:val="184"/>
        </w:trPr>
        <w:tc>
          <w:tcPr>
            <w:tcW w:w="4920" w:type="dxa"/>
            <w:vAlign w:val="bottom"/>
          </w:tcPr>
          <w:p>
            <w:pPr>
              <w:spacing w:after="0"/>
              <w:rPr>
                <w:sz w:val="15"/>
                <w:szCs w:val="15"/>
                <w:color w:val="auto"/>
              </w:rPr>
            </w:pPr>
          </w:p>
        </w:tc>
        <w:tc>
          <w:tcPr>
            <w:tcW w:w="1520" w:type="dxa"/>
            <w:vAlign w:val="bottom"/>
            <w:tcBorders>
              <w:right w:val="single" w:sz="8" w:color="auto"/>
            </w:tcBorders>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Ended September</w:t>
            </w:r>
          </w:p>
        </w:tc>
        <w:tc>
          <w:tcPr>
            <w:tcW w:w="0" w:type="dxa"/>
            <w:vAlign w:val="bottom"/>
          </w:tcPr>
          <w:p>
            <w:pPr>
              <w:spacing w:after="0"/>
              <w:rPr>
                <w:sz w:val="1"/>
                <w:szCs w:val="1"/>
                <w:color w:val="auto"/>
              </w:rPr>
            </w:pPr>
          </w:p>
        </w:tc>
      </w:tr>
      <w:tr>
        <w:trPr>
          <w:trHeight w:val="219"/>
        </w:trPr>
        <w:tc>
          <w:tcPr>
            <w:tcW w:w="4920" w:type="dxa"/>
            <w:vAlign w:val="bottom"/>
          </w:tcPr>
          <w:p>
            <w:pPr>
              <w:spacing w:after="0"/>
              <w:rPr>
                <w:sz w:val="19"/>
                <w:szCs w:val="19"/>
                <w:color w:val="auto"/>
              </w:rPr>
            </w:pPr>
          </w:p>
        </w:tc>
        <w:tc>
          <w:tcPr>
            <w:tcW w:w="1520" w:type="dxa"/>
            <w:vAlign w:val="bottom"/>
            <w:tcBorders>
              <w:bottom w:val="single" w:sz="8" w:color="auto"/>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7"/>
              </w:rPr>
              <w:t>7 - September 30,</w:t>
            </w: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30,</w:t>
            </w:r>
          </w:p>
        </w:tc>
        <w:tc>
          <w:tcPr>
            <w:tcW w:w="0" w:type="dxa"/>
            <w:vAlign w:val="bottom"/>
          </w:tcPr>
          <w:p>
            <w:pPr>
              <w:spacing w:after="0"/>
              <w:rPr>
                <w:sz w:val="1"/>
                <w:szCs w:val="1"/>
                <w:color w:val="auto"/>
              </w:rPr>
            </w:pPr>
          </w:p>
        </w:tc>
      </w:tr>
      <w:tr>
        <w:trPr>
          <w:trHeight w:val="24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jc w:val="center"/>
              <w:ind w:right="3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4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6"/>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GAAP:</w:t>
            </w:r>
          </w:p>
        </w:tc>
        <w:tc>
          <w:tcPr>
            <w:tcW w:w="3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4,121</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2,581</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6,731</w:t>
            </w:r>
          </w:p>
        </w:tc>
        <w:tc>
          <w:tcPr>
            <w:tcW w:w="0" w:type="dxa"/>
            <w:vAlign w:val="bottom"/>
          </w:tcPr>
          <w:p>
            <w:pPr>
              <w:spacing w:after="0"/>
              <w:rPr>
                <w:sz w:val="1"/>
                <w:szCs w:val="1"/>
                <w:color w:val="auto"/>
              </w:rPr>
            </w:pPr>
          </w:p>
        </w:tc>
      </w:tr>
      <w:tr>
        <w:trPr>
          <w:trHeight w:val="262"/>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244</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80</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244"/>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34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attributable to Parent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(13)</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(244)</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62"/>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 EPS from continuing operations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(.01)</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(.36)</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612"/>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Non-GAAP: </w:t>
            </w:r>
            <w:r>
              <w:rPr>
                <w:rFonts w:ascii="Times New Roman" w:cs="Times New Roman" w:eastAsia="Times New Roman" w:hAnsi="Times New Roman"/>
                <w:sz w:val="22"/>
                <w:szCs w:val="22"/>
                <w:i w:val="1"/>
                <w:iCs w:val="1"/>
                <w:color w:val="auto"/>
                <w:vertAlign w:val="superscript"/>
              </w:rPr>
              <w:t>(a)</w:t>
            </w:r>
          </w:p>
        </w:tc>
        <w:tc>
          <w:tcPr>
            <w:tcW w:w="3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OIBDA</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655</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297</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858</w:t>
            </w:r>
          </w:p>
        </w:tc>
        <w:tc>
          <w:tcPr>
            <w:tcW w:w="0" w:type="dxa"/>
            <w:vAlign w:val="bottom"/>
          </w:tcPr>
          <w:p>
            <w:pPr>
              <w:spacing w:after="0"/>
              <w:rPr>
                <w:sz w:val="1"/>
                <w:szCs w:val="1"/>
                <w:color w:val="auto"/>
              </w:rPr>
            </w:pPr>
          </w:p>
        </w:tc>
      </w:tr>
      <w:tr>
        <w:trPr>
          <w:trHeight w:val="244"/>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net earnings (loss) from continuing</w:t>
            </w:r>
          </w:p>
        </w:tc>
        <w:tc>
          <w:tcPr>
            <w:tcW w:w="34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operations attributable to Parent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138</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(162)</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327</w:t>
            </w:r>
          </w:p>
        </w:tc>
        <w:tc>
          <w:tcPr>
            <w:tcW w:w="0" w:type="dxa"/>
            <w:vAlign w:val="bottom"/>
          </w:tcPr>
          <w:p>
            <w:pPr>
              <w:spacing w:after="0"/>
              <w:rPr>
                <w:sz w:val="1"/>
                <w:szCs w:val="1"/>
                <w:color w:val="auto"/>
              </w:rPr>
            </w:pPr>
          </w:p>
        </w:tc>
      </w:tr>
      <w:tr>
        <w:trPr>
          <w:trHeight w:val="262"/>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diluted EPS from continuing operations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.12</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(.24)</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33"/>
        </w:trPr>
        <w:tc>
          <w:tcPr>
            <w:tcW w:w="4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020" w:right="660" w:hanging="228"/>
        <w:spacing w:after="0" w:line="263" w:lineRule="auto"/>
        <w:tabs>
          <w:tab w:leader="none" w:pos="99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for reconciliations of these non-GAAP measures to the most directly comparable financial measures in accordance with accounting principles generally accepted in the United States (“U.S. GAAP” or “GAAP”). These non-GAAP measures exclude certain items identified as affecting comparability that are not part of our normal operations.</w:t>
      </w:r>
    </w:p>
    <w:p>
      <w:pPr>
        <w:spacing w:after="0" w:line="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As a result of the pushdown of the Ultimate Parent’s basis, operating income, net loss from continuing operations attributable to Parent, and diluted EPS in the Successor period include amortization associated with the establishment of intangible assets and also reflect the net decrease in programming assets. Net loss from continuing operations and diluted EPS also include interest expense associated with the adjustment of our debt to its fair value. In addition, the Successor period includes the results of Skydance.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9"/>
          <w:szCs w:val="19"/>
          <w:color w:val="auto"/>
        </w:rPr>
        <w:t xml:space="preserve">Adjusted operating income before depreciation and amortization (“Adjusted OIBDA”) for the Successor period in 2025 excludes the impact of restructuring charges. The Predecessor periods in 2025 and 2024 exclude the impacts from transaction-related items and restructuring charges.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9"/>
          <w:szCs w:val="19"/>
          <w:color w:val="auto"/>
        </w:rPr>
        <w:t xml:space="preserve">Adjusted net earnings (loss) from continuing operations attributable to Parent and adjusted diluted EPS during the Successor and Predecessor periods in 2025 and 2024 exclude the items noted above, as well as discrete tax items and other items described under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Operational Highlights - Nine Months Ended September 30, 2025 and 2024</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55"/>
        </w:trPr>
        <w:tc>
          <w:tcPr>
            <w:tcW w:w="46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80" w:type="dxa"/>
            <w:vAlign w:val="bottom"/>
          </w:tcPr>
          <w:p>
            <w:pPr>
              <w:spacing w:after="0"/>
              <w:rPr>
                <w:sz w:val="20"/>
                <w:szCs w:val="20"/>
                <w:color w:val="auto"/>
              </w:rPr>
            </w:pPr>
          </w:p>
        </w:tc>
        <w:tc>
          <w:tcPr>
            <w:tcW w:w="1500" w:type="dxa"/>
            <w:vAlign w:val="bottom"/>
            <w:tcBorders>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1760" w:type="dxa"/>
            <w:vAlign w:val="bottom"/>
            <w:gridSpan w:val="2"/>
            <w:vMerge w:val="restart"/>
          </w:tcPr>
          <w:p>
            <w:pPr>
              <w:jc w:val="center"/>
              <w:ind w:left="11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Borders>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January 1 -</w:t>
            </w: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500" w:type="dxa"/>
            <w:vAlign w:val="bottom"/>
            <w:tcBorders>
              <w:bottom w:val="single" w:sz="8" w:color="auto"/>
              <w:right w:val="single" w:sz="8" w:color="auto"/>
            </w:tcBorders>
            <w:gridSpan w:val="2"/>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August 6,</w:t>
            </w:r>
          </w:p>
        </w:tc>
        <w:tc>
          <w:tcPr>
            <w:tcW w:w="1760" w:type="dxa"/>
            <w:vAlign w:val="bottom"/>
            <w:tcBorders>
              <w:bottom w:val="single" w:sz="8" w:color="auto"/>
            </w:tcBorders>
            <w:gridSpan w:val="2"/>
          </w:tcPr>
          <w:p>
            <w:pPr>
              <w:jc w:val="center"/>
              <w:ind w:left="1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42"/>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7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GAAP:</w:t>
            </w:r>
          </w:p>
        </w:tc>
        <w:tc>
          <w:tcPr>
            <w:tcW w:w="3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4,121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16,622</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21,229</w:t>
            </w:r>
          </w:p>
        </w:tc>
        <w:tc>
          <w:tcPr>
            <w:tcW w:w="0" w:type="dxa"/>
            <w:vAlign w:val="bottom"/>
          </w:tcPr>
          <w:p>
            <w:pPr>
              <w:spacing w:after="0"/>
              <w:rPr>
                <w:sz w:val="1"/>
                <w:szCs w:val="1"/>
                <w:color w:val="auto"/>
              </w:rPr>
            </w:pPr>
          </w:p>
        </w:tc>
      </w:tr>
      <w:tr>
        <w:trPr>
          <w:trHeight w:val="262"/>
        </w:trPr>
        <w:tc>
          <w:tcPr>
            <w:tcW w:w="4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income (loss)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244</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1,029</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(5,398)</w:t>
            </w:r>
          </w:p>
        </w:tc>
        <w:tc>
          <w:tcPr>
            <w:tcW w:w="0" w:type="dxa"/>
            <w:vAlign w:val="bottom"/>
          </w:tcPr>
          <w:p>
            <w:pPr>
              <w:spacing w:after="0"/>
              <w:rPr>
                <w:sz w:val="1"/>
                <w:szCs w:val="1"/>
                <w:color w:val="auto"/>
              </w:rPr>
            </w:pPr>
          </w:p>
        </w:tc>
      </w:tr>
      <w:tr>
        <w:trPr>
          <w:trHeight w:val="244"/>
        </w:trPr>
        <w:tc>
          <w:tcPr>
            <w:tcW w:w="4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3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attributable to Parent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(13)</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(35)</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(5,980)</w:t>
            </w:r>
          </w:p>
        </w:tc>
        <w:tc>
          <w:tcPr>
            <w:tcW w:w="0" w:type="dxa"/>
            <w:vAlign w:val="bottom"/>
          </w:tcPr>
          <w:p>
            <w:pPr>
              <w:spacing w:after="0"/>
              <w:rPr>
                <w:sz w:val="1"/>
                <w:szCs w:val="1"/>
                <w:color w:val="auto"/>
              </w:rPr>
            </w:pPr>
          </w:p>
        </w:tc>
      </w:tr>
      <w:tr>
        <w:trPr>
          <w:trHeight w:val="262"/>
        </w:trPr>
        <w:tc>
          <w:tcPr>
            <w:tcW w:w="4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 EPS from continuing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(.01)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(.05)</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(9.04)</w:t>
            </w:r>
          </w:p>
        </w:tc>
        <w:tc>
          <w:tcPr>
            <w:tcW w:w="0" w:type="dxa"/>
            <w:vAlign w:val="bottom"/>
          </w:tcPr>
          <w:p>
            <w:pPr>
              <w:spacing w:after="0"/>
              <w:rPr>
                <w:sz w:val="1"/>
                <w:szCs w:val="1"/>
                <w:color w:val="auto"/>
              </w:rPr>
            </w:pPr>
          </w:p>
        </w:tc>
      </w:tr>
      <w:tr>
        <w:trPr>
          <w:trHeight w:val="507"/>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Non-GAAP: </w:t>
            </w:r>
            <w:r>
              <w:rPr>
                <w:rFonts w:ascii="Times New Roman" w:cs="Times New Roman" w:eastAsia="Times New Roman" w:hAnsi="Times New Roman"/>
                <w:sz w:val="22"/>
                <w:szCs w:val="22"/>
                <w:color w:val="auto"/>
                <w:vertAlign w:val="superscript"/>
              </w:rPr>
              <w:t>(a)</w:t>
            </w:r>
          </w:p>
        </w:tc>
        <w:tc>
          <w:tcPr>
            <w:tcW w:w="3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Adjusted OIBDA</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655</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1,809</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2,712</w:t>
            </w:r>
          </w:p>
        </w:tc>
        <w:tc>
          <w:tcPr>
            <w:tcW w:w="0" w:type="dxa"/>
            <w:vAlign w:val="bottom"/>
          </w:tcPr>
          <w:p>
            <w:pPr>
              <w:spacing w:after="0"/>
              <w:rPr>
                <w:sz w:val="1"/>
                <w:szCs w:val="1"/>
                <w:color w:val="auto"/>
              </w:rPr>
            </w:pPr>
          </w:p>
        </w:tc>
      </w:tr>
      <w:tr>
        <w:trPr>
          <w:trHeight w:val="244"/>
        </w:trPr>
        <w:tc>
          <w:tcPr>
            <w:tcW w:w="4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net earnings from continuing operations</w:t>
            </w:r>
          </w:p>
        </w:tc>
        <w:tc>
          <w:tcPr>
            <w:tcW w:w="3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attributable to Parent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138</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348</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1,112</w:t>
            </w:r>
          </w:p>
        </w:tc>
        <w:tc>
          <w:tcPr>
            <w:tcW w:w="0" w:type="dxa"/>
            <w:vAlign w:val="bottom"/>
          </w:tcPr>
          <w:p>
            <w:pPr>
              <w:spacing w:after="0"/>
              <w:rPr>
                <w:sz w:val="1"/>
                <w:szCs w:val="1"/>
                <w:color w:val="auto"/>
              </w:rPr>
            </w:pPr>
          </w:p>
        </w:tc>
      </w:tr>
      <w:tr>
        <w:trPr>
          <w:trHeight w:val="262"/>
        </w:trPr>
        <w:tc>
          <w:tcPr>
            <w:tcW w:w="4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diluted EPS from continuing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.12</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.51</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33"/>
        </w:trPr>
        <w:tc>
          <w:tcPr>
            <w:tcW w:w="4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100" w:right="780" w:hanging="308"/>
        <w:spacing w:after="0" w:line="263" w:lineRule="auto"/>
        <w:tabs>
          <w:tab w:leader="none" w:pos="99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for reconciliations of these non-GAAP measures to the most directly comparable financial measures in accordance with U.S. GAAP. These non-GAAP measures exclude certain items identified as affecting comparability that are not part of our normal operations.</w:t>
      </w:r>
    </w:p>
    <w:p>
      <w:pPr>
        <w:spacing w:after="0" w:line="9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9"/>
          <w:szCs w:val="19"/>
          <w:color w:val="auto"/>
        </w:rPr>
        <w:t xml:space="preserve">Revenues during the Predecessor period in 2024 benefited from advertising revenues associated with the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on CBS and Paramount+ in the first quarter of 2024. We have the rights to broadcast the Super Bowl on a rotational basis with other networks, and therefore did not have a comparable broadcast in 2025.</w:t>
      </w:r>
    </w:p>
    <w:p>
      <w:pPr>
        <w:spacing w:after="0" w:line="193"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9"/>
          <w:szCs w:val="19"/>
          <w:color w:val="auto"/>
        </w:rPr>
        <w:t>As noted above, the Successor period operating income, net loss from continuing operations attributable to Parent, and diluted EPS reflect the pushdown of the Ultimate Parent’s basis, and include the results of Skydance.</w:t>
      </w:r>
    </w:p>
    <w:p>
      <w:pPr>
        <w:spacing w:after="0" w:line="15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 xml:space="preserve">Adjusted OIBDA for the Successor period in 2025 excludes the impact of restructuring charges. The Predecessor periods in 2025 and 2024 exclude the impacts from transaction-related items and restructuring charges and 2024 also excludes impairment and programming charges.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 xml:space="preserve">Adjusted net earnings from continuing operations attributable to Parent and adjusted diluted EPS from continuing operations during the Successor and Predecessor periods in 2025 and 2024 exclude the items noted above, as well as discrete tax items and other items described under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9"/>
          <w:szCs w:val="19"/>
          <w:color w:val="auto"/>
        </w:rPr>
        <w:t>We are exposed to political risks inherent in conducting a global business such as retaliatory actions by governments reacting to changes in the U.S. and other countries, including in connection with the imposition of tariffs and other changes in trade policies. Growing macroeconomic uncertainty relating to the imposition of tariffs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87" w:right="39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other changes in trade policies may negatively affect our results, in particular from potential impacts on the advertising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Reconciliation of Non-GAAP Measures</w:t>
      </w:r>
    </w:p>
    <w:p>
      <w:pPr>
        <w:spacing w:after="0" w:line="1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 xml:space="preserve">Adjusted OIBDA, adjusted earnings from continuing operations before income taxes, adjusted provision for income taxes, adjusted net earnings from continuing operations attributable to Parent, adjusted diluted EPS from continuing operations, and adjusted effective income tax rate, which are measures of performance not calculated in accordance with U.S. GAAP (together, the “adjusted measures”), exclude certain items identified as affecting comparability that are not part of our normal operations, including impairment charges, restructuring charges, transaction-related items, programming charges, gain on dispositions, loss from investment, and discrete tax items, each where applicable. Programming charges consist only of charges related to major strategic changes, which are further described under </w:t>
      </w:r>
      <w:r>
        <w:rPr>
          <w:rFonts w:ascii="Times New Roman" w:cs="Times New Roman" w:eastAsia="Times New Roman" w:hAnsi="Times New Roman"/>
          <w:sz w:val="19"/>
          <w:szCs w:val="19"/>
          <w:i w:val="1"/>
          <w:iCs w:val="1"/>
          <w:color w:val="auto"/>
        </w:rPr>
        <w:t>Programming Charges</w:t>
      </w:r>
      <w:r>
        <w:rPr>
          <w:rFonts w:ascii="Times New Roman" w:cs="Times New Roman" w:eastAsia="Times New Roman" w:hAnsi="Times New Roman"/>
          <w:sz w:val="19"/>
          <w:szCs w:val="19"/>
          <w:color w:val="auto"/>
        </w:rPr>
        <w:t>, and do not include impairment charges that occur as part of our normal operations, which are recorded within “Operating expenses” on the Consolidated Statements of Operations, and are not excluded in our adjusted measures.</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and because they exclude items that are not representative of our normal, recurring operations, they provide a clearer perspective on our underlying performance; and make it easier for investors, analysts and peers to compare our operating performance to other companies in our industry and to compare our year-over-year results.</w:t>
      </w:r>
    </w:p>
    <w:p>
      <w:pPr>
        <w:spacing w:after="0" w:line="2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Because the adjusted measures are measures of performance not calculated in accordance with U.S. GAAP, they should not be considered in isolation of, or as a substitute for, operating income (loss), earnings (loss) from continuing operations before income taxes, (provision for) benefit from income taxes, net earnings (loss) from continuing operations attributable to Parent, diluted EPS from continuing operations, and effective income tax rate, as applicable, as indicators of operating performance. These measures, as we calculate them,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50" w:name="page51"/>
    <w:bookmarkEnd w:id="50"/>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following tables reconcile the adjusted measures to their most directly comparable financial measures in accordance with U.S. GAAP. The tax impacts on the items identified as affecting comparability in the tables below have been calculated using the tax rate applicable to each item.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80" w:lineRule="exact"/>
        <w:rPr>
          <w:sz w:val="20"/>
          <w:szCs w:val="20"/>
          <w:color w:val="auto"/>
        </w:rPr>
      </w:pPr>
    </w:p>
    <w:tbl>
      <w:tblPr>
        <w:tblLayout w:type="fixed"/>
        <w:tblInd w:w="1540" w:type="dxa"/>
        <w:tblCellMar>
          <w:top w:w="0" w:type="dxa"/>
          <w:left w:w="0" w:type="dxa"/>
          <w:bottom w:w="0" w:type="dxa"/>
          <w:right w:w="0" w:type="dxa"/>
        </w:tblCellMar>
      </w:tblPr>
      <w:tr>
        <w:trPr>
          <w:trHeight w:val="255"/>
        </w:trPr>
        <w:tc>
          <w:tcPr>
            <w:tcW w:w="34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0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ind w:left="82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r>
      <w:tr>
        <w:trPr>
          <w:trHeight w:val="194"/>
        </w:trPr>
        <w:tc>
          <w:tcPr>
            <w:tcW w:w="3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184"/>
        </w:trPr>
        <w:tc>
          <w:tcPr>
            <w:tcW w:w="3480" w:type="dxa"/>
            <w:vAlign w:val="bottom"/>
          </w:tcPr>
          <w:p>
            <w:pPr>
              <w:spacing w:after="0"/>
              <w:rPr>
                <w:sz w:val="15"/>
                <w:szCs w:val="15"/>
                <w:color w:val="auto"/>
              </w:rPr>
            </w:pPr>
          </w:p>
        </w:tc>
        <w:tc>
          <w:tcPr>
            <w:tcW w:w="1520" w:type="dxa"/>
            <w:vAlign w:val="bottom"/>
            <w:tcBorders>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 1</w:t>
            </w:r>
          </w:p>
        </w:tc>
        <w:tc>
          <w:tcPr>
            <w:tcW w:w="1540" w:type="dxa"/>
            <w:vAlign w:val="bottom"/>
            <w:gridSpan w:val="2"/>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Ended September</w:t>
            </w:r>
          </w:p>
        </w:tc>
      </w:tr>
      <w:tr>
        <w:trPr>
          <w:trHeight w:val="232"/>
        </w:trPr>
        <w:tc>
          <w:tcPr>
            <w:tcW w:w="3480" w:type="dxa"/>
            <w:vAlign w:val="bottom"/>
          </w:tcPr>
          <w:p>
            <w:pPr>
              <w:spacing w:after="0"/>
              <w:rPr>
                <w:sz w:val="20"/>
                <w:szCs w:val="20"/>
                <w:color w:val="auto"/>
              </w:rPr>
            </w:pPr>
          </w:p>
        </w:tc>
        <w:tc>
          <w:tcPr>
            <w:tcW w:w="1520" w:type="dxa"/>
            <w:vAlign w:val="bottom"/>
            <w:tcBorders>
              <w:bottom w:val="single" w:sz="8" w:color="auto"/>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7"/>
              </w:rPr>
              <w:t>7 - September 30,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9"/>
              </w:rPr>
              <w:t>- August 6,</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30,</w:t>
            </w:r>
          </w:p>
        </w:tc>
      </w:tr>
      <w:tr>
        <w:trPr>
          <w:trHeight w:val="229"/>
        </w:trPr>
        <w:tc>
          <w:tcPr>
            <w:tcW w:w="3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(GAAP)</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244</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80</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337</w:t>
            </w:r>
          </w:p>
        </w:tc>
      </w:tr>
      <w:tr>
        <w:trPr>
          <w:trHeight w:val="262"/>
        </w:trPr>
        <w:tc>
          <w:tcPr>
            <w:tcW w:w="3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226</w:t>
            </w:r>
          </w:p>
        </w:tc>
        <w:tc>
          <w:tcPr>
            <w:tcW w:w="400" w:type="dxa"/>
            <w:vAlign w:val="bottom"/>
          </w:tcPr>
          <w:p>
            <w:pPr>
              <w:spacing w:after="0"/>
              <w:rPr>
                <w:sz w:val="22"/>
                <w:szCs w:val="22"/>
                <w:color w:val="auto"/>
              </w:rPr>
            </w:pP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29</w:t>
            </w:r>
          </w:p>
        </w:tc>
        <w:tc>
          <w:tcPr>
            <w:tcW w:w="540" w:type="dxa"/>
            <w:vAlign w:val="bottom"/>
          </w:tcPr>
          <w:p>
            <w:pPr>
              <w:spacing w:after="0"/>
              <w:rPr>
                <w:sz w:val="22"/>
                <w:szCs w:val="22"/>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96</w:t>
            </w:r>
          </w:p>
        </w:tc>
      </w:tr>
      <w:tr>
        <w:trPr>
          <w:trHeight w:val="294"/>
        </w:trPr>
        <w:tc>
          <w:tcPr>
            <w:tcW w:w="3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4"/>
                <w:szCs w:val="24"/>
                <w:color w:val="auto"/>
              </w:rPr>
            </w:pP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4"/>
                <w:szCs w:val="24"/>
                <w:color w:val="auto"/>
              </w:rPr>
            </w:pP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4"/>
                <w:szCs w:val="24"/>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104</w:t>
            </w:r>
          </w:p>
        </w:tc>
      </w:tr>
      <w:tr>
        <w:trPr>
          <w:trHeight w:val="262"/>
        </w:trPr>
        <w:tc>
          <w:tcPr>
            <w:tcW w:w="3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185</w:t>
            </w:r>
          </w:p>
        </w:tc>
        <w:tc>
          <w:tcPr>
            <w:tcW w:w="400" w:type="dxa"/>
            <w:vAlign w:val="bottom"/>
          </w:tcPr>
          <w:p>
            <w:pPr>
              <w:spacing w:after="0"/>
              <w:rPr>
                <w:sz w:val="22"/>
                <w:szCs w:val="22"/>
                <w:color w:val="auto"/>
              </w:rPr>
            </w:pP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13</w:t>
            </w:r>
          </w:p>
        </w:tc>
        <w:tc>
          <w:tcPr>
            <w:tcW w:w="540" w:type="dxa"/>
            <w:vAlign w:val="bottom"/>
          </w:tcPr>
          <w:p>
            <w:pPr>
              <w:spacing w:after="0"/>
              <w:rPr>
                <w:sz w:val="22"/>
                <w:szCs w:val="22"/>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288</w:t>
            </w:r>
          </w:p>
        </w:tc>
      </w:tr>
      <w:tr>
        <w:trPr>
          <w:trHeight w:val="257"/>
        </w:trPr>
        <w:tc>
          <w:tcPr>
            <w:tcW w:w="3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(a)</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175</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33</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OIBDA (Non-GAAP)</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655</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297</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858</w:t>
            </w:r>
          </w:p>
        </w:tc>
      </w:tr>
      <w:tr>
        <w:trPr>
          <w:trHeight w:val="33"/>
        </w:trPr>
        <w:tc>
          <w:tcPr>
            <w:tcW w:w="3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80" w:lineRule="exact"/>
        <w:rPr>
          <w:sz w:val="20"/>
          <w:szCs w:val="20"/>
          <w:color w:val="auto"/>
        </w:rPr>
      </w:pPr>
    </w:p>
    <w:tbl>
      <w:tblPr>
        <w:tblLayout w:type="fixed"/>
        <w:tblInd w:w="1540" w:type="dxa"/>
        <w:tblCellMar>
          <w:top w:w="0" w:type="dxa"/>
          <w:left w:w="0" w:type="dxa"/>
          <w:bottom w:w="0" w:type="dxa"/>
          <w:right w:w="0" w:type="dxa"/>
        </w:tblCellMar>
      </w:tblPr>
      <w:tr>
        <w:trPr>
          <w:trHeight w:val="255"/>
        </w:trPr>
        <w:tc>
          <w:tcPr>
            <w:tcW w:w="346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37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50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r>
      <w:tr>
        <w:trPr>
          <w:trHeight w:val="194"/>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600" w:type="dxa"/>
            <w:vAlign w:val="bottom"/>
            <w:gridSpan w:val="2"/>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3460" w:type="dxa"/>
            <w:vAlign w:val="bottom"/>
          </w:tcPr>
          <w:p>
            <w:pPr>
              <w:spacing w:after="0"/>
              <w:rPr>
                <w:sz w:val="15"/>
                <w:szCs w:val="15"/>
                <w:color w:val="auto"/>
              </w:rPr>
            </w:pPr>
          </w:p>
        </w:tc>
        <w:tc>
          <w:tcPr>
            <w:tcW w:w="1540" w:type="dxa"/>
            <w:vAlign w:val="bottom"/>
            <w:tcBorders>
              <w:right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60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2"/>
        </w:trPr>
        <w:tc>
          <w:tcPr>
            <w:tcW w:w="3460" w:type="dxa"/>
            <w:vAlign w:val="bottom"/>
          </w:tcPr>
          <w:p>
            <w:pPr>
              <w:spacing w:after="0"/>
              <w:rPr>
                <w:sz w:val="20"/>
                <w:szCs w:val="20"/>
                <w:color w:val="auto"/>
              </w:rPr>
            </w:pPr>
          </w:p>
        </w:tc>
        <w:tc>
          <w:tcPr>
            <w:tcW w:w="1540" w:type="dxa"/>
            <w:vAlign w:val="bottom"/>
            <w:tcBorders>
              <w:bottom w:val="single" w:sz="8" w:color="auto"/>
              <w:right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7 - September 30,</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6,</w:t>
            </w:r>
          </w:p>
        </w:tc>
        <w:tc>
          <w:tcPr>
            <w:tcW w:w="15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9"/>
        </w:trPr>
        <w:tc>
          <w:tcPr>
            <w:tcW w:w="3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74"/>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 (GAAP)</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244</w:t>
            </w: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1,029</w:t>
            </w: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(5,398)</w:t>
            </w:r>
          </w:p>
        </w:tc>
      </w:tr>
      <w:tr>
        <w:trPr>
          <w:trHeight w:val="262"/>
        </w:trPr>
        <w:tc>
          <w:tcPr>
            <w:tcW w:w="3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226</w:t>
            </w:r>
          </w:p>
        </w:tc>
        <w:tc>
          <w:tcPr>
            <w:tcW w:w="500" w:type="dxa"/>
            <w:vAlign w:val="bottom"/>
          </w:tcPr>
          <w:p>
            <w:pPr>
              <w:spacing w:after="0"/>
              <w:rPr>
                <w:sz w:val="22"/>
                <w:szCs w:val="22"/>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204</w:t>
            </w:r>
          </w:p>
        </w:tc>
        <w:tc>
          <w:tcPr>
            <w:tcW w:w="580" w:type="dxa"/>
            <w:vAlign w:val="bottom"/>
          </w:tcPr>
          <w:p>
            <w:pPr>
              <w:spacing w:after="0"/>
              <w:rPr>
                <w:sz w:val="22"/>
                <w:szCs w:val="22"/>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297</w:t>
            </w:r>
          </w:p>
        </w:tc>
      </w:tr>
      <w:tr>
        <w:trPr>
          <w:trHeight w:val="294"/>
        </w:trPr>
        <w:tc>
          <w:tcPr>
            <w:tcW w:w="3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Programming charges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4"/>
                <w:szCs w:val="24"/>
                <w:color w:val="auto"/>
              </w:rPr>
            </w:pP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4"/>
                <w:szCs w:val="24"/>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1,118</w:t>
            </w:r>
          </w:p>
        </w:tc>
      </w:tr>
      <w:tr>
        <w:trPr>
          <w:trHeight w:val="262"/>
        </w:trPr>
        <w:tc>
          <w:tcPr>
            <w:tcW w:w="3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157</w:t>
            </w:r>
          </w:p>
        </w:tc>
        <w:tc>
          <w:tcPr>
            <w:tcW w:w="580" w:type="dxa"/>
            <w:vAlign w:val="bottom"/>
          </w:tcPr>
          <w:p>
            <w:pPr>
              <w:spacing w:after="0"/>
              <w:rPr>
                <w:sz w:val="22"/>
                <w:szCs w:val="22"/>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6,100</w:t>
            </w:r>
          </w:p>
        </w:tc>
      </w:tr>
      <w:tr>
        <w:trPr>
          <w:trHeight w:val="262"/>
        </w:trPr>
        <w:tc>
          <w:tcPr>
            <w:tcW w:w="3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185</w:t>
            </w:r>
          </w:p>
        </w:tc>
        <w:tc>
          <w:tcPr>
            <w:tcW w:w="500" w:type="dxa"/>
            <w:vAlign w:val="bottom"/>
          </w:tcPr>
          <w:p>
            <w:pPr>
              <w:spacing w:after="0"/>
              <w:rPr>
                <w:sz w:val="22"/>
                <w:szCs w:val="22"/>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255</w:t>
            </w:r>
          </w:p>
        </w:tc>
        <w:tc>
          <w:tcPr>
            <w:tcW w:w="580" w:type="dxa"/>
            <w:vAlign w:val="bottom"/>
          </w:tcPr>
          <w:p>
            <w:pPr>
              <w:spacing w:after="0"/>
              <w:rPr>
                <w:sz w:val="22"/>
                <w:szCs w:val="22"/>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544</w:t>
            </w:r>
          </w:p>
        </w:tc>
      </w:tr>
      <w:tr>
        <w:trPr>
          <w:trHeight w:val="262"/>
        </w:trPr>
        <w:tc>
          <w:tcPr>
            <w:tcW w:w="3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199</w:t>
            </w:r>
          </w:p>
        </w:tc>
        <w:tc>
          <w:tcPr>
            <w:tcW w:w="580" w:type="dxa"/>
            <w:vAlign w:val="bottom"/>
          </w:tcPr>
          <w:p>
            <w:pPr>
              <w:spacing w:after="0"/>
              <w:rPr>
                <w:sz w:val="22"/>
                <w:szCs w:val="22"/>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51</w:t>
            </w:r>
          </w:p>
        </w:tc>
      </w:tr>
      <w:tr>
        <w:trPr>
          <w:trHeight w:val="257"/>
        </w:trPr>
        <w:tc>
          <w:tcPr>
            <w:tcW w:w="3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 xml:space="preserve">Gain on dispositions </w:t>
            </w:r>
            <w:r>
              <w:rPr>
                <w:rFonts w:ascii="Times New Roman" w:cs="Times New Roman" w:eastAsia="Times New Roman" w:hAnsi="Times New Roman"/>
                <w:sz w:val="22"/>
                <w:szCs w:val="22"/>
                <w:color w:val="auto"/>
                <w:vertAlign w:val="superscript"/>
              </w:rPr>
              <w:t>(a)</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(35)</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OIBDA (Non-GAAP)</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655</w:t>
            </w: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1,809</w:t>
            </w: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2,712</w:t>
            </w:r>
          </w:p>
        </w:tc>
      </w:tr>
      <w:tr>
        <w:trPr>
          <w:trHeight w:val="33"/>
        </w:trPr>
        <w:tc>
          <w:tcPr>
            <w:tcW w:w="3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1480" w:hanging="216"/>
        <w:spacing w:after="0"/>
        <w:tabs>
          <w:tab w:leader="none" w:pos="1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notes on the following tables for additional information on items affecting comparability.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39" w:lineRule="exact"/>
        <w:rPr>
          <w:rFonts w:ascii="Times New Roman" w:cs="Times New Roman" w:eastAsia="Times New Roman" w:hAnsi="Times New Roman"/>
          <w:sz w:val="16"/>
          <w:szCs w:val="16"/>
          <w:color w:val="auto"/>
        </w:rPr>
      </w:pPr>
    </w:p>
    <w:p>
      <w:pPr>
        <w:ind w:left="5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587" w:right="479" w:bottom="1440" w:gutter="0" w:footer="0" w:header="0"/>
        </w:sectPr>
      </w:pPr>
    </w:p>
    <w:bookmarkStart w:id="51" w:name="page52"/>
    <w:bookmarkEnd w:id="51"/>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127000</wp:posOffset>
            </wp:positionV>
            <wp:extent cx="662813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3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50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Period From August 7 - September 30, 2025</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Earnings (Loss)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from</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364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380" w:type="dxa"/>
            <w:vAlign w:val="bottom"/>
          </w:tcPr>
          <w:p>
            <w:pPr>
              <w:spacing w:after="0"/>
              <w:rPr>
                <w:sz w:val="18"/>
                <w:szCs w:val="18"/>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364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600" w:type="dxa"/>
            <w:vAlign w:val="bottom"/>
          </w:tcPr>
          <w:p>
            <w:pPr>
              <w:spacing w:after="0"/>
              <w:rPr>
                <w:sz w:val="19"/>
                <w:szCs w:val="19"/>
                <w:color w:val="auto"/>
              </w:rPr>
            </w:pPr>
          </w:p>
        </w:tc>
        <w:tc>
          <w:tcPr>
            <w:tcW w:w="1240" w:type="dxa"/>
            <w:vAlign w:val="bottom"/>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Parent</w:t>
            </w:r>
          </w:p>
        </w:tc>
        <w:tc>
          <w:tcPr>
            <w:tcW w:w="380" w:type="dxa"/>
            <w:vAlign w:val="bottom"/>
          </w:tcPr>
          <w:p>
            <w:pPr>
              <w:spacing w:after="0"/>
              <w:rPr>
                <w:sz w:val="19"/>
                <w:szCs w:val="19"/>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3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Reported (GAAP)</w:t>
            </w: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122</w:t>
            </w:r>
          </w:p>
        </w:tc>
        <w:tc>
          <w:tcPr>
            <w:tcW w:w="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22"/>
                <w:szCs w:val="22"/>
                <w:color w:val="auto"/>
                <w:vertAlign w:val="superscript"/>
              </w:rPr>
              <w:t>(d)</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(13)</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(.01)</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7"/>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(a)</w:t>
            </w:r>
          </w:p>
        </w:tc>
        <w:tc>
          <w:tcPr>
            <w:tcW w:w="720" w:type="dxa"/>
            <w:vAlign w:val="bottom"/>
          </w:tcPr>
          <w:p>
            <w:pPr>
              <w:spacing w:after="0"/>
              <w:rPr>
                <w:sz w:val="24"/>
                <w:szCs w:val="24"/>
                <w:color w:val="auto"/>
              </w:rPr>
            </w:pP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185</w:t>
            </w:r>
          </w:p>
        </w:tc>
        <w:tc>
          <w:tcPr>
            <w:tcW w:w="680" w:type="dxa"/>
            <w:vAlign w:val="bottom"/>
          </w:tcPr>
          <w:p>
            <w:pPr>
              <w:spacing w:after="0"/>
              <w:rPr>
                <w:sz w:val="24"/>
                <w:szCs w:val="24"/>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(30)</w:t>
            </w:r>
          </w:p>
        </w:tc>
        <w:tc>
          <w:tcPr>
            <w:tcW w:w="60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155</w:t>
            </w:r>
          </w:p>
        </w:tc>
        <w:tc>
          <w:tcPr>
            <w:tcW w:w="380" w:type="dxa"/>
            <w:vAlign w:val="bottom"/>
          </w:tcPr>
          <w:p>
            <w:pPr>
              <w:spacing w:after="0"/>
              <w:rPr>
                <w:sz w:val="24"/>
                <w:szCs w:val="24"/>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.13</w:t>
            </w:r>
          </w:p>
        </w:tc>
      </w:tr>
      <w:tr>
        <w:trPr>
          <w:trHeight w:val="228"/>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Discrete tax items</w:t>
            </w:r>
          </w:p>
        </w:tc>
        <w:tc>
          <w:tcPr>
            <w:tcW w:w="720" w:type="dxa"/>
            <w:vAlign w:val="bottom"/>
          </w:tcPr>
          <w:p>
            <w:pPr>
              <w:spacing w:after="0"/>
              <w:rPr>
                <w:sz w:val="19"/>
                <w:szCs w:val="19"/>
                <w:color w:val="auto"/>
              </w:rPr>
            </w:pP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9"/>
                <w:szCs w:val="19"/>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(4)</w:t>
            </w:r>
          </w:p>
        </w:tc>
        <w:tc>
          <w:tcPr>
            <w:tcW w:w="600" w:type="dxa"/>
            <w:vAlign w:val="bottom"/>
          </w:tcPr>
          <w:p>
            <w:pPr>
              <w:spacing w:after="0"/>
              <w:rPr>
                <w:sz w:val="19"/>
                <w:szCs w:val="19"/>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(4)</w:t>
            </w:r>
          </w:p>
        </w:tc>
        <w:tc>
          <w:tcPr>
            <w:tcW w:w="380" w:type="dxa"/>
            <w:vAlign w:val="bottom"/>
          </w:tcPr>
          <w:p>
            <w:pPr>
              <w:spacing w:after="0"/>
              <w:rPr>
                <w:sz w:val="19"/>
                <w:szCs w:val="19"/>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3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2"/>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Adjusted (Non-GAAP)</w:t>
            </w: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307</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 xml:space="preserve">(119) </w:t>
            </w:r>
            <w:r>
              <w:rPr>
                <w:rFonts w:ascii="Times New Roman" w:cs="Times New Roman" w:eastAsia="Times New Roman" w:hAnsi="Times New Roman"/>
                <w:sz w:val="22"/>
                <w:szCs w:val="22"/>
                <w:color w:val="auto"/>
                <w:vertAlign w:val="superscript"/>
              </w:rPr>
              <w:t>(d)</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138</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.12</w:t>
            </w:r>
          </w:p>
        </w:tc>
      </w:tr>
      <w:tr>
        <w:trPr>
          <w:trHeight w:val="255"/>
        </w:trPr>
        <w:tc>
          <w:tcPr>
            <w:tcW w:w="3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36"/>
        </w:trPr>
        <w:tc>
          <w:tcPr>
            <w:tcW w:w="3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3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500" w:type="dxa"/>
            <w:vAlign w:val="bottom"/>
            <w:gridSpan w:val="4"/>
          </w:tcPr>
          <w:p>
            <w:pPr>
              <w:ind w:left="360"/>
              <w:spacing w:after="0"/>
              <w:rPr>
                <w:sz w:val="20"/>
                <w:szCs w:val="20"/>
                <w:color w:val="auto"/>
              </w:rPr>
            </w:pPr>
            <w:r>
              <w:rPr>
                <w:rFonts w:ascii="Times New Roman" w:cs="Times New Roman" w:eastAsia="Times New Roman" w:hAnsi="Times New Roman"/>
                <w:sz w:val="17"/>
                <w:szCs w:val="17"/>
                <w:b w:val="1"/>
                <w:bCs w:val="1"/>
                <w:color w:val="auto"/>
              </w:rPr>
              <w:t>Period From July 1 - August 6, 2025</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Loss from</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(loss) from</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364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380" w:type="dxa"/>
            <w:vAlign w:val="bottom"/>
          </w:tcPr>
          <w:p>
            <w:pPr>
              <w:spacing w:after="0"/>
              <w:rPr>
                <w:sz w:val="18"/>
                <w:szCs w:val="18"/>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364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600" w:type="dxa"/>
            <w:vAlign w:val="bottom"/>
          </w:tcPr>
          <w:p>
            <w:pPr>
              <w:spacing w:after="0"/>
              <w:rPr>
                <w:sz w:val="19"/>
                <w:szCs w:val="19"/>
                <w:color w:val="auto"/>
              </w:rPr>
            </w:pPr>
          </w:p>
        </w:tc>
        <w:tc>
          <w:tcPr>
            <w:tcW w:w="1240" w:type="dxa"/>
            <w:vAlign w:val="bottom"/>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Parent</w:t>
            </w:r>
          </w:p>
        </w:tc>
        <w:tc>
          <w:tcPr>
            <w:tcW w:w="380" w:type="dxa"/>
            <w:vAlign w:val="bottom"/>
          </w:tcPr>
          <w:p>
            <w:pPr>
              <w:spacing w:after="0"/>
              <w:rPr>
                <w:sz w:val="19"/>
                <w:szCs w:val="19"/>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3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Reported (GAAP)</w:t>
            </w: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(8)</w:t>
            </w:r>
          </w:p>
        </w:tc>
        <w:tc>
          <w:tcPr>
            <w:tcW w:w="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 xml:space="preserve">229 </w:t>
            </w:r>
            <w:r>
              <w:rPr>
                <w:rFonts w:ascii="Times New Roman" w:cs="Times New Roman" w:eastAsia="Times New Roman" w:hAnsi="Times New Roman"/>
                <w:sz w:val="22"/>
                <w:szCs w:val="22"/>
                <w:color w:val="auto"/>
                <w:vertAlign w:val="superscript"/>
              </w:rPr>
              <w:t>(e)</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(244)</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(.36)</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4"/>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(a)</w:t>
            </w:r>
          </w:p>
        </w:tc>
        <w:tc>
          <w:tcPr>
            <w:tcW w:w="720" w:type="dxa"/>
            <w:vAlign w:val="bottom"/>
          </w:tcPr>
          <w:p>
            <w:pPr>
              <w:spacing w:after="0"/>
              <w:rPr>
                <w:sz w:val="24"/>
                <w:szCs w:val="24"/>
                <w:color w:val="auto"/>
              </w:rPr>
            </w:pP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13</w:t>
            </w:r>
          </w:p>
        </w:tc>
        <w:tc>
          <w:tcPr>
            <w:tcW w:w="680" w:type="dxa"/>
            <w:vAlign w:val="bottom"/>
          </w:tcPr>
          <w:p>
            <w:pPr>
              <w:spacing w:after="0"/>
              <w:rPr>
                <w:sz w:val="24"/>
                <w:szCs w:val="24"/>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10</w:t>
            </w:r>
          </w:p>
        </w:tc>
        <w:tc>
          <w:tcPr>
            <w:tcW w:w="380" w:type="dxa"/>
            <w:vAlign w:val="bottom"/>
          </w:tcPr>
          <w:p>
            <w:pPr>
              <w:spacing w:after="0"/>
              <w:rPr>
                <w:sz w:val="24"/>
                <w:szCs w:val="24"/>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.02</w:t>
            </w:r>
          </w:p>
        </w:tc>
      </w:tr>
      <w:tr>
        <w:trPr>
          <w:trHeight w:val="262"/>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(b)</w:t>
            </w:r>
          </w:p>
        </w:tc>
        <w:tc>
          <w:tcPr>
            <w:tcW w:w="720" w:type="dxa"/>
            <w:vAlign w:val="bottom"/>
          </w:tcPr>
          <w:p>
            <w:pPr>
              <w:spacing w:after="0"/>
              <w:rPr>
                <w:sz w:val="22"/>
                <w:szCs w:val="22"/>
                <w:color w:val="auto"/>
              </w:rPr>
            </w:pP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175</w:t>
            </w:r>
          </w:p>
        </w:tc>
        <w:tc>
          <w:tcPr>
            <w:tcW w:w="680" w:type="dxa"/>
            <w:vAlign w:val="bottom"/>
          </w:tcPr>
          <w:p>
            <w:pPr>
              <w:spacing w:after="0"/>
              <w:rPr>
                <w:sz w:val="22"/>
                <w:szCs w:val="22"/>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(30)</w:t>
            </w:r>
          </w:p>
        </w:tc>
        <w:tc>
          <w:tcPr>
            <w:tcW w:w="600" w:type="dxa"/>
            <w:vAlign w:val="bottom"/>
          </w:tcPr>
          <w:p>
            <w:pPr>
              <w:spacing w:after="0"/>
              <w:rPr>
                <w:sz w:val="22"/>
                <w:szCs w:val="22"/>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145</w:t>
            </w:r>
          </w:p>
        </w:tc>
        <w:tc>
          <w:tcPr>
            <w:tcW w:w="380" w:type="dxa"/>
            <w:vAlign w:val="bottom"/>
          </w:tcPr>
          <w:p>
            <w:pPr>
              <w:spacing w:after="0"/>
              <w:rPr>
                <w:sz w:val="22"/>
                <w:szCs w:val="22"/>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.21</w:t>
            </w:r>
          </w:p>
        </w:tc>
      </w:tr>
      <w:tr>
        <w:trPr>
          <w:trHeight w:val="257"/>
        </w:trPr>
        <w:tc>
          <w:tcPr>
            <w:tcW w:w="3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 xml:space="preserve">Discrete tax items </w:t>
            </w:r>
            <w:r>
              <w:rPr>
                <w:rFonts w:ascii="Times New Roman" w:cs="Times New Roman" w:eastAsia="Times New Roman" w:hAnsi="Times New Roman"/>
                <w:sz w:val="22"/>
                <w:szCs w:val="22"/>
                <w:color w:val="auto"/>
                <w:vertAlign w:val="superscript"/>
              </w:rPr>
              <w:t>(c)</w:t>
            </w:r>
          </w:p>
        </w:tc>
        <w:tc>
          <w:tcPr>
            <w:tcW w:w="7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(73)</w:t>
            </w: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(73)</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(.11)</w:t>
            </w:r>
          </w:p>
        </w:tc>
      </w:tr>
      <w:tr>
        <w:trPr>
          <w:trHeight w:val="262"/>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Adjusted (Non-GAAP)</w:t>
            </w: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180</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22"/>
                <w:szCs w:val="22"/>
                <w:color w:val="auto"/>
                <w:vertAlign w:val="superscript"/>
              </w:rPr>
              <w:t>(e)</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(162)</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(.24)</w:t>
            </w:r>
          </w:p>
        </w:tc>
      </w:tr>
    </w:tbl>
    <w:p>
      <w:pPr>
        <w:spacing w:after="0" w:line="128" w:lineRule="exact"/>
        <w:rPr>
          <w:sz w:val="20"/>
          <w:szCs w:val="20"/>
          <w:color w:val="auto"/>
        </w:rPr>
      </w:pPr>
    </w:p>
    <w:p>
      <w:pPr>
        <w:ind w:left="620" w:hanging="222"/>
        <w:spacing w:after="0"/>
        <w:tabs>
          <w:tab w:leader="none" w:pos="6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severance charges, as further described under </w:t>
      </w:r>
      <w:r>
        <w:rPr>
          <w:rFonts w:ascii="Times New Roman" w:cs="Times New Roman" w:eastAsia="Times New Roman" w:hAnsi="Times New Roman"/>
          <w:sz w:val="16"/>
          <w:szCs w:val="16"/>
          <w:i w:val="1"/>
          <w:iCs w:val="1"/>
          <w:color w:val="auto"/>
        </w:rPr>
        <w:t>Restructuring and Transaction-Related Items</w:t>
      </w:r>
      <w:r>
        <w:rPr>
          <w:rFonts w:ascii="Times New Roman" w:cs="Times New Roman" w:eastAsia="Times New Roman" w:hAnsi="Times New Roman"/>
          <w:sz w:val="16"/>
          <w:szCs w:val="16"/>
          <w:color w:val="auto"/>
        </w:rPr>
        <w:t>.</w:t>
      </w:r>
    </w:p>
    <w:p>
      <w:pPr>
        <w:spacing w:after="0" w:line="54" w:lineRule="exact"/>
        <w:rPr>
          <w:rFonts w:ascii="Times New Roman" w:cs="Times New Roman" w:eastAsia="Times New Roman" w:hAnsi="Times New Roman"/>
          <w:sz w:val="16"/>
          <w:szCs w:val="16"/>
          <w:color w:val="auto"/>
        </w:rPr>
      </w:pPr>
    </w:p>
    <w:p>
      <w:pPr>
        <w:ind w:left="640" w:right="60" w:hanging="242"/>
        <w:spacing w:after="0" w:line="268" w:lineRule="auto"/>
        <w:tabs>
          <w:tab w:leader="none" w:pos="62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banking, legal, advisory, and other professional fees relating to the Transactions, and transaction awards that became payable to eligible employees upon closing of the Transactions.</w:t>
      </w:r>
    </w:p>
    <w:p>
      <w:pPr>
        <w:spacing w:after="0" w:line="21" w:lineRule="exact"/>
        <w:rPr>
          <w:rFonts w:ascii="Times New Roman" w:cs="Times New Roman" w:eastAsia="Times New Roman" w:hAnsi="Times New Roman"/>
          <w:sz w:val="16"/>
          <w:szCs w:val="16"/>
          <w:color w:val="auto"/>
        </w:rPr>
      </w:pPr>
    </w:p>
    <w:p>
      <w:pPr>
        <w:ind w:left="640" w:right="320" w:hanging="242"/>
        <w:spacing w:after="0" w:line="268" w:lineRule="auto"/>
        <w:tabs>
          <w:tab w:leader="none" w:pos="61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reversal of the valuation allowance on our interest limitation carryforward deferred tax asset, partially offset by the establishment of a reserve for uncertain tax positions.</w:t>
      </w:r>
    </w:p>
    <w:p>
      <w:pPr>
        <w:spacing w:after="0" w:line="21" w:lineRule="exact"/>
        <w:rPr>
          <w:rFonts w:ascii="Times New Roman" w:cs="Times New Roman" w:eastAsia="Times New Roman" w:hAnsi="Times New Roman"/>
          <w:sz w:val="16"/>
          <w:szCs w:val="16"/>
          <w:color w:val="auto"/>
        </w:rPr>
      </w:pPr>
    </w:p>
    <w:p>
      <w:pPr>
        <w:ind w:left="640" w:right="140" w:hanging="242"/>
        <w:spacing w:after="0" w:line="254" w:lineRule="auto"/>
        <w:tabs>
          <w:tab w:leader="none" w:pos="62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period from August 7 - September 30, 2025 was 69.7%, primarily reflecting the timing of foreign inclusions and foreign-derived intangible income deductions between the Successor and Predecessor periods. The adjusted effective income tax rate, which is calculated as the adjusted provision for income taxes of $119 million divided by adjusted earnings from continuing operations before income taxes of $307 million, was 38.8%. These adjusted measures exclude the items affecting comparability detailed above.</w:t>
      </w:r>
    </w:p>
    <w:p>
      <w:pPr>
        <w:spacing w:after="0" w:line="73" w:lineRule="exact"/>
        <w:rPr>
          <w:rFonts w:ascii="Times New Roman" w:cs="Times New Roman" w:eastAsia="Times New Roman" w:hAnsi="Times New Roman"/>
          <w:sz w:val="16"/>
          <w:szCs w:val="16"/>
          <w:color w:val="auto"/>
        </w:rPr>
      </w:pPr>
    </w:p>
    <w:p>
      <w:pPr>
        <w:ind w:left="640" w:right="100" w:hanging="242"/>
        <w:spacing w:after="0" w:line="255" w:lineRule="auto"/>
        <w:tabs>
          <w:tab w:leader="none" w:pos="61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from July 1 - August 6, 2025, we recorded a tax benefit of $229 million, primarily reflecting the reversal of valuation allowances on deferred tax assets related to interest deduction limitations as a result of recent U.S. tax legislation. The reported benefit, as well as the adjusted income tax benefit of $123 million, also reflect the tax impact of earnings attributable to noncontrolling interests, the timing of foreign inclusions between the Successor and Predecessor periods, and the tax benefit on the foreign-derived intangible income deduction. The adjusted benefit from income taxes excludes the tax impacts from the items affecting comparability detailed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40"/>
          </w:cols>
          <w:pgMar w:left="320" w:top="587" w:right="739" w:bottom="1440" w:gutter="0" w:footer="0" w:header="0"/>
        </w:sectPr>
      </w:pPr>
    </w:p>
    <w:bookmarkStart w:id="52" w:name="page53"/>
    <w:bookmarkEnd w:id="52"/>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127000</wp:posOffset>
            </wp:positionV>
            <wp:extent cx="625348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53480" cy="16510"/>
                    </a:xfrm>
                    <a:prstGeom prst="rect">
                      <a:avLst/>
                    </a:prstGeom>
                    <a:noFill/>
                  </pic:spPr>
                </pic:pic>
              </a:graphicData>
            </a:graphic>
          </wp:anchor>
        </w:drawing>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34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3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60" w:type="dxa"/>
            <w:vAlign w:val="bottom"/>
            <w:gridSpan w:val="4"/>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Three Months Ended September 30, 2024</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34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Earnings (Loss)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340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from</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340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340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60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152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3400" w:type="dxa"/>
            <w:vAlign w:val="bottom"/>
          </w:tcPr>
          <w:p>
            <w:pPr>
              <w:spacing w:after="0"/>
              <w:rPr>
                <w:sz w:val="19"/>
                <w:szCs w:val="19"/>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60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580" w:type="dxa"/>
            <w:vAlign w:val="bottom"/>
          </w:tcPr>
          <w:p>
            <w:pPr>
              <w:spacing w:after="0"/>
              <w:rPr>
                <w:sz w:val="19"/>
                <w:szCs w:val="19"/>
                <w:color w:val="auto"/>
              </w:rPr>
            </w:pPr>
          </w:p>
        </w:tc>
        <w:tc>
          <w:tcPr>
            <w:tcW w:w="1180" w:type="dxa"/>
            <w:vAlign w:val="bottom"/>
          </w:tcPr>
          <w:p>
            <w:pPr>
              <w:jc w:val="center"/>
              <w:ind w:right="473"/>
              <w:spacing w:after="0"/>
              <w:rPr>
                <w:sz w:val="20"/>
                <w:szCs w:val="20"/>
                <w:color w:val="auto"/>
              </w:rPr>
            </w:pPr>
            <w:r>
              <w:rPr>
                <w:rFonts w:ascii="Times New Roman" w:cs="Times New Roman" w:eastAsia="Times New Roman" w:hAnsi="Times New Roman"/>
                <w:sz w:val="17"/>
                <w:szCs w:val="17"/>
                <w:b w:val="1"/>
                <w:bCs w:val="1"/>
                <w:color w:val="auto"/>
              </w:rPr>
              <w:t>Parent</w:t>
            </w:r>
          </w:p>
        </w:tc>
        <w:tc>
          <w:tcPr>
            <w:tcW w:w="360" w:type="dxa"/>
            <w:vAlign w:val="bottom"/>
          </w:tcPr>
          <w:p>
            <w:pPr>
              <w:spacing w:after="0"/>
              <w:rPr>
                <w:sz w:val="19"/>
                <w:szCs w:val="19"/>
                <w:color w:val="auto"/>
              </w:rPr>
            </w:pP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3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Reported (GAAP)</w:t>
            </w:r>
          </w:p>
        </w:tc>
        <w:tc>
          <w:tcPr>
            <w:tcW w:w="6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120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22"/>
                <w:szCs w:val="22"/>
                <w:color w:val="auto"/>
                <w:vertAlign w:val="superscript"/>
              </w:rPr>
              <w:t>(d)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(4)</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(.01)</w:t>
            </w: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7"/>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(a)</w:t>
            </w:r>
          </w:p>
        </w:tc>
        <w:tc>
          <w:tcPr>
            <w:tcW w:w="680" w:type="dxa"/>
            <w:vAlign w:val="bottom"/>
          </w:tcPr>
          <w:p>
            <w:pPr>
              <w:spacing w:after="0"/>
              <w:rPr>
                <w:sz w:val="24"/>
                <w:szCs w:val="24"/>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104</w:t>
            </w:r>
          </w:p>
        </w:tc>
        <w:tc>
          <w:tcPr>
            <w:tcW w:w="660" w:type="dxa"/>
            <w:vAlign w:val="bottom"/>
          </w:tcPr>
          <w:p>
            <w:pPr>
              <w:spacing w:after="0"/>
              <w:rPr>
                <w:sz w:val="24"/>
                <w:szCs w:val="24"/>
                <w:color w:val="auto"/>
              </w:rPr>
            </w:pP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(26)</w:t>
            </w:r>
          </w:p>
        </w:tc>
        <w:tc>
          <w:tcPr>
            <w:tcW w:w="580" w:type="dxa"/>
            <w:vAlign w:val="bottom"/>
          </w:tcPr>
          <w:p>
            <w:pPr>
              <w:spacing w:after="0"/>
              <w:rPr>
                <w:sz w:val="24"/>
                <w:szCs w:val="24"/>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78</w:t>
            </w:r>
          </w:p>
        </w:tc>
        <w:tc>
          <w:tcPr>
            <w:tcW w:w="360" w:type="dxa"/>
            <w:vAlign w:val="bottom"/>
          </w:tcPr>
          <w:p>
            <w:pPr>
              <w:spacing w:after="0"/>
              <w:rPr>
                <w:sz w:val="24"/>
                <w:szCs w:val="24"/>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.12</w:t>
            </w:r>
          </w:p>
        </w:tc>
      </w:tr>
      <w:tr>
        <w:trPr>
          <w:trHeight w:val="262"/>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(b)</w:t>
            </w:r>
          </w:p>
        </w:tc>
        <w:tc>
          <w:tcPr>
            <w:tcW w:w="680" w:type="dxa"/>
            <w:vAlign w:val="bottom"/>
          </w:tcPr>
          <w:p>
            <w:pPr>
              <w:spacing w:after="0"/>
              <w:rPr>
                <w:sz w:val="22"/>
                <w:szCs w:val="22"/>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288</w:t>
            </w:r>
          </w:p>
        </w:tc>
        <w:tc>
          <w:tcPr>
            <w:tcW w:w="660" w:type="dxa"/>
            <w:vAlign w:val="bottom"/>
          </w:tcPr>
          <w:p>
            <w:pPr>
              <w:spacing w:after="0"/>
              <w:rPr>
                <w:sz w:val="22"/>
                <w:szCs w:val="22"/>
                <w:color w:val="auto"/>
              </w:rPr>
            </w:pP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(66)</w:t>
            </w:r>
          </w:p>
        </w:tc>
        <w:tc>
          <w:tcPr>
            <w:tcW w:w="580" w:type="dxa"/>
            <w:vAlign w:val="bottom"/>
          </w:tcPr>
          <w:p>
            <w:pPr>
              <w:spacing w:after="0"/>
              <w:rPr>
                <w:sz w:val="22"/>
                <w:szCs w:val="22"/>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222</w:t>
            </w:r>
          </w:p>
        </w:tc>
        <w:tc>
          <w:tcPr>
            <w:tcW w:w="360" w:type="dxa"/>
            <w:vAlign w:val="bottom"/>
          </w:tcPr>
          <w:p>
            <w:pPr>
              <w:spacing w:after="0"/>
              <w:rPr>
                <w:sz w:val="22"/>
                <w:szCs w:val="2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.33</w:t>
            </w:r>
          </w:p>
        </w:tc>
      </w:tr>
      <w:tr>
        <w:trPr>
          <w:trHeight w:val="262"/>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Transaction-related costs </w:t>
            </w:r>
            <w:r>
              <w:rPr>
                <w:rFonts w:ascii="Times New Roman" w:cs="Times New Roman" w:eastAsia="Times New Roman" w:hAnsi="Times New Roman"/>
                <w:sz w:val="22"/>
                <w:szCs w:val="22"/>
                <w:color w:val="auto"/>
                <w:vertAlign w:val="superscript"/>
              </w:rPr>
              <w:t>(c)</w:t>
            </w:r>
          </w:p>
        </w:tc>
        <w:tc>
          <w:tcPr>
            <w:tcW w:w="680" w:type="dxa"/>
            <w:vAlign w:val="bottom"/>
          </w:tcPr>
          <w:p>
            <w:pPr>
              <w:spacing w:after="0"/>
              <w:rPr>
                <w:sz w:val="22"/>
                <w:szCs w:val="22"/>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33</w:t>
            </w:r>
          </w:p>
        </w:tc>
        <w:tc>
          <w:tcPr>
            <w:tcW w:w="660" w:type="dxa"/>
            <w:vAlign w:val="bottom"/>
          </w:tcPr>
          <w:p>
            <w:pPr>
              <w:spacing w:after="0"/>
              <w:rPr>
                <w:sz w:val="22"/>
                <w:szCs w:val="22"/>
                <w:color w:val="auto"/>
              </w:rPr>
            </w:pPr>
          </w:p>
        </w:tc>
        <w:tc>
          <w:tcPr>
            <w:tcW w:w="9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2"/>
                <w:szCs w:val="22"/>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33</w:t>
            </w:r>
          </w:p>
        </w:tc>
        <w:tc>
          <w:tcPr>
            <w:tcW w:w="360" w:type="dxa"/>
            <w:vAlign w:val="bottom"/>
          </w:tcPr>
          <w:p>
            <w:pPr>
              <w:spacing w:after="0"/>
              <w:rPr>
                <w:sz w:val="22"/>
                <w:szCs w:val="2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.05</w:t>
            </w:r>
          </w:p>
        </w:tc>
      </w:tr>
      <w:tr>
        <w:trPr>
          <w:trHeight w:val="228"/>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Discrete tax items</w:t>
            </w:r>
          </w:p>
        </w:tc>
        <w:tc>
          <w:tcPr>
            <w:tcW w:w="680" w:type="dxa"/>
            <w:vAlign w:val="bottom"/>
          </w:tcPr>
          <w:p>
            <w:pPr>
              <w:spacing w:after="0"/>
              <w:rPr>
                <w:sz w:val="19"/>
                <w:szCs w:val="19"/>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9"/>
                <w:szCs w:val="19"/>
                <w:color w:val="auto"/>
              </w:rPr>
            </w:pP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w:t>
            </w:r>
          </w:p>
        </w:tc>
        <w:tc>
          <w:tcPr>
            <w:tcW w:w="580" w:type="dxa"/>
            <w:vAlign w:val="bottom"/>
          </w:tcPr>
          <w:p>
            <w:pPr>
              <w:spacing w:after="0"/>
              <w:rPr>
                <w:sz w:val="19"/>
                <w:szCs w:val="19"/>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w:t>
            </w:r>
          </w:p>
        </w:tc>
        <w:tc>
          <w:tcPr>
            <w:tcW w:w="360" w:type="dxa"/>
            <w:vAlign w:val="bottom"/>
          </w:tcPr>
          <w:p>
            <w:pPr>
              <w:spacing w:after="0"/>
              <w:rPr>
                <w:sz w:val="19"/>
                <w:szCs w:val="19"/>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3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2"/>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(Non-GAAP)</w:t>
            </w:r>
          </w:p>
        </w:tc>
        <w:tc>
          <w:tcPr>
            <w:tcW w:w="6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545</w:t>
            </w:r>
          </w:p>
        </w:tc>
        <w:tc>
          <w:tcPr>
            <w:tcW w:w="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 xml:space="preserve">(139) </w:t>
            </w:r>
            <w:r>
              <w:rPr>
                <w:rFonts w:ascii="Times New Roman" w:cs="Times New Roman" w:eastAsia="Times New Roman" w:hAnsi="Times New Roman"/>
                <w:sz w:val="22"/>
                <w:szCs w:val="22"/>
                <w:color w:val="auto"/>
                <w:vertAlign w:val="superscript"/>
              </w:rPr>
              <w:t>(d)</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327</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.49</w:t>
            </w:r>
          </w:p>
        </w:tc>
      </w:tr>
    </w:tbl>
    <w:p>
      <w:pPr>
        <w:spacing w:after="0" w:line="130" w:lineRule="exact"/>
        <w:rPr>
          <w:sz w:val="20"/>
          <w:szCs w:val="20"/>
          <w:color w:val="auto"/>
        </w:rPr>
      </w:pPr>
    </w:p>
    <w:p>
      <w:pPr>
        <w:ind w:left="620" w:hanging="222"/>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certain markets to their estimated fair values.</w:t>
      </w:r>
    </w:p>
    <w:p>
      <w:pPr>
        <w:spacing w:after="0" w:line="63" w:lineRule="exact"/>
        <w:rPr>
          <w:rFonts w:ascii="Times New Roman" w:cs="Times New Roman" w:eastAsia="Times New Roman" w:hAnsi="Times New Roman"/>
          <w:sz w:val="16"/>
          <w:szCs w:val="16"/>
          <w:color w:val="auto"/>
        </w:rPr>
      </w:pPr>
    </w:p>
    <w:p>
      <w:pPr>
        <w:ind w:left="620" w:hanging="222"/>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severance charges, as further described under </w:t>
      </w:r>
      <w:r>
        <w:rPr>
          <w:rFonts w:ascii="Times New Roman" w:cs="Times New Roman" w:eastAsia="Times New Roman" w:hAnsi="Times New Roman"/>
          <w:sz w:val="16"/>
          <w:szCs w:val="16"/>
          <w:i w:val="1"/>
          <w:iCs w:val="1"/>
          <w:color w:val="auto"/>
        </w:rPr>
        <w:t>Restructuring and Transaction-Related Items</w:t>
      </w:r>
      <w:r>
        <w:rPr>
          <w:rFonts w:ascii="Times New Roman" w:cs="Times New Roman" w:eastAsia="Times New Roman" w:hAnsi="Times New Roman"/>
          <w:sz w:val="16"/>
          <w:szCs w:val="16"/>
          <w:color w:val="auto"/>
        </w:rPr>
        <w:t>.</w:t>
      </w:r>
    </w:p>
    <w:p>
      <w:pPr>
        <w:spacing w:after="0" w:line="54" w:lineRule="exact"/>
        <w:rPr>
          <w:rFonts w:ascii="Times New Roman" w:cs="Times New Roman" w:eastAsia="Times New Roman" w:hAnsi="Times New Roman"/>
          <w:sz w:val="16"/>
          <w:szCs w:val="16"/>
          <w:color w:val="auto"/>
        </w:rPr>
      </w:pPr>
    </w:p>
    <w:p>
      <w:pPr>
        <w:ind w:left="620" w:hanging="222"/>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legal and advisory fees relating to the Transactions.</w:t>
      </w:r>
    </w:p>
    <w:p>
      <w:pPr>
        <w:spacing w:after="0" w:line="52" w:lineRule="exact"/>
        <w:rPr>
          <w:rFonts w:ascii="Times New Roman" w:cs="Times New Roman" w:eastAsia="Times New Roman" w:hAnsi="Times New Roman"/>
          <w:sz w:val="16"/>
          <w:szCs w:val="16"/>
          <w:color w:val="auto"/>
        </w:rPr>
      </w:pPr>
    </w:p>
    <w:p>
      <w:pPr>
        <w:jc w:val="both"/>
        <w:ind w:left="640" w:hanging="242"/>
        <w:spacing w:after="0" w:line="262" w:lineRule="auto"/>
        <w:tabs>
          <w:tab w:leader="none" w:pos="62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three months ended September 30, 2024 was 37.5% and the adjusted effective income tax rate, which is calculated as the adjusted provision for income taxes of $139 million divided by adjusted earnings from continuing operations before income taxes of $545 million, was 25.5%. These adjusted measures exclude the items affecting comparability detailed above.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320" w:top="587" w:right="679" w:bottom="1440" w:gutter="0" w:footer="0" w:header="0"/>
        </w:sectPr>
      </w:pPr>
    </w:p>
    <w:bookmarkStart w:id="53" w:name="page54"/>
    <w:bookmarkEnd w:id="53"/>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127000</wp:posOffset>
            </wp:positionV>
            <wp:extent cx="662813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3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Period From August 7 - September 30, 2025</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Earnings (Loss)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from</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1380" w:type="dxa"/>
            <w:vAlign w:val="bottom"/>
            <w:gridSpan w:val="2"/>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3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364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700" w:type="dxa"/>
            <w:vAlign w:val="bottom"/>
            <w:gridSpan w:val="3"/>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380" w:type="dxa"/>
            <w:vAlign w:val="bottom"/>
          </w:tcPr>
          <w:p>
            <w:pPr>
              <w:spacing w:after="0"/>
              <w:rPr>
                <w:sz w:val="18"/>
                <w:szCs w:val="18"/>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3640" w:type="dxa"/>
            <w:vAlign w:val="bottom"/>
          </w:tcPr>
          <w:p>
            <w:pPr>
              <w:spacing w:after="0"/>
              <w:rPr>
                <w:sz w:val="19"/>
                <w:szCs w:val="19"/>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600" w:type="dxa"/>
            <w:vAlign w:val="bottom"/>
          </w:tcPr>
          <w:p>
            <w:pPr>
              <w:spacing w:after="0"/>
              <w:rPr>
                <w:sz w:val="19"/>
                <w:szCs w:val="19"/>
                <w:color w:val="auto"/>
              </w:rPr>
            </w:pPr>
          </w:p>
        </w:tc>
        <w:tc>
          <w:tcPr>
            <w:tcW w:w="1240" w:type="dxa"/>
            <w:vAlign w:val="bottom"/>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Parent</w:t>
            </w:r>
          </w:p>
        </w:tc>
        <w:tc>
          <w:tcPr>
            <w:tcW w:w="380" w:type="dxa"/>
            <w:vAlign w:val="bottom"/>
          </w:tcPr>
          <w:p>
            <w:pPr>
              <w:spacing w:after="0"/>
              <w:rPr>
                <w:sz w:val="19"/>
                <w:szCs w:val="19"/>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3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Reported (GAAP)</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122</w:t>
            </w:r>
          </w:p>
        </w:tc>
        <w:tc>
          <w:tcPr>
            <w:tcW w:w="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20" w:type="dxa"/>
            <w:vAlign w:val="bottom"/>
          </w:tcPr>
          <w:p>
            <w:pPr>
              <w:spacing w:after="0"/>
              <w:rPr>
                <w:sz w:val="20"/>
                <w:szCs w:val="20"/>
                <w:color w:val="auto"/>
              </w:rPr>
            </w:pPr>
            <w:r>
              <w:rPr>
                <w:rFonts w:ascii="Times New Roman" w:cs="Times New Roman" w:eastAsia="Times New Roman" w:hAnsi="Times New Roman"/>
                <w:sz w:val="11"/>
                <w:szCs w:val="11"/>
                <w:color w:val="auto"/>
              </w:rPr>
              <w:t>(e)</w:t>
            </w:r>
          </w:p>
        </w:tc>
        <w:tc>
          <w:tcPr>
            <w:tcW w:w="600" w:type="dxa"/>
            <w:vAlign w:val="bottom"/>
          </w:tcPr>
          <w:p>
            <w:pPr>
              <w:spacing w:after="0"/>
              <w:rPr>
                <w:sz w:val="19"/>
                <w:szCs w:val="19"/>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(13)</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(.01)</w:t>
            </w:r>
          </w:p>
        </w:tc>
      </w:tr>
      <w:tr>
        <w:trPr>
          <w:trHeight w:val="262"/>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97"/>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(a)</w:t>
            </w:r>
          </w:p>
        </w:tc>
        <w:tc>
          <w:tcPr>
            <w:tcW w:w="660" w:type="dxa"/>
            <w:vAlign w:val="bottom"/>
          </w:tcPr>
          <w:p>
            <w:pPr>
              <w:spacing w:after="0"/>
              <w:rPr>
                <w:sz w:val="24"/>
                <w:szCs w:val="24"/>
                <w:color w:val="auto"/>
              </w:rPr>
            </w:pP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185</w:t>
            </w: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155</w:t>
            </w:r>
          </w:p>
        </w:tc>
        <w:tc>
          <w:tcPr>
            <w:tcW w:w="380" w:type="dxa"/>
            <w:vAlign w:val="bottom"/>
          </w:tcPr>
          <w:p>
            <w:pPr>
              <w:spacing w:after="0"/>
              <w:rPr>
                <w:sz w:val="24"/>
                <w:szCs w:val="24"/>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.13</w:t>
            </w:r>
          </w:p>
        </w:tc>
      </w:tr>
      <w:tr>
        <w:trPr>
          <w:trHeight w:val="228"/>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Discrete tax items</w:t>
            </w:r>
          </w:p>
        </w:tc>
        <w:tc>
          <w:tcPr>
            <w:tcW w:w="660" w:type="dxa"/>
            <w:vAlign w:val="bottom"/>
          </w:tcPr>
          <w:p>
            <w:pPr>
              <w:spacing w:after="0"/>
              <w:rPr>
                <w:sz w:val="19"/>
                <w:szCs w:val="19"/>
                <w:color w:val="auto"/>
              </w:rPr>
            </w:pP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(4)</w:t>
            </w:r>
          </w:p>
        </w:tc>
        <w:tc>
          <w:tcPr>
            <w:tcW w:w="380" w:type="dxa"/>
            <w:vAlign w:val="bottom"/>
          </w:tcPr>
          <w:p>
            <w:pPr>
              <w:spacing w:after="0"/>
              <w:rPr>
                <w:sz w:val="19"/>
                <w:szCs w:val="19"/>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3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Adjusted (Non-GAAP)</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307</w:t>
            </w:r>
          </w:p>
        </w:tc>
        <w:tc>
          <w:tcPr>
            <w:tcW w:w="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320" w:type="dxa"/>
            <w:vAlign w:val="bottom"/>
          </w:tcPr>
          <w:p>
            <w:pPr>
              <w:spacing w:after="0"/>
              <w:rPr>
                <w:sz w:val="20"/>
                <w:szCs w:val="20"/>
                <w:color w:val="auto"/>
              </w:rPr>
            </w:pPr>
            <w:r>
              <w:rPr>
                <w:rFonts w:ascii="Times New Roman" w:cs="Times New Roman" w:eastAsia="Times New Roman" w:hAnsi="Times New Roman"/>
                <w:sz w:val="11"/>
                <w:szCs w:val="11"/>
                <w:color w:val="auto"/>
              </w:rPr>
              <w:t>(e)</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138</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.12</w:t>
            </w:r>
          </w:p>
        </w:tc>
      </w:tr>
      <w:tr>
        <w:trPr>
          <w:trHeight w:val="33"/>
        </w:trPr>
        <w:tc>
          <w:tcPr>
            <w:tcW w:w="3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36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36"/>
        </w:trPr>
        <w:tc>
          <w:tcPr>
            <w:tcW w:w="3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80" w:type="dxa"/>
            <w:vAlign w:val="bottom"/>
            <w:gridSpan w:val="3"/>
          </w:tcPr>
          <w:p>
            <w:pPr>
              <w:jc w:val="center"/>
              <w:ind w:left="395"/>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3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Period From January 1 - August 6, 2025</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Earnings (Loss)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from</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1380" w:type="dxa"/>
            <w:vAlign w:val="bottom"/>
            <w:gridSpan w:val="2"/>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3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364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700" w:type="dxa"/>
            <w:vAlign w:val="bottom"/>
            <w:gridSpan w:val="3"/>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380" w:type="dxa"/>
            <w:vAlign w:val="bottom"/>
          </w:tcPr>
          <w:p>
            <w:pPr>
              <w:spacing w:after="0"/>
              <w:rPr>
                <w:sz w:val="18"/>
                <w:szCs w:val="18"/>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3640" w:type="dxa"/>
            <w:vAlign w:val="bottom"/>
          </w:tcPr>
          <w:p>
            <w:pPr>
              <w:spacing w:after="0"/>
              <w:rPr>
                <w:sz w:val="19"/>
                <w:szCs w:val="19"/>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600" w:type="dxa"/>
            <w:vAlign w:val="bottom"/>
          </w:tcPr>
          <w:p>
            <w:pPr>
              <w:spacing w:after="0"/>
              <w:rPr>
                <w:sz w:val="19"/>
                <w:szCs w:val="19"/>
                <w:color w:val="auto"/>
              </w:rPr>
            </w:pPr>
          </w:p>
        </w:tc>
        <w:tc>
          <w:tcPr>
            <w:tcW w:w="1240" w:type="dxa"/>
            <w:vAlign w:val="bottom"/>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Parent</w:t>
            </w:r>
          </w:p>
        </w:tc>
        <w:tc>
          <w:tcPr>
            <w:tcW w:w="380" w:type="dxa"/>
            <w:vAlign w:val="bottom"/>
          </w:tcPr>
          <w:p>
            <w:pPr>
              <w:spacing w:after="0"/>
              <w:rPr>
                <w:sz w:val="19"/>
                <w:szCs w:val="19"/>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3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Reported (GAAP)</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504</w:t>
            </w:r>
          </w:p>
        </w:tc>
        <w:tc>
          <w:tcPr>
            <w:tcW w:w="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400"/>
              <w:spacing w:after="0" w:line="264" w:lineRule="exact"/>
              <w:rPr>
                <w:sz w:val="20"/>
                <w:szCs w:val="20"/>
                <w:color w:val="auto"/>
              </w:rPr>
            </w:pPr>
            <w:r>
              <w:rPr>
                <w:rFonts w:ascii="Times New Roman" w:cs="Times New Roman" w:eastAsia="Times New Roman" w:hAnsi="Times New Roman"/>
                <w:sz w:val="30"/>
                <w:szCs w:val="30"/>
                <w:color w:val="auto"/>
                <w:vertAlign w:val="subscript"/>
              </w:rPr>
              <w:t>79</w:t>
            </w:r>
            <w:r>
              <w:rPr>
                <w:rFonts w:ascii="Times New Roman" w:cs="Times New Roman" w:eastAsia="Times New Roman" w:hAnsi="Times New Roman"/>
                <w:sz w:val="11"/>
                <w:szCs w:val="11"/>
                <w:color w:val="auto"/>
              </w:rPr>
              <w:t xml:space="preserve"> (f)</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(35)</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(.05)</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4"/>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(b)</w:t>
            </w:r>
          </w:p>
        </w:tc>
        <w:tc>
          <w:tcPr>
            <w:tcW w:w="660" w:type="dxa"/>
            <w:vAlign w:val="bottom"/>
          </w:tcPr>
          <w:p>
            <w:pPr>
              <w:spacing w:after="0"/>
              <w:rPr>
                <w:sz w:val="24"/>
                <w:szCs w:val="24"/>
                <w:color w:val="auto"/>
              </w:rPr>
            </w:pP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157</w:t>
            </w: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118</w:t>
            </w:r>
          </w:p>
        </w:tc>
        <w:tc>
          <w:tcPr>
            <w:tcW w:w="380" w:type="dxa"/>
            <w:vAlign w:val="bottom"/>
          </w:tcPr>
          <w:p>
            <w:pPr>
              <w:spacing w:after="0"/>
              <w:rPr>
                <w:sz w:val="24"/>
                <w:szCs w:val="24"/>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.17</w:t>
            </w:r>
          </w:p>
        </w:tc>
      </w:tr>
      <w:tr>
        <w:trPr>
          <w:trHeight w:val="262"/>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(a)</w:t>
            </w:r>
          </w:p>
        </w:tc>
        <w:tc>
          <w:tcPr>
            <w:tcW w:w="660" w:type="dxa"/>
            <w:vAlign w:val="bottom"/>
          </w:tcPr>
          <w:p>
            <w:pPr>
              <w:spacing w:after="0"/>
              <w:rPr>
                <w:sz w:val="22"/>
                <w:szCs w:val="22"/>
                <w:color w:val="auto"/>
              </w:rPr>
            </w:pP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255</w:t>
            </w:r>
          </w:p>
        </w:tc>
        <w:tc>
          <w:tcPr>
            <w:tcW w:w="7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194</w:t>
            </w:r>
          </w:p>
        </w:tc>
        <w:tc>
          <w:tcPr>
            <w:tcW w:w="380" w:type="dxa"/>
            <w:vAlign w:val="bottom"/>
          </w:tcPr>
          <w:p>
            <w:pPr>
              <w:spacing w:after="0"/>
              <w:rPr>
                <w:sz w:val="22"/>
                <w:szCs w:val="22"/>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.29</w:t>
            </w:r>
          </w:p>
        </w:tc>
      </w:tr>
      <w:tr>
        <w:trPr>
          <w:trHeight w:val="262"/>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(c)</w:t>
            </w:r>
          </w:p>
        </w:tc>
        <w:tc>
          <w:tcPr>
            <w:tcW w:w="660" w:type="dxa"/>
            <w:vAlign w:val="bottom"/>
          </w:tcPr>
          <w:p>
            <w:pPr>
              <w:spacing w:after="0"/>
              <w:rPr>
                <w:sz w:val="22"/>
                <w:szCs w:val="22"/>
                <w:color w:val="auto"/>
              </w:rPr>
            </w:pP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199</w:t>
            </w:r>
          </w:p>
        </w:tc>
        <w:tc>
          <w:tcPr>
            <w:tcW w:w="7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168</w:t>
            </w:r>
          </w:p>
        </w:tc>
        <w:tc>
          <w:tcPr>
            <w:tcW w:w="380" w:type="dxa"/>
            <w:vAlign w:val="bottom"/>
          </w:tcPr>
          <w:p>
            <w:pPr>
              <w:spacing w:after="0"/>
              <w:rPr>
                <w:sz w:val="22"/>
                <w:szCs w:val="22"/>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.25</w:t>
            </w:r>
          </w:p>
        </w:tc>
      </w:tr>
      <w:tr>
        <w:trPr>
          <w:trHeight w:val="265"/>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Gain on dispositions </w:t>
            </w:r>
            <w:r>
              <w:rPr>
                <w:rFonts w:ascii="Times New Roman" w:cs="Times New Roman" w:eastAsia="Times New Roman" w:hAnsi="Times New Roman"/>
                <w:sz w:val="22"/>
                <w:szCs w:val="22"/>
                <w:color w:val="auto"/>
                <w:vertAlign w:val="superscript"/>
              </w:rPr>
              <w:t>(d)</w:t>
            </w:r>
          </w:p>
        </w:tc>
        <w:tc>
          <w:tcPr>
            <w:tcW w:w="660" w:type="dxa"/>
            <w:vAlign w:val="bottom"/>
          </w:tcPr>
          <w:p>
            <w:pPr>
              <w:spacing w:after="0"/>
              <w:rPr>
                <w:sz w:val="23"/>
                <w:szCs w:val="23"/>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(35)</w:t>
            </w:r>
          </w:p>
        </w:tc>
        <w:tc>
          <w:tcPr>
            <w:tcW w:w="7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(33)</w:t>
            </w:r>
          </w:p>
        </w:tc>
        <w:tc>
          <w:tcPr>
            <w:tcW w:w="380" w:type="dxa"/>
            <w:vAlign w:val="bottom"/>
          </w:tcPr>
          <w:p>
            <w:pPr>
              <w:spacing w:after="0"/>
              <w:rPr>
                <w:sz w:val="23"/>
                <w:szCs w:val="23"/>
                <w:color w:val="auto"/>
              </w:rPr>
            </w:pP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(.05)</w:t>
            </w:r>
          </w:p>
        </w:tc>
      </w:tr>
      <w:tr>
        <w:trPr>
          <w:trHeight w:val="228"/>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Discrete tax items</w:t>
            </w:r>
          </w:p>
        </w:tc>
        <w:tc>
          <w:tcPr>
            <w:tcW w:w="660" w:type="dxa"/>
            <w:vAlign w:val="bottom"/>
          </w:tcPr>
          <w:p>
            <w:pPr>
              <w:spacing w:after="0"/>
              <w:rPr>
                <w:sz w:val="19"/>
                <w:szCs w:val="19"/>
                <w:color w:val="auto"/>
              </w:rPr>
            </w:pP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(64)</w:t>
            </w:r>
          </w:p>
        </w:tc>
        <w:tc>
          <w:tcPr>
            <w:tcW w:w="380" w:type="dxa"/>
            <w:vAlign w:val="bottom"/>
          </w:tcPr>
          <w:p>
            <w:pPr>
              <w:spacing w:after="0"/>
              <w:rPr>
                <w:sz w:val="19"/>
                <w:szCs w:val="19"/>
                <w:color w:val="auto"/>
              </w:rPr>
            </w:pP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w:t>
            </w:r>
          </w:p>
        </w:tc>
      </w:tr>
      <w:tr>
        <w:trPr>
          <w:trHeight w:val="27"/>
        </w:trPr>
        <w:tc>
          <w:tcPr>
            <w:tcW w:w="3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Adjusted (Non-GAAP)</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1,080</w:t>
            </w:r>
          </w:p>
        </w:tc>
        <w:tc>
          <w:tcPr>
            <w:tcW w:w="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320" w:type="dxa"/>
            <w:vAlign w:val="bottom"/>
          </w:tcPr>
          <w:p>
            <w:pPr>
              <w:spacing w:after="0"/>
              <w:rPr>
                <w:sz w:val="20"/>
                <w:szCs w:val="20"/>
                <w:color w:val="auto"/>
              </w:rPr>
            </w:pPr>
            <w:r>
              <w:rPr>
                <w:rFonts w:ascii="Times New Roman" w:cs="Times New Roman" w:eastAsia="Times New Roman" w:hAnsi="Times New Roman"/>
                <w:sz w:val="11"/>
                <w:szCs w:val="11"/>
                <w:color w:val="auto"/>
              </w:rPr>
              <w:t>(f)</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348</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.51</w:t>
            </w:r>
          </w:p>
        </w:tc>
      </w:tr>
      <w:tr>
        <w:trPr>
          <w:trHeight w:val="33"/>
        </w:trPr>
        <w:tc>
          <w:tcPr>
            <w:tcW w:w="3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ind w:left="640" w:right="220" w:hanging="242"/>
        <w:spacing w:after="0" w:line="268" w:lineRule="auto"/>
        <w:tabs>
          <w:tab w:leader="none" w:pos="61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Both periods reflect severance charges and also included in the period from January 1 - August 6, 2025 are charges for the impairment of lease assets, as further described under </w:t>
      </w:r>
      <w:r>
        <w:rPr>
          <w:rFonts w:ascii="Times New Roman" w:cs="Times New Roman" w:eastAsia="Times New Roman" w:hAnsi="Times New Roman"/>
          <w:sz w:val="16"/>
          <w:szCs w:val="16"/>
          <w:i w:val="1"/>
          <w:iCs w:val="1"/>
          <w:color w:val="auto"/>
        </w:rPr>
        <w:t>Restructuring and Transaction-Related Items</w:t>
      </w:r>
      <w:r>
        <w:rPr>
          <w:rFonts w:ascii="Times New Roman" w:cs="Times New Roman" w:eastAsia="Times New Roman" w:hAnsi="Times New Roman"/>
          <w:sz w:val="16"/>
          <w:szCs w:val="16"/>
          <w:color w:val="auto"/>
        </w:rPr>
        <w:t>.</w:t>
      </w:r>
    </w:p>
    <w:p>
      <w:pPr>
        <w:spacing w:after="0" w:line="8" w:lineRule="exact"/>
        <w:rPr>
          <w:rFonts w:ascii="Times New Roman" w:cs="Times New Roman" w:eastAsia="Times New Roman" w:hAnsi="Times New Roman"/>
          <w:sz w:val="16"/>
          <w:szCs w:val="16"/>
          <w:color w:val="auto"/>
        </w:rPr>
      </w:pPr>
    </w:p>
    <w:p>
      <w:pPr>
        <w:ind w:left="620" w:hanging="222"/>
        <w:spacing w:after="0"/>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certain markets to their estimated fair values.</w:t>
      </w:r>
    </w:p>
    <w:p>
      <w:pPr>
        <w:spacing w:after="0" w:line="65" w:lineRule="exact"/>
        <w:rPr>
          <w:rFonts w:ascii="Times New Roman" w:cs="Times New Roman" w:eastAsia="Times New Roman" w:hAnsi="Times New Roman"/>
          <w:sz w:val="16"/>
          <w:szCs w:val="16"/>
          <w:color w:val="auto"/>
        </w:rPr>
      </w:pPr>
    </w:p>
    <w:p>
      <w:pPr>
        <w:ind w:left="640" w:right="120" w:hanging="242"/>
        <w:spacing w:after="0" w:line="268" w:lineRule="auto"/>
        <w:tabs>
          <w:tab w:leader="none" w:pos="61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banking, legal, advisory, and other professional fees relating to the Transactions, and transaction awards that became payable to eligible employees upon closing of the Transactions.</w:t>
      </w:r>
    </w:p>
    <w:p>
      <w:pPr>
        <w:spacing w:after="0" w:line="21" w:lineRule="exact"/>
        <w:rPr>
          <w:rFonts w:ascii="Times New Roman" w:cs="Times New Roman" w:eastAsia="Times New Roman" w:hAnsi="Times New Roman"/>
          <w:sz w:val="16"/>
          <w:szCs w:val="16"/>
          <w:color w:val="auto"/>
        </w:rPr>
      </w:pPr>
    </w:p>
    <w:p>
      <w:pPr>
        <w:ind w:left="620" w:hanging="222"/>
        <w:spacing w:after="0"/>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Principally reflects a gain associated with the disposition of a noncore business.</w:t>
      </w:r>
    </w:p>
    <w:p>
      <w:pPr>
        <w:spacing w:after="0" w:line="52" w:lineRule="exact"/>
        <w:rPr>
          <w:rFonts w:ascii="Times New Roman" w:cs="Times New Roman" w:eastAsia="Times New Roman" w:hAnsi="Times New Roman"/>
          <w:sz w:val="16"/>
          <w:szCs w:val="16"/>
          <w:color w:val="auto"/>
        </w:rPr>
      </w:pPr>
    </w:p>
    <w:p>
      <w:pPr>
        <w:ind w:left="620" w:hanging="222"/>
        <w:spacing w:after="0"/>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table above for a discussion of the reported and adjusted tax rates for the period from August 7 - September 30, 2025.</w:t>
      </w:r>
    </w:p>
    <w:p>
      <w:pPr>
        <w:spacing w:after="0" w:line="52" w:lineRule="exact"/>
        <w:rPr>
          <w:rFonts w:ascii="Times New Roman" w:cs="Times New Roman" w:eastAsia="Times New Roman" w:hAnsi="Times New Roman"/>
          <w:sz w:val="16"/>
          <w:szCs w:val="16"/>
          <w:color w:val="auto"/>
        </w:rPr>
      </w:pPr>
    </w:p>
    <w:p>
      <w:pPr>
        <w:ind w:left="640" w:hanging="242"/>
        <w:spacing w:after="0" w:line="255" w:lineRule="auto"/>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period from January 1 - August 6, 2025 was 15.7%, which primarily reflects the reversal of valuation allowances on deferred tax assets related to interest deduction limitations as a result of recent U.S. tax legislation. The reported effective income tax rate also reflects the tax impact of earnings attributable to noncontrolling interests, the timing of foreign inclusions between the Successor and Predecessor periods, and the tax benefit on the foreign-derived intangible income deduction. The adjusted provision for income taxes of $114 million divided by adjusted earnings from continuing operations before income taxes of $1.08 billion, was 10.6%. These adjusted measures exclude the items affecting comparability detailed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320" w:top="587" w:right="679" w:bottom="1440" w:gutter="0" w:footer="0" w:header="0"/>
        </w:sectPr>
      </w:pPr>
    </w:p>
    <w:bookmarkStart w:id="54" w:name="page55"/>
    <w:bookmarkEnd w:id="54"/>
    <w:p>
      <w:pPr>
        <w:jc w:val="center"/>
        <w:ind w:right="-3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127000</wp:posOffset>
            </wp:positionV>
            <wp:extent cx="625348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53480" cy="16510"/>
                    </a:xfrm>
                    <a:prstGeom prst="rect">
                      <a:avLst/>
                    </a:prstGeom>
                    <a:noFill/>
                  </pic:spPr>
                </pic:pic>
              </a:graphicData>
            </a:graphic>
          </wp:anchor>
        </w:drawing>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34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3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340" w:type="dxa"/>
            <w:vAlign w:val="bottom"/>
            <w:gridSpan w:val="4"/>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Nine Months Ended September 30, 2024</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34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Earnings (Loss)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34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34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34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5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152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3400" w:type="dxa"/>
            <w:vAlign w:val="bottom"/>
          </w:tcPr>
          <w:p>
            <w:pPr>
              <w:spacing w:after="0"/>
              <w:rPr>
                <w:sz w:val="19"/>
                <w:szCs w:val="19"/>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56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600" w:type="dxa"/>
            <w:vAlign w:val="bottom"/>
          </w:tcPr>
          <w:p>
            <w:pPr>
              <w:spacing w:after="0"/>
              <w:rPr>
                <w:sz w:val="19"/>
                <w:szCs w:val="19"/>
                <w:color w:val="auto"/>
              </w:rPr>
            </w:pPr>
          </w:p>
        </w:tc>
        <w:tc>
          <w:tcPr>
            <w:tcW w:w="1180" w:type="dxa"/>
            <w:vAlign w:val="bottom"/>
          </w:tcPr>
          <w:p>
            <w:pPr>
              <w:jc w:val="center"/>
              <w:ind w:right="473"/>
              <w:spacing w:after="0"/>
              <w:rPr>
                <w:sz w:val="20"/>
                <w:szCs w:val="20"/>
                <w:color w:val="auto"/>
              </w:rPr>
            </w:pPr>
            <w:r>
              <w:rPr>
                <w:rFonts w:ascii="Times New Roman" w:cs="Times New Roman" w:eastAsia="Times New Roman" w:hAnsi="Times New Roman"/>
                <w:sz w:val="17"/>
                <w:szCs w:val="17"/>
                <w:b w:val="1"/>
                <w:bCs w:val="1"/>
                <w:color w:val="auto"/>
              </w:rPr>
              <w:t>Parent</w:t>
            </w:r>
          </w:p>
        </w:tc>
        <w:tc>
          <w:tcPr>
            <w:tcW w:w="360" w:type="dxa"/>
            <w:vAlign w:val="bottom"/>
          </w:tcPr>
          <w:p>
            <w:pPr>
              <w:spacing w:after="0"/>
              <w:rPr>
                <w:sz w:val="19"/>
                <w:szCs w:val="19"/>
                <w:color w:val="auto"/>
              </w:rPr>
            </w:pP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3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Reported (GAAP)</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(6,062)</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 xml:space="preserve">342 </w:t>
            </w:r>
            <w:r>
              <w:rPr>
                <w:rFonts w:ascii="Times New Roman" w:cs="Times New Roman" w:eastAsia="Times New Roman" w:hAnsi="Times New Roman"/>
                <w:sz w:val="22"/>
                <w:szCs w:val="22"/>
                <w:color w:val="auto"/>
                <w:vertAlign w:val="superscript"/>
              </w:rPr>
              <w:t>(f)</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(5,980)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 xml:space="preserve">(9.04) </w:t>
            </w:r>
            <w:r>
              <w:rPr>
                <w:rFonts w:ascii="Times New Roman" w:cs="Times New Roman" w:eastAsia="Times New Roman" w:hAnsi="Times New Roman"/>
                <w:sz w:val="22"/>
                <w:szCs w:val="22"/>
                <w:color w:val="auto"/>
                <w:vertAlign w:val="superscript"/>
              </w:rPr>
              <w:t>(g)</w:t>
            </w: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7"/>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Programming charges </w:t>
            </w:r>
            <w:r>
              <w:rPr>
                <w:rFonts w:ascii="Times New Roman" w:cs="Times New Roman" w:eastAsia="Times New Roman" w:hAnsi="Times New Roman"/>
                <w:sz w:val="22"/>
                <w:szCs w:val="22"/>
                <w:color w:val="auto"/>
                <w:vertAlign w:val="superscript"/>
              </w:rPr>
              <w:t>(a)</w:t>
            </w:r>
          </w:p>
        </w:tc>
        <w:tc>
          <w:tcPr>
            <w:tcW w:w="580" w:type="dxa"/>
            <w:vAlign w:val="bottom"/>
          </w:tcPr>
          <w:p>
            <w:pPr>
              <w:spacing w:after="0"/>
              <w:rPr>
                <w:sz w:val="24"/>
                <w:szCs w:val="24"/>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1,118</w:t>
            </w:r>
          </w:p>
        </w:tc>
        <w:tc>
          <w:tcPr>
            <w:tcW w:w="640" w:type="dxa"/>
            <w:vAlign w:val="bottom"/>
          </w:tcPr>
          <w:p>
            <w:pPr>
              <w:spacing w:after="0"/>
              <w:rPr>
                <w:sz w:val="24"/>
                <w:szCs w:val="24"/>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(275)</w:t>
            </w:r>
          </w:p>
        </w:tc>
        <w:tc>
          <w:tcPr>
            <w:tcW w:w="600" w:type="dxa"/>
            <w:vAlign w:val="bottom"/>
          </w:tcPr>
          <w:p>
            <w:pPr>
              <w:spacing w:after="0"/>
              <w:rPr>
                <w:sz w:val="24"/>
                <w:szCs w:val="24"/>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843</w:t>
            </w:r>
          </w:p>
        </w:tc>
        <w:tc>
          <w:tcPr>
            <w:tcW w:w="360" w:type="dxa"/>
            <w:vAlign w:val="bottom"/>
          </w:tcPr>
          <w:p>
            <w:pPr>
              <w:spacing w:after="0"/>
              <w:rPr>
                <w:sz w:val="24"/>
                <w:szCs w:val="24"/>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1.27</w:t>
            </w:r>
          </w:p>
        </w:tc>
      </w:tr>
      <w:tr>
        <w:trPr>
          <w:trHeight w:val="262"/>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(b)</w:t>
            </w:r>
          </w:p>
        </w:tc>
        <w:tc>
          <w:tcPr>
            <w:tcW w:w="580" w:type="dxa"/>
            <w:vAlign w:val="bottom"/>
          </w:tcPr>
          <w:p>
            <w:pPr>
              <w:spacing w:after="0"/>
              <w:rPr>
                <w:sz w:val="22"/>
                <w:szCs w:val="22"/>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6,100</w:t>
            </w:r>
          </w:p>
        </w:tc>
        <w:tc>
          <w:tcPr>
            <w:tcW w:w="640" w:type="dxa"/>
            <w:vAlign w:val="bottom"/>
          </w:tcPr>
          <w:p>
            <w:pPr>
              <w:spacing w:after="0"/>
              <w:rPr>
                <w:sz w:val="22"/>
                <w:szCs w:val="22"/>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(375)</w:t>
            </w:r>
          </w:p>
        </w:tc>
        <w:tc>
          <w:tcPr>
            <w:tcW w:w="600" w:type="dxa"/>
            <w:vAlign w:val="bottom"/>
          </w:tcPr>
          <w:p>
            <w:pPr>
              <w:spacing w:after="0"/>
              <w:rPr>
                <w:sz w:val="22"/>
                <w:szCs w:val="22"/>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5,725</w:t>
            </w:r>
          </w:p>
        </w:tc>
        <w:tc>
          <w:tcPr>
            <w:tcW w:w="360" w:type="dxa"/>
            <w:vAlign w:val="bottom"/>
          </w:tcPr>
          <w:p>
            <w:pPr>
              <w:spacing w:after="0"/>
              <w:rPr>
                <w:sz w:val="22"/>
                <w:szCs w:val="2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8.61</w:t>
            </w:r>
          </w:p>
        </w:tc>
      </w:tr>
      <w:tr>
        <w:trPr>
          <w:trHeight w:val="262"/>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(c)</w:t>
            </w:r>
          </w:p>
        </w:tc>
        <w:tc>
          <w:tcPr>
            <w:tcW w:w="580" w:type="dxa"/>
            <w:vAlign w:val="bottom"/>
          </w:tcPr>
          <w:p>
            <w:pPr>
              <w:spacing w:after="0"/>
              <w:rPr>
                <w:sz w:val="22"/>
                <w:szCs w:val="22"/>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544</w:t>
            </w:r>
          </w:p>
        </w:tc>
        <w:tc>
          <w:tcPr>
            <w:tcW w:w="640" w:type="dxa"/>
            <w:vAlign w:val="bottom"/>
          </w:tcPr>
          <w:p>
            <w:pPr>
              <w:spacing w:after="0"/>
              <w:rPr>
                <w:sz w:val="22"/>
                <w:szCs w:val="22"/>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(118)</w:t>
            </w:r>
          </w:p>
        </w:tc>
        <w:tc>
          <w:tcPr>
            <w:tcW w:w="600" w:type="dxa"/>
            <w:vAlign w:val="bottom"/>
          </w:tcPr>
          <w:p>
            <w:pPr>
              <w:spacing w:after="0"/>
              <w:rPr>
                <w:sz w:val="22"/>
                <w:szCs w:val="22"/>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426</w:t>
            </w:r>
          </w:p>
        </w:tc>
        <w:tc>
          <w:tcPr>
            <w:tcW w:w="360" w:type="dxa"/>
            <w:vAlign w:val="bottom"/>
          </w:tcPr>
          <w:p>
            <w:pPr>
              <w:spacing w:after="0"/>
              <w:rPr>
                <w:sz w:val="22"/>
                <w:szCs w:val="2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.64</w:t>
            </w:r>
          </w:p>
        </w:tc>
      </w:tr>
      <w:tr>
        <w:trPr>
          <w:trHeight w:val="262"/>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(d)</w:t>
            </w:r>
          </w:p>
        </w:tc>
        <w:tc>
          <w:tcPr>
            <w:tcW w:w="580" w:type="dxa"/>
            <w:vAlign w:val="bottom"/>
          </w:tcPr>
          <w:p>
            <w:pPr>
              <w:spacing w:after="0"/>
              <w:rPr>
                <w:sz w:val="22"/>
                <w:szCs w:val="22"/>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51</w:t>
            </w:r>
          </w:p>
        </w:tc>
        <w:tc>
          <w:tcPr>
            <w:tcW w:w="640" w:type="dxa"/>
            <w:vAlign w:val="bottom"/>
          </w:tcPr>
          <w:p>
            <w:pPr>
              <w:spacing w:after="0"/>
              <w:rPr>
                <w:sz w:val="22"/>
                <w:szCs w:val="22"/>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tcPr>
          <w:p>
            <w:pPr>
              <w:spacing w:after="0"/>
              <w:rPr>
                <w:sz w:val="22"/>
                <w:szCs w:val="22"/>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48</w:t>
            </w:r>
          </w:p>
        </w:tc>
        <w:tc>
          <w:tcPr>
            <w:tcW w:w="360" w:type="dxa"/>
            <w:vAlign w:val="bottom"/>
          </w:tcPr>
          <w:p>
            <w:pPr>
              <w:spacing w:after="0"/>
              <w:rPr>
                <w:sz w:val="22"/>
                <w:szCs w:val="2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.07</w:t>
            </w:r>
          </w:p>
        </w:tc>
      </w:tr>
      <w:tr>
        <w:trPr>
          <w:trHeight w:val="228"/>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from investment</w:t>
            </w:r>
          </w:p>
        </w:tc>
        <w:tc>
          <w:tcPr>
            <w:tcW w:w="580" w:type="dxa"/>
            <w:vAlign w:val="bottom"/>
          </w:tcPr>
          <w:p>
            <w:pPr>
              <w:spacing w:after="0"/>
              <w:rPr>
                <w:sz w:val="19"/>
                <w:szCs w:val="19"/>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tcPr>
          <w:p>
            <w:pPr>
              <w:spacing w:after="0"/>
              <w:rPr>
                <w:sz w:val="19"/>
                <w:szCs w:val="19"/>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spacing w:after="0"/>
              <w:rPr>
                <w:sz w:val="19"/>
                <w:szCs w:val="19"/>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Pr>
          <w:p>
            <w:pPr>
              <w:spacing w:after="0"/>
              <w:rPr>
                <w:sz w:val="19"/>
                <w:szCs w:val="19"/>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r>
      <w:tr>
        <w:trPr>
          <w:trHeight w:val="297"/>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Discrete tax items </w:t>
            </w:r>
            <w:r>
              <w:rPr>
                <w:rFonts w:ascii="Times New Roman" w:cs="Times New Roman" w:eastAsia="Times New Roman" w:hAnsi="Times New Roman"/>
                <w:sz w:val="22"/>
                <w:szCs w:val="22"/>
                <w:color w:val="auto"/>
                <w:vertAlign w:val="superscript"/>
              </w:rPr>
              <w:t>(e)</w:t>
            </w:r>
          </w:p>
        </w:tc>
        <w:tc>
          <w:tcPr>
            <w:tcW w:w="580" w:type="dxa"/>
            <w:vAlign w:val="bottom"/>
          </w:tcPr>
          <w:p>
            <w:pPr>
              <w:spacing w:after="0"/>
              <w:rPr>
                <w:sz w:val="24"/>
                <w:szCs w:val="24"/>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24"/>
                <w:szCs w:val="24"/>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47</w:t>
            </w:r>
          </w:p>
        </w:tc>
        <w:tc>
          <w:tcPr>
            <w:tcW w:w="600" w:type="dxa"/>
            <w:vAlign w:val="bottom"/>
          </w:tcPr>
          <w:p>
            <w:pPr>
              <w:spacing w:after="0"/>
              <w:rPr>
                <w:sz w:val="24"/>
                <w:szCs w:val="24"/>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47</w:t>
            </w:r>
          </w:p>
        </w:tc>
        <w:tc>
          <w:tcPr>
            <w:tcW w:w="360" w:type="dxa"/>
            <w:vAlign w:val="bottom"/>
          </w:tcPr>
          <w:p>
            <w:pPr>
              <w:spacing w:after="0"/>
              <w:rPr>
                <w:sz w:val="24"/>
                <w:szCs w:val="24"/>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.07</w:t>
            </w:r>
          </w:p>
        </w:tc>
      </w:tr>
      <w:tr>
        <w:trPr>
          <w:trHeight w:val="228"/>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Impact of antidilution</w:t>
            </w:r>
          </w:p>
        </w:tc>
        <w:tc>
          <w:tcPr>
            <w:tcW w:w="580" w:type="dxa"/>
            <w:vAlign w:val="bottom"/>
          </w:tcPr>
          <w:p>
            <w:pPr>
              <w:spacing w:after="0"/>
              <w:rPr>
                <w:sz w:val="19"/>
                <w:szCs w:val="19"/>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.03</w:t>
            </w:r>
          </w:p>
        </w:tc>
      </w:tr>
      <w:tr>
        <w:trPr>
          <w:trHeight w:val="27"/>
        </w:trPr>
        <w:tc>
          <w:tcPr>
            <w:tcW w:w="3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(Non-GAAP)</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1,755</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 xml:space="preserve">(383) </w:t>
            </w:r>
            <w:r>
              <w:rPr>
                <w:rFonts w:ascii="Times New Roman" w:cs="Times New Roman" w:eastAsia="Times New Roman" w:hAnsi="Times New Roman"/>
                <w:sz w:val="11"/>
                <w:szCs w:val="11"/>
                <w:color w:val="auto"/>
              </w:rPr>
              <w:t>(f)</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1,112</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 xml:space="preserve">1.65 </w:t>
            </w:r>
            <w:r>
              <w:rPr>
                <w:rFonts w:ascii="Times New Roman" w:cs="Times New Roman" w:eastAsia="Times New Roman" w:hAnsi="Times New Roman"/>
                <w:sz w:val="11"/>
                <w:szCs w:val="11"/>
                <w:color w:val="auto"/>
              </w:rPr>
              <w:t>(g)</w:t>
            </w:r>
          </w:p>
        </w:tc>
      </w:tr>
      <w:tr>
        <w:trPr>
          <w:trHeight w:val="33"/>
        </w:trPr>
        <w:tc>
          <w:tcPr>
            <w:tcW w:w="3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28" w:lineRule="exact"/>
        <w:rPr>
          <w:sz w:val="20"/>
          <w:szCs w:val="20"/>
          <w:color w:val="auto"/>
        </w:rPr>
      </w:pPr>
    </w:p>
    <w:p>
      <w:pPr>
        <w:ind w:left="620" w:hanging="222"/>
        <w:spacing w:after="0"/>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programming charges associated with major changes in content strategy, which are further described under </w:t>
      </w:r>
      <w:r>
        <w:rPr>
          <w:rFonts w:ascii="Times New Roman" w:cs="Times New Roman" w:eastAsia="Times New Roman" w:hAnsi="Times New Roman"/>
          <w:sz w:val="16"/>
          <w:szCs w:val="16"/>
          <w:i w:val="1"/>
          <w:iCs w:val="1"/>
          <w:color w:val="auto"/>
        </w:rPr>
        <w:t>Programming Charges</w:t>
      </w:r>
      <w:r>
        <w:rPr>
          <w:rFonts w:ascii="Times New Roman" w:cs="Times New Roman" w:eastAsia="Times New Roman" w:hAnsi="Times New Roman"/>
          <w:sz w:val="16"/>
          <w:szCs w:val="16"/>
          <w:color w:val="auto"/>
        </w:rPr>
        <w:t>.</w:t>
      </w:r>
    </w:p>
    <w:p>
      <w:pPr>
        <w:spacing w:after="0" w:line="80" w:lineRule="exact"/>
        <w:rPr>
          <w:rFonts w:ascii="Times New Roman" w:cs="Times New Roman" w:eastAsia="Times New Roman" w:hAnsi="Times New Roman"/>
          <w:sz w:val="16"/>
          <w:szCs w:val="16"/>
          <w:color w:val="auto"/>
        </w:rPr>
      </w:pPr>
    </w:p>
    <w:p>
      <w:pPr>
        <w:ind w:left="640" w:right="420" w:hanging="242"/>
        <w:spacing w:after="0" w:line="268" w:lineRule="auto"/>
        <w:tabs>
          <w:tab w:leader="none" w:pos="62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goodwill impairment charge for our Cable Networks reporting unit of $5.98 billion, as well as charges totaling $119 million to reduce the carrying values of FCC licenses to their estimated fair values.</w:t>
      </w:r>
    </w:p>
    <w:p>
      <w:pPr>
        <w:spacing w:after="0" w:line="19" w:lineRule="exact"/>
        <w:rPr>
          <w:rFonts w:ascii="Times New Roman" w:cs="Times New Roman" w:eastAsia="Times New Roman" w:hAnsi="Times New Roman"/>
          <w:sz w:val="16"/>
          <w:szCs w:val="16"/>
          <w:color w:val="auto"/>
        </w:rPr>
      </w:pPr>
    </w:p>
    <w:p>
      <w:pPr>
        <w:ind w:left="640" w:right="120" w:hanging="242"/>
        <w:spacing w:after="0" w:line="271" w:lineRule="auto"/>
        <w:tabs>
          <w:tab w:leader="none" w:pos="61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severance costs associated with strategic changes in our global workforce and the impairment of lease assets, as further described under </w:t>
      </w:r>
      <w:r>
        <w:rPr>
          <w:rFonts w:ascii="Times New Roman" w:cs="Times New Roman" w:eastAsia="Times New Roman" w:hAnsi="Times New Roman"/>
          <w:sz w:val="16"/>
          <w:szCs w:val="16"/>
          <w:i w:val="1"/>
          <w:iCs w:val="1"/>
          <w:color w:val="auto"/>
        </w:rPr>
        <w:t>Restructuring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Transaction-Related Items</w:t>
      </w:r>
      <w:r>
        <w:rPr>
          <w:rFonts w:ascii="Times New Roman" w:cs="Times New Roman" w:eastAsia="Times New Roman" w:hAnsi="Times New Roman"/>
          <w:sz w:val="16"/>
          <w:szCs w:val="16"/>
          <w:color w:val="auto"/>
        </w:rPr>
        <w:t>.</w:t>
      </w:r>
    </w:p>
    <w:p>
      <w:pPr>
        <w:spacing w:after="0" w:line="19" w:lineRule="exact"/>
        <w:rPr>
          <w:rFonts w:ascii="Times New Roman" w:cs="Times New Roman" w:eastAsia="Times New Roman" w:hAnsi="Times New Roman"/>
          <w:sz w:val="16"/>
          <w:szCs w:val="16"/>
          <w:color w:val="auto"/>
        </w:rPr>
      </w:pPr>
    </w:p>
    <w:p>
      <w:pPr>
        <w:ind w:left="620" w:hanging="222"/>
        <w:spacing w:after="0"/>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legal and advisory fees relating to the Transactions.</w:t>
      </w:r>
    </w:p>
    <w:p>
      <w:pPr>
        <w:spacing w:after="0" w:line="52" w:lineRule="exact"/>
        <w:rPr>
          <w:rFonts w:ascii="Times New Roman" w:cs="Times New Roman" w:eastAsia="Times New Roman" w:hAnsi="Times New Roman"/>
          <w:sz w:val="16"/>
          <w:szCs w:val="16"/>
          <w:color w:val="auto"/>
        </w:rPr>
      </w:pPr>
    </w:p>
    <w:p>
      <w:pPr>
        <w:ind w:left="640" w:right="40" w:hanging="242"/>
        <w:spacing w:after="0" w:line="262" w:lineRule="auto"/>
        <w:tabs>
          <w:tab w:leader="none" w:pos="61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attributable to the establishment of a valuation allowance on a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spacing w:after="0" w:line="13" w:lineRule="exact"/>
        <w:rPr>
          <w:rFonts w:ascii="Times New Roman" w:cs="Times New Roman" w:eastAsia="Times New Roman" w:hAnsi="Times New Roman"/>
          <w:sz w:val="16"/>
          <w:szCs w:val="16"/>
          <w:color w:val="auto"/>
        </w:rPr>
      </w:pPr>
    </w:p>
    <w:p>
      <w:pPr>
        <w:ind w:left="640" w:right="60" w:hanging="242"/>
        <w:spacing w:after="0" w:line="262" w:lineRule="auto"/>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nine months ended September 30, 2024 was 5.6% and the adjusted effective income tax rate, which is calculated as the adjusted provision for income taxes of $383 million divided by adjusted earnings from continuing operations before income taxes of $1.76 billion, was 21.8%. These adjusted measures exclude the items affecting comparability detailed above.</w:t>
      </w:r>
    </w:p>
    <w:p>
      <w:pPr>
        <w:spacing w:after="0" w:line="13" w:lineRule="exact"/>
        <w:rPr>
          <w:rFonts w:ascii="Times New Roman" w:cs="Times New Roman" w:eastAsia="Times New Roman" w:hAnsi="Times New Roman"/>
          <w:sz w:val="16"/>
          <w:szCs w:val="16"/>
          <w:color w:val="auto"/>
        </w:rPr>
      </w:pPr>
    </w:p>
    <w:p>
      <w:pPr>
        <w:ind w:left="640" w:hanging="242"/>
        <w:spacing w:after="0" w:line="288" w:lineRule="auto"/>
        <w:tabs>
          <w:tab w:leader="none" w:pos="62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nine months ended September 30, 2024, the weighted average number of common shares outstanding used in the calculation of reported diluted EPS from continuing operations is 663 million and in the calculation of adjusted diluted EPS from continuing operations is 665 million. The dilutive impact was excluded in the calculation of reported diluted EPS from continuing operations because it would have been antidilutive since we reported a net loss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320" w:top="587" w:right="659" w:bottom="1440" w:gutter="0" w:footer="0" w:header="0"/>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Revenues</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22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2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3280" w:type="dxa"/>
            <w:vAlign w:val="bottom"/>
            <w:tcBorders>
              <w:top w:val="single" w:sz="8" w:color="auto"/>
              <w:bottom w:val="single" w:sz="8" w:color="auto"/>
            </w:tcBorders>
            <w:gridSpan w:val="5"/>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7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20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restart"/>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92"/>
        </w:trPr>
        <w:tc>
          <w:tcPr>
            <w:tcW w:w="2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Borders>
              <w:right w:val="single" w:sz="8" w:color="auto"/>
            </w:tcBorders>
            <w:vMerge w:val="restart"/>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6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Period From July</w:t>
            </w:r>
          </w:p>
        </w:tc>
        <w:tc>
          <w:tcPr>
            <w:tcW w:w="16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Ended September</w:t>
            </w: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6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Increase/(Decrease)</w:t>
            </w:r>
          </w:p>
        </w:tc>
        <w:tc>
          <w:tcPr>
            <w:tcW w:w="0" w:type="dxa"/>
            <w:vAlign w:val="bottom"/>
          </w:tcPr>
          <w:p>
            <w:pPr>
              <w:spacing w:after="0"/>
              <w:rPr>
                <w:sz w:val="1"/>
                <w:szCs w:val="1"/>
                <w:color w:val="auto"/>
              </w:rPr>
            </w:pPr>
          </w:p>
        </w:tc>
      </w:tr>
      <w:tr>
        <w:trPr>
          <w:trHeight w:val="116"/>
        </w:trPr>
        <w:tc>
          <w:tcPr>
            <w:tcW w:w="2200" w:type="dxa"/>
            <w:vAlign w:val="bottom"/>
          </w:tcPr>
          <w:p>
            <w:pPr>
              <w:spacing w:after="0"/>
              <w:rPr>
                <w:sz w:val="10"/>
                <w:szCs w:val="10"/>
                <w:color w:val="auto"/>
              </w:rPr>
            </w:pPr>
          </w:p>
        </w:tc>
        <w:tc>
          <w:tcPr>
            <w:tcW w:w="1440" w:type="dxa"/>
            <w:vAlign w:val="bottom"/>
            <w:tcBorders>
              <w:right w:val="single" w:sz="8" w:color="auto"/>
            </w:tcBorders>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1 - August 6,</w:t>
            </w:r>
          </w:p>
        </w:tc>
        <w:tc>
          <w:tcPr>
            <w:tcW w:w="540" w:type="dxa"/>
            <w:vAlign w:val="bottom"/>
          </w:tcPr>
          <w:p>
            <w:pPr>
              <w:spacing w:after="0"/>
              <w:rPr>
                <w:sz w:val="10"/>
                <w:szCs w:val="10"/>
                <w:color w:val="auto"/>
              </w:rPr>
            </w:pPr>
          </w:p>
        </w:tc>
        <w:tc>
          <w:tcPr>
            <w:tcW w:w="980" w:type="dxa"/>
            <w:vAlign w:val="bottom"/>
            <w:vMerge w:val="restart"/>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30,</w:t>
            </w:r>
          </w:p>
        </w:tc>
        <w:tc>
          <w:tcPr>
            <w:tcW w:w="160" w:type="dxa"/>
            <w:vAlign w:val="bottom"/>
          </w:tcPr>
          <w:p>
            <w:pPr>
              <w:spacing w:after="0"/>
              <w:rPr>
                <w:sz w:val="10"/>
                <w:szCs w:val="10"/>
                <w:color w:val="auto"/>
              </w:rPr>
            </w:pPr>
          </w:p>
        </w:tc>
        <w:tc>
          <w:tcPr>
            <w:tcW w:w="2620" w:type="dxa"/>
            <w:vAlign w:val="bottom"/>
            <w:gridSpan w:val="4"/>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200" w:type="dxa"/>
            <w:vAlign w:val="bottom"/>
          </w:tcPr>
          <w:p>
            <w:pPr>
              <w:spacing w:after="0"/>
              <w:rPr>
                <w:sz w:val="10"/>
                <w:szCs w:val="10"/>
                <w:color w:val="auto"/>
              </w:rPr>
            </w:pPr>
          </w:p>
        </w:tc>
        <w:tc>
          <w:tcPr>
            <w:tcW w:w="1440" w:type="dxa"/>
            <w:vAlign w:val="bottom"/>
            <w:tcBorders>
              <w:bottom w:val="single" w:sz="8" w:color="auto"/>
              <w:right w:val="single" w:sz="8" w:color="auto"/>
            </w:tcBorders>
            <w:gridSpan w:val="2"/>
            <w:vMerge w:val="continue"/>
          </w:tcPr>
          <w:p>
            <w:pPr>
              <w:spacing w:after="0"/>
              <w:rPr>
                <w:sz w:val="10"/>
                <w:szCs w:val="10"/>
                <w:color w:val="auto"/>
              </w:rPr>
            </w:pPr>
          </w:p>
        </w:tc>
        <w:tc>
          <w:tcPr>
            <w:tcW w:w="1460" w:type="dxa"/>
            <w:vAlign w:val="bottom"/>
            <w:tcBorders>
              <w:bottom w:val="single" w:sz="8" w:color="auto"/>
            </w:tcBorders>
            <w:gridSpan w:val="2"/>
            <w:vMerge w:val="continue"/>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2620" w:type="dxa"/>
            <w:vAlign w:val="bottom"/>
            <w:tcBorders>
              <w:bottom w:val="single" w:sz="8" w:color="auto"/>
            </w:tcBorders>
            <w:gridSpan w:val="4"/>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by Type:</w:t>
            </w: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1,280</w:t>
            </w:r>
          </w:p>
        </w:tc>
        <w:tc>
          <w:tcPr>
            <w:tcW w:w="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664</w:t>
            </w:r>
          </w:p>
        </w:tc>
        <w:tc>
          <w:tcPr>
            <w:tcW w:w="5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2,174</w:t>
            </w:r>
          </w:p>
        </w:tc>
        <w:tc>
          <w:tcPr>
            <w:tcW w:w="160" w:type="dxa"/>
            <w:vAlign w:val="bottom"/>
          </w:tcPr>
          <w:p>
            <w:pPr>
              <w:spacing w:after="0"/>
              <w:rPr>
                <w:sz w:val="20"/>
                <w:szCs w:val="20"/>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1,944</w:t>
            </w: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2,174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(230)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6"/>
        </w:trPr>
        <w:tc>
          <w:tcPr>
            <w:tcW w:w="2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Affiliate and subscription</w:t>
            </w:r>
          </w:p>
        </w:tc>
        <w:tc>
          <w:tcPr>
            <w:tcW w:w="300" w:type="dxa"/>
            <w:vAlign w:val="bottom"/>
          </w:tcPr>
          <w:p>
            <w:pPr>
              <w:spacing w:after="0"/>
              <w:rPr>
                <w:sz w:val="20"/>
                <w:szCs w:val="20"/>
                <w:color w:val="auto"/>
              </w:rPr>
            </w:pPr>
          </w:p>
        </w:tc>
        <w:tc>
          <w:tcPr>
            <w:tcW w:w="114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tcPr>
          <w:p>
            <w:pPr>
              <w:spacing w:after="0"/>
              <w:rPr>
                <w:sz w:val="20"/>
                <w:szCs w:val="20"/>
                <w:color w:val="auto"/>
              </w:rPr>
            </w:pPr>
          </w:p>
        </w:tc>
        <w:tc>
          <w:tcPr>
            <w:tcW w:w="104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1,400</w:t>
            </w:r>
          </w:p>
        </w:tc>
        <w:tc>
          <w:tcPr>
            <w:tcW w:w="540" w:type="dxa"/>
            <w:vAlign w:val="bottom"/>
          </w:tcPr>
          <w:p>
            <w:pPr>
              <w:spacing w:after="0"/>
              <w:rPr>
                <w:sz w:val="20"/>
                <w:szCs w:val="20"/>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3,215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3,427</w:t>
            </w:r>
          </w:p>
        </w:tc>
        <w:tc>
          <w:tcPr>
            <w:tcW w:w="460" w:type="dxa"/>
            <w:vAlign w:val="bottom"/>
          </w:tcPr>
          <w:p>
            <w:pPr>
              <w:spacing w:after="0"/>
              <w:rPr>
                <w:sz w:val="20"/>
                <w:szCs w:val="20"/>
                <w:color w:val="auto"/>
              </w:rPr>
            </w:pPr>
          </w:p>
        </w:tc>
        <w:tc>
          <w:tcPr>
            <w:tcW w:w="8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3,215</w:t>
            </w:r>
          </w:p>
        </w:tc>
        <w:tc>
          <w:tcPr>
            <w:tcW w:w="220" w:type="dxa"/>
            <w:vAlign w:val="bottom"/>
          </w:tcPr>
          <w:p>
            <w:pPr>
              <w:spacing w:after="0"/>
              <w:rPr>
                <w:sz w:val="20"/>
                <w:szCs w:val="20"/>
                <w:color w:val="auto"/>
              </w:rPr>
            </w:pP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212</w:t>
            </w: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6"/>
        </w:trPr>
        <w:tc>
          <w:tcPr>
            <w:tcW w:w="2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Theatrical</w:t>
            </w:r>
          </w:p>
        </w:tc>
        <w:tc>
          <w:tcPr>
            <w:tcW w:w="300" w:type="dxa"/>
            <w:vAlign w:val="bottom"/>
          </w:tcPr>
          <w:p>
            <w:pPr>
              <w:spacing w:after="0"/>
              <w:rPr>
                <w:sz w:val="20"/>
                <w:szCs w:val="20"/>
                <w:color w:val="auto"/>
              </w:rPr>
            </w:pPr>
          </w:p>
        </w:tc>
        <w:tc>
          <w:tcPr>
            <w:tcW w:w="114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39</w:t>
            </w:r>
          </w:p>
        </w:tc>
        <w:tc>
          <w:tcPr>
            <w:tcW w:w="420" w:type="dxa"/>
            <w:vAlign w:val="bottom"/>
          </w:tcPr>
          <w:p>
            <w:pPr>
              <w:spacing w:after="0"/>
              <w:rPr>
                <w:sz w:val="20"/>
                <w:szCs w:val="20"/>
                <w:color w:val="auto"/>
              </w:rPr>
            </w:pPr>
          </w:p>
        </w:tc>
        <w:tc>
          <w:tcPr>
            <w:tcW w:w="104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73</w:t>
            </w:r>
          </w:p>
        </w:tc>
        <w:tc>
          <w:tcPr>
            <w:tcW w:w="540" w:type="dxa"/>
            <w:vAlign w:val="bottom"/>
          </w:tcPr>
          <w:p>
            <w:pPr>
              <w:spacing w:after="0"/>
              <w:rPr>
                <w:sz w:val="20"/>
                <w:szCs w:val="20"/>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112</w:t>
            </w:r>
          </w:p>
        </w:tc>
        <w:tc>
          <w:tcPr>
            <w:tcW w:w="460" w:type="dxa"/>
            <w:vAlign w:val="bottom"/>
          </w:tcPr>
          <w:p>
            <w:pPr>
              <w:spacing w:after="0"/>
              <w:rPr>
                <w:sz w:val="20"/>
                <w:szCs w:val="20"/>
                <w:color w:val="auto"/>
              </w:rPr>
            </w:pPr>
          </w:p>
        </w:tc>
        <w:tc>
          <w:tcPr>
            <w:tcW w:w="8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20"/>
                <w:szCs w:val="20"/>
                <w:color w:val="auto"/>
              </w:rPr>
            </w:pP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w:t>
            </w: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7"/>
        </w:trPr>
        <w:tc>
          <w:tcPr>
            <w:tcW w:w="2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Licensing and other</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775</w:t>
            </w: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444</w:t>
            </w: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1,234</w:t>
            </w: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1,231</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1,443</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(212)</w:t>
            </w:r>
          </w:p>
        </w:tc>
        <w:tc>
          <w:tcPr>
            <w:tcW w:w="7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42"/>
        </w:trPr>
        <w:tc>
          <w:tcPr>
            <w:tcW w:w="2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4,121</w:t>
            </w: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2,581</w:t>
            </w:r>
          </w:p>
        </w:tc>
        <w:tc>
          <w:tcPr>
            <w:tcW w:w="5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6,731</w:t>
            </w: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6,714</w:t>
            </w:r>
          </w:p>
        </w:tc>
        <w:tc>
          <w:tcPr>
            <w:tcW w:w="4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6,940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(226)</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22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4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3340" w:type="dxa"/>
            <w:vAlign w:val="bottom"/>
            <w:tcBorders>
              <w:top w:val="single" w:sz="8" w:color="auto"/>
              <w:bottom w:val="single" w:sz="8" w:color="auto"/>
            </w:tcBorders>
            <w:gridSpan w:val="4"/>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7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20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gridSpan w:val="2"/>
            <w:vMerge w:val="restart"/>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92"/>
        </w:trPr>
        <w:tc>
          <w:tcPr>
            <w:tcW w:w="2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Borders>
              <w:right w:val="single" w:sz="8" w:color="auto"/>
            </w:tcBorders>
            <w:vMerge w:val="restart"/>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74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72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16"/>
        </w:trPr>
        <w:tc>
          <w:tcPr>
            <w:tcW w:w="2200" w:type="dxa"/>
            <w:vAlign w:val="bottom"/>
          </w:tcPr>
          <w:p>
            <w:pPr>
              <w:spacing w:after="0"/>
              <w:rPr>
                <w:sz w:val="10"/>
                <w:szCs w:val="10"/>
                <w:color w:val="auto"/>
              </w:rPr>
            </w:pPr>
          </w:p>
        </w:tc>
        <w:tc>
          <w:tcPr>
            <w:tcW w:w="1440" w:type="dxa"/>
            <w:vAlign w:val="bottom"/>
            <w:tcBorders>
              <w:right w:val="single" w:sz="8" w:color="auto"/>
            </w:tcBorders>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40" w:type="dxa"/>
            <w:vAlign w:val="bottom"/>
          </w:tcPr>
          <w:p>
            <w:pPr>
              <w:spacing w:after="0"/>
              <w:rPr>
                <w:sz w:val="10"/>
                <w:szCs w:val="10"/>
                <w:color w:val="auto"/>
              </w:rPr>
            </w:pPr>
          </w:p>
        </w:tc>
        <w:tc>
          <w:tcPr>
            <w:tcW w:w="980" w:type="dxa"/>
            <w:vAlign w:val="bottom"/>
            <w:vMerge w:val="restart"/>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6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1440" w:type="dxa"/>
            <w:vAlign w:val="bottom"/>
            <w:tcBorders>
              <w:right w:val="single" w:sz="8" w:color="auto"/>
            </w:tcBorders>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2680" w:type="dxa"/>
            <w:vAlign w:val="bottom"/>
            <w:gridSpan w:val="4"/>
            <w:vMerge w:val="continue"/>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2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right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40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4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by Type:</w:t>
            </w: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1,280</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5,329</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7,521</w:t>
            </w:r>
          </w:p>
        </w:tc>
        <w:tc>
          <w:tcPr>
            <w:tcW w:w="14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6,609</w:t>
            </w: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7,521</w:t>
            </w:r>
          </w:p>
        </w:tc>
        <w:tc>
          <w:tcPr>
            <w:tcW w:w="102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  (912)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6"/>
        </w:trPr>
        <w:tc>
          <w:tcPr>
            <w:tcW w:w="2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Affiliate and subscription</w:t>
            </w:r>
          </w:p>
        </w:tc>
        <w:tc>
          <w:tcPr>
            <w:tcW w:w="300" w:type="dxa"/>
            <w:vAlign w:val="bottom"/>
          </w:tcPr>
          <w:p>
            <w:pPr>
              <w:spacing w:after="0"/>
              <w:rPr>
                <w:sz w:val="20"/>
                <w:szCs w:val="20"/>
                <w:color w:val="auto"/>
              </w:rPr>
            </w:pPr>
          </w:p>
        </w:tc>
        <w:tc>
          <w:tcPr>
            <w:tcW w:w="114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tcPr>
          <w:p>
            <w:pPr>
              <w:spacing w:after="0"/>
              <w:rPr>
                <w:sz w:val="20"/>
                <w:szCs w:val="20"/>
                <w:color w:val="auto"/>
              </w:rPr>
            </w:pPr>
          </w:p>
        </w:tc>
        <w:tc>
          <w:tcPr>
            <w:tcW w:w="98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8,242</w:t>
            </w:r>
          </w:p>
        </w:tc>
        <w:tc>
          <w:tcPr>
            <w:tcW w:w="660" w:type="dxa"/>
            <w:vAlign w:val="bottom"/>
          </w:tcPr>
          <w:p>
            <w:pPr>
              <w:spacing w:after="0"/>
              <w:rPr>
                <w:sz w:val="20"/>
                <w:szCs w:val="20"/>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9,847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10,269</w:t>
            </w:r>
          </w:p>
        </w:tc>
        <w:tc>
          <w:tcPr>
            <w:tcW w:w="46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9,847</w:t>
            </w:r>
          </w:p>
        </w:tc>
        <w:tc>
          <w:tcPr>
            <w:tcW w:w="10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422</w:t>
            </w: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6"/>
        </w:trPr>
        <w:tc>
          <w:tcPr>
            <w:tcW w:w="2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Theatrical</w:t>
            </w:r>
          </w:p>
        </w:tc>
        <w:tc>
          <w:tcPr>
            <w:tcW w:w="300" w:type="dxa"/>
            <w:vAlign w:val="bottom"/>
          </w:tcPr>
          <w:p>
            <w:pPr>
              <w:spacing w:after="0"/>
              <w:rPr>
                <w:sz w:val="20"/>
                <w:szCs w:val="20"/>
                <w:color w:val="auto"/>
              </w:rPr>
            </w:pPr>
          </w:p>
        </w:tc>
        <w:tc>
          <w:tcPr>
            <w:tcW w:w="114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39</w:t>
            </w:r>
          </w:p>
        </w:tc>
        <w:tc>
          <w:tcPr>
            <w:tcW w:w="340" w:type="dxa"/>
            <w:vAlign w:val="bottom"/>
          </w:tcPr>
          <w:p>
            <w:pPr>
              <w:spacing w:after="0"/>
              <w:rPr>
                <w:sz w:val="20"/>
                <w:szCs w:val="20"/>
                <w:color w:val="auto"/>
              </w:rPr>
            </w:pPr>
          </w:p>
        </w:tc>
        <w:tc>
          <w:tcPr>
            <w:tcW w:w="98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475</w:t>
            </w:r>
          </w:p>
        </w:tc>
        <w:tc>
          <w:tcPr>
            <w:tcW w:w="660" w:type="dxa"/>
            <w:vAlign w:val="bottom"/>
          </w:tcPr>
          <w:p>
            <w:pPr>
              <w:spacing w:after="0"/>
              <w:rPr>
                <w:sz w:val="20"/>
                <w:szCs w:val="20"/>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399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514</w:t>
            </w:r>
          </w:p>
        </w:tc>
        <w:tc>
          <w:tcPr>
            <w:tcW w:w="46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399</w:t>
            </w:r>
          </w:p>
        </w:tc>
        <w:tc>
          <w:tcPr>
            <w:tcW w:w="10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115</w:t>
            </w: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47"/>
        </w:trPr>
        <w:tc>
          <w:tcPr>
            <w:tcW w:w="2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Licensing and other</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775</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2,576</w:t>
            </w:r>
          </w:p>
        </w:tc>
        <w:tc>
          <w:tcPr>
            <w:tcW w:w="6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3,462</w:t>
            </w: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3,854</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3,917</w:t>
            </w:r>
          </w:p>
        </w:tc>
        <w:tc>
          <w:tcPr>
            <w:tcW w:w="10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(63)</w:t>
            </w:r>
          </w:p>
        </w:tc>
        <w:tc>
          <w:tcPr>
            <w:tcW w:w="7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42"/>
        </w:trPr>
        <w:tc>
          <w:tcPr>
            <w:tcW w:w="2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4,121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16,622</w:t>
            </w: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21,229</w:t>
            </w: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21,246</w:t>
            </w:r>
          </w:p>
        </w:tc>
        <w:tc>
          <w:tcPr>
            <w:tcW w:w="4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21,684</w:t>
            </w:r>
          </w:p>
        </w:tc>
        <w:tc>
          <w:tcPr>
            <w:tcW w:w="10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(438)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0" w:right="320" w:hanging="238"/>
        <w:spacing w:after="0" w:line="252" w:lineRule="auto"/>
        <w:tabs>
          <w:tab w:leader="none" w:pos="37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Supplemental Pro Forma Revenues for the three and nine months ended September 30, 2025 reflect the combination of the Successor period with the Predecessor period from July 1-August 6, 2025 and January 1-August 6, 2025, respectively, and for Licensing and other and Total Revenues also include pro forma adjustments to include Skydance revenues after the elimination of intercompany revenues from Paramount Global during the Predecessor period. While the Successor and Predecessor periods are distinct reporting periods, revenues were not impacted by the pushdown of the Ultimate Parent’s basis and are supplementally presented on a pro forma combined basis to help investors view these revenues in a manner consistent with our management. See </w:t>
      </w:r>
      <w:r>
        <w:rPr>
          <w:rFonts w:ascii="Times New Roman" w:cs="Times New Roman" w:eastAsia="Times New Roman" w:hAnsi="Times New Roman"/>
          <w:sz w:val="16"/>
          <w:szCs w:val="16"/>
          <w:i w:val="1"/>
          <w:iCs w:val="1"/>
          <w:color w:val="auto"/>
        </w:rPr>
        <w:t>Supplemental Pro Forma Revenues</w:t>
      </w:r>
      <w:r>
        <w:rPr>
          <w:rFonts w:ascii="Times New Roman" w:cs="Times New Roman" w:eastAsia="Times New Roman" w:hAnsi="Times New Roman"/>
          <w:sz w:val="16"/>
          <w:szCs w:val="16"/>
          <w:color w:val="auto"/>
        </w:rPr>
        <w:t xml:space="preserve"> for calculations of these pro forma revenue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 xml:space="preserve">Advertising revenues during the Successor and Predecessor periods in 2025 and 2024 were impacted by declines in the linear advertising market and in the 2025 periods also included the impact on pricing from new entrants to the digital advertising market. The Predecessor periods for the three and nine months ended September 30, 2024 benefited from amounts recognized in each applicable period relating to the underreporting of revenue by an international sales partner in previous periods and political advertising revenue associated with the 2024 U.S. Presidential election. The nine-month period also included revenues associated with the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on CBS and Paramount+ in the first quarter of 2024. We have the rights to broadcast the Super Bowl on a rotational basis with other networks, and therefore did not have a comparable broadcast in 2025.</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auto"/>
        </w:rPr>
        <w:t>On a pro forma basis, the decreases in advertising revenues of 11% and 12% for the three and nine months ended September 30, 2025, respectively, include decreases of 4% and 1% from lower political advertising and 4% and 2% from the comparison against amounts recognized in the applicable period in 2024 relating to the underreporting of revenue by an international sales partner in previous periods. The comparison for the nine-month period also reflects a decrease of 8% from the benefit to the first quarter of 2024 from our broadcast of the Super Bowl, reflecting the rotational nature of the rights to this broadcast discussed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Affiliate and subscription revenues are principally comprised of affiliate fees we receive from distributors for their carriage of our cable networks (cable affiliate fees) and television stations (retransmission fees), as well as fees received from third-party television stations for their affiliation with the CBS Television Network (reverse compensation), and subscription fees for our streaming services.</w:t>
      </w:r>
    </w:p>
    <w:p>
      <w:pPr>
        <w:spacing w:after="0" w:line="19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9"/>
          <w:szCs w:val="19"/>
          <w:color w:val="auto"/>
        </w:rPr>
        <w:t>Affiliate and subscription revenues during each of the Successor and Predecessor periods in 2025 and 2024 reflect the benefit from subscriber growth and pricing increases for Paramount+ but were negatively impacted by linear subscriber declines. Paramount+ had 79.1 million subscribers at September 30, 2025 and 71.9 million subscribers at September 30, 2024.</w:t>
      </w:r>
    </w:p>
    <w:p>
      <w:pPr>
        <w:spacing w:after="0" w:line="19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9"/>
          <w:szCs w:val="19"/>
          <w:color w:val="auto"/>
        </w:rPr>
        <w:t>On a pro forma basis, the growth of 7% and 4% in affiliate and subscription revenues for the three and nine months ended September 30, 2025, respectively, reflects increases of 11% and 9% from higher streaming subscription fees, driven by subscriber growth and pricing increases for Paramount+, partially offset by decreases from lower linear affiliate fees.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 xml:space="preserve">In the third quarter of 2025, we released </w:t>
      </w:r>
      <w:r>
        <w:rPr>
          <w:rFonts w:ascii="Times New Roman" w:cs="Times New Roman" w:eastAsia="Times New Roman" w:hAnsi="Times New Roman"/>
          <w:sz w:val="19"/>
          <w:szCs w:val="19"/>
          <w:i w:val="1"/>
          <w:iCs w:val="1"/>
          <w:color w:val="auto"/>
        </w:rPr>
        <w:t>The Naked Gun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Smurfs.</w:t>
      </w:r>
      <w:r>
        <w:rPr>
          <w:rFonts w:ascii="Times New Roman" w:cs="Times New Roman" w:eastAsia="Times New Roman" w:hAnsi="Times New Roman"/>
          <w:sz w:val="19"/>
          <w:szCs w:val="19"/>
          <w:color w:val="auto"/>
        </w:rPr>
        <w:t xml:space="preserve"> Theatrical revenues for the Successor period and each of the Predecessor periods in 2025 benefited from these releases. Theatrical revenues during the Predecessor period from January 1, 2025 - August 6, 2025 also benefited from the second quarter 2025 release of </w:t>
      </w:r>
      <w:r>
        <w:rPr>
          <w:rFonts w:ascii="Times New Roman" w:cs="Times New Roman" w:eastAsia="Times New Roman" w:hAnsi="Times New Roman"/>
          <w:sz w:val="19"/>
          <w:szCs w:val="19"/>
          <w:i w:val="1"/>
          <w:iCs w:val="1"/>
          <w:color w:val="auto"/>
        </w:rPr>
        <w:t>Mission: Impossible-The Final Reckoning</w:t>
      </w:r>
      <w:r>
        <w:rPr>
          <w:rFonts w:ascii="Times New Roman" w:cs="Times New Roman" w:eastAsia="Times New Roman" w:hAnsi="Times New Roman"/>
          <w:sz w:val="19"/>
          <w:szCs w:val="19"/>
          <w:color w:val="auto"/>
        </w:rPr>
        <w:t xml:space="preserve"> and the fourth quarter 2024 release of </w:t>
      </w:r>
      <w:r>
        <w:rPr>
          <w:rFonts w:ascii="Times New Roman" w:cs="Times New Roman" w:eastAsia="Times New Roman" w:hAnsi="Times New Roman"/>
          <w:sz w:val="19"/>
          <w:szCs w:val="19"/>
          <w:i w:val="1"/>
          <w:iCs w:val="1"/>
          <w:color w:val="auto"/>
        </w:rPr>
        <w:t>Sonic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Hedgehog 3</w:t>
      </w:r>
      <w:r>
        <w:rPr>
          <w:rFonts w:ascii="Times New Roman" w:cs="Times New Roman" w:eastAsia="Times New Roman" w:hAnsi="Times New Roman"/>
          <w:sz w:val="19"/>
          <w:szCs w:val="19"/>
          <w:color w:val="auto"/>
        </w:rPr>
        <w:t>. Theatrical revenues during the Predecessor periods for the three and nine months ended September 30, 2024 included revenues from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releases of </w:t>
      </w:r>
      <w:r>
        <w:rPr>
          <w:rFonts w:ascii="Times New Roman" w:cs="Times New Roman" w:eastAsia="Times New Roman" w:hAnsi="Times New Roman"/>
          <w:sz w:val="19"/>
          <w:szCs w:val="19"/>
          <w:i w:val="1"/>
          <w:iCs w:val="1"/>
          <w:color w:val="auto"/>
        </w:rPr>
        <w:t>A Quiet Place: Day One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Transformers One.</w:t>
      </w:r>
      <w:r>
        <w:rPr>
          <w:rFonts w:ascii="Times New Roman" w:cs="Times New Roman" w:eastAsia="Times New Roman" w:hAnsi="Times New Roman"/>
          <w:sz w:val="19"/>
          <w:szCs w:val="19"/>
          <w:color w:val="auto"/>
        </w:rPr>
        <w:t xml:space="preserve"> The nine-month period also benefited from the first quarter 2024 releases of </w:t>
      </w:r>
      <w:r>
        <w:rPr>
          <w:rFonts w:ascii="Times New Roman" w:cs="Times New Roman" w:eastAsia="Times New Roman" w:hAnsi="Times New Roman"/>
          <w:sz w:val="19"/>
          <w:szCs w:val="19"/>
          <w:i w:val="1"/>
          <w:iCs w:val="1"/>
          <w:color w:val="auto"/>
        </w:rPr>
        <w:t>Bob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Marley: One Love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Mean Girls </w:t>
      </w:r>
      <w:r>
        <w:rPr>
          <w:rFonts w:ascii="Times New Roman" w:cs="Times New Roman" w:eastAsia="Times New Roman" w:hAnsi="Times New Roman"/>
          <w:sz w:val="19"/>
          <w:szCs w:val="19"/>
          <w:color w:val="auto"/>
        </w:rPr>
        <w:t>and Miramax’s</w:t>
      </w:r>
      <w:r>
        <w:rPr>
          <w:rFonts w:ascii="Times New Roman" w:cs="Times New Roman" w:eastAsia="Times New Roman" w:hAnsi="Times New Roman"/>
          <w:sz w:val="19"/>
          <w:szCs w:val="19"/>
          <w:i w:val="1"/>
          <w:iCs w:val="1"/>
          <w:color w:val="auto"/>
        </w:rPr>
        <w:t xml:space="preserve"> The Beekeeper </w:t>
      </w:r>
      <w:r>
        <w:rPr>
          <w:rFonts w:ascii="Times New Roman" w:cs="Times New Roman" w:eastAsia="Times New Roman" w:hAnsi="Times New Roman"/>
          <w:sz w:val="19"/>
          <w:szCs w:val="19"/>
          <w:color w:val="auto"/>
        </w:rPr>
        <w:t>and the second quarter 2024 release of</w:t>
      </w:r>
      <w:r>
        <w:rPr>
          <w:rFonts w:ascii="Times New Roman" w:cs="Times New Roman" w:eastAsia="Times New Roman" w:hAnsi="Times New Roman"/>
          <w:sz w:val="19"/>
          <w:szCs w:val="19"/>
          <w:i w:val="1"/>
          <w:iCs w:val="1"/>
          <w:color w:val="auto"/>
        </w:rPr>
        <w:t xml:space="preserve"> IF</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Licensing and other revenues are principally comprised of fees from the licensing of the rights to exhibit our internally-produced television and film programming on various platforms in the secondary market after its initial exhibition on our owned or third-party platforms; license fees from content produced or distributed for third parties; home entertainment revenues, which include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revenues from games and other interactive content; and revenues from the rental of production facilities. Content licensing and other revenues include Skydance revenue in the Successor period. On a pro forma basis, the 15% decrease in licensing and other revenues for the third quarter of 2025 primarily reflects lower revenues from content produced for third parties, partly due to timing, and licensing in the secondary market.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57" w:name="page58"/>
    <w:bookmarkEnd w:id="57"/>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Operating Expenses</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93" w:lineRule="exact"/>
        <w:rPr>
          <w:sz w:val="20"/>
          <w:szCs w:val="20"/>
          <w:color w:val="auto"/>
        </w:rPr>
      </w:pPr>
    </w:p>
    <w:tbl>
      <w:tblPr>
        <w:tblLayout w:type="fixed"/>
        <w:tblInd w:w="1240" w:type="dxa"/>
        <w:tblCellMar>
          <w:top w:w="0" w:type="dxa"/>
          <w:left w:w="0" w:type="dxa"/>
          <w:bottom w:w="0" w:type="dxa"/>
          <w:right w:w="0" w:type="dxa"/>
        </w:tblCellMar>
      </w:tblPr>
      <w:tr>
        <w:trPr>
          <w:trHeight w:val="255"/>
        </w:trPr>
        <w:tc>
          <w:tcPr>
            <w:tcW w:w="412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41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20" w:type="dxa"/>
            <w:vAlign w:val="bottom"/>
            <w:tcBorders>
              <w:top w:val="single" w:sz="8" w:color="auto"/>
              <w:bottom w:val="single" w:sz="8" w:color="auto"/>
            </w:tcBorders>
          </w:tcPr>
          <w:p>
            <w:pPr>
              <w:spacing w:after="0"/>
              <w:rPr>
                <w:sz w:val="22"/>
                <w:szCs w:val="22"/>
                <w:color w:val="auto"/>
              </w:rPr>
            </w:pPr>
          </w:p>
        </w:tc>
      </w:tr>
      <w:tr>
        <w:trPr>
          <w:trHeight w:val="194"/>
        </w:trPr>
        <w:tc>
          <w:tcPr>
            <w:tcW w:w="4120" w:type="dxa"/>
            <w:vAlign w:val="bottom"/>
          </w:tcPr>
          <w:p>
            <w:pPr>
              <w:spacing w:after="0"/>
              <w:rPr>
                <w:sz w:val="16"/>
                <w:szCs w:val="16"/>
                <w:color w:val="auto"/>
              </w:rPr>
            </w:pPr>
          </w:p>
        </w:tc>
        <w:tc>
          <w:tcPr>
            <w:tcW w:w="160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 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8"/>
        </w:trPr>
        <w:tc>
          <w:tcPr>
            <w:tcW w:w="4120" w:type="dxa"/>
            <w:vAlign w:val="bottom"/>
          </w:tcPr>
          <w:p>
            <w:pPr>
              <w:spacing w:after="0"/>
              <w:rPr>
                <w:sz w:val="18"/>
                <w:szCs w:val="18"/>
                <w:color w:val="auto"/>
              </w:rPr>
            </w:pPr>
          </w:p>
        </w:tc>
        <w:tc>
          <w:tcPr>
            <w:tcW w:w="160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7 - September 30,</w:t>
            </w:r>
          </w:p>
        </w:tc>
        <w:tc>
          <w:tcPr>
            <w:tcW w:w="380" w:type="dxa"/>
            <w:vAlign w:val="bottom"/>
          </w:tcPr>
          <w:p>
            <w:pPr>
              <w:spacing w:after="0"/>
              <w:rPr>
                <w:sz w:val="18"/>
                <w:szCs w:val="18"/>
                <w:color w:val="auto"/>
              </w:rPr>
            </w:pPr>
          </w:p>
        </w:tc>
        <w:tc>
          <w:tcPr>
            <w:tcW w:w="1100" w:type="dxa"/>
            <w:vAlign w:val="bottom"/>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9"/>
              </w:rPr>
              <w:t>- August 6,</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1"/>
        </w:trPr>
        <w:tc>
          <w:tcPr>
            <w:tcW w:w="4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4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41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 by Type:</w:t>
            </w:r>
          </w:p>
        </w:tc>
        <w:tc>
          <w:tcPr>
            <w:tcW w:w="4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2"/>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 costs</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1,987</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1,209</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3,277</w:t>
            </w:r>
          </w:p>
        </w:tc>
      </w:tr>
      <w:tr>
        <w:trPr>
          <w:trHeight w:val="262"/>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 and other</w:t>
            </w:r>
          </w:p>
        </w:tc>
        <w:tc>
          <w:tcPr>
            <w:tcW w:w="400" w:type="dxa"/>
            <w:vAlign w:val="bottom"/>
          </w:tcPr>
          <w:p>
            <w:pPr>
              <w:spacing w:after="0"/>
              <w:rPr>
                <w:sz w:val="22"/>
                <w:szCs w:val="22"/>
                <w:color w:val="auto"/>
              </w:rPr>
            </w:pPr>
          </w:p>
        </w:tc>
        <w:tc>
          <w:tcPr>
            <w:tcW w:w="120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654</w:t>
            </w:r>
          </w:p>
        </w:tc>
        <w:tc>
          <w:tcPr>
            <w:tcW w:w="380" w:type="dxa"/>
            <w:vAlign w:val="bottom"/>
          </w:tcPr>
          <w:p>
            <w:pPr>
              <w:spacing w:after="0"/>
              <w:rPr>
                <w:sz w:val="22"/>
                <w:szCs w:val="22"/>
                <w:color w:val="auto"/>
              </w:rPr>
            </w:pPr>
          </w:p>
        </w:tc>
        <w:tc>
          <w:tcPr>
            <w:tcW w:w="11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493</w:t>
            </w:r>
          </w:p>
        </w:tc>
        <w:tc>
          <w:tcPr>
            <w:tcW w:w="560" w:type="dxa"/>
            <w:vAlign w:val="bottom"/>
          </w:tcPr>
          <w:p>
            <w:pPr>
              <w:spacing w:after="0"/>
              <w:rPr>
                <w:sz w:val="22"/>
                <w:szCs w:val="22"/>
                <w:color w:val="auto"/>
              </w:rPr>
            </w:pP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1,065</w:t>
            </w:r>
          </w:p>
        </w:tc>
      </w:tr>
      <w:tr>
        <w:trPr>
          <w:trHeight w:val="27"/>
        </w:trPr>
        <w:tc>
          <w:tcPr>
            <w:tcW w:w="4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2,641</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1,702</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4,342</w:t>
            </w:r>
          </w:p>
        </w:tc>
      </w:tr>
      <w:tr>
        <w:trPr>
          <w:trHeight w:val="33"/>
        </w:trPr>
        <w:tc>
          <w:tcPr>
            <w:tcW w:w="4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255"/>
        </w:trPr>
        <w:tc>
          <w:tcPr>
            <w:tcW w:w="412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41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20" w:type="dxa"/>
            <w:vAlign w:val="bottom"/>
            <w:tcBorders>
              <w:top w:val="single" w:sz="8" w:color="auto"/>
              <w:bottom w:val="single" w:sz="8" w:color="auto"/>
            </w:tcBorders>
          </w:tcPr>
          <w:p>
            <w:pPr>
              <w:spacing w:after="0"/>
              <w:rPr>
                <w:sz w:val="22"/>
                <w:szCs w:val="22"/>
                <w:color w:val="auto"/>
              </w:rPr>
            </w:pPr>
          </w:p>
        </w:tc>
      </w:tr>
      <w:tr>
        <w:trPr>
          <w:trHeight w:val="194"/>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00" w:type="dxa"/>
            <w:vAlign w:val="bottom"/>
            <w:gridSpan w:val="2"/>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4"/>
        </w:trPr>
        <w:tc>
          <w:tcPr>
            <w:tcW w:w="4120" w:type="dxa"/>
            <w:vAlign w:val="bottom"/>
          </w:tcPr>
          <w:p>
            <w:pPr>
              <w:spacing w:after="0"/>
              <w:rPr>
                <w:sz w:val="15"/>
                <w:szCs w:val="15"/>
                <w:color w:val="auto"/>
              </w:rPr>
            </w:pPr>
          </w:p>
        </w:tc>
        <w:tc>
          <w:tcPr>
            <w:tcW w:w="160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50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560" w:type="dxa"/>
            <w:vAlign w:val="bottom"/>
            <w:gridSpan w:val="2"/>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2"/>
        </w:trPr>
        <w:tc>
          <w:tcPr>
            <w:tcW w:w="4120" w:type="dxa"/>
            <w:vAlign w:val="bottom"/>
          </w:tcPr>
          <w:p>
            <w:pPr>
              <w:spacing w:after="0"/>
              <w:rPr>
                <w:sz w:val="20"/>
                <w:szCs w:val="20"/>
                <w:color w:val="auto"/>
              </w:rPr>
            </w:pPr>
          </w:p>
        </w:tc>
        <w:tc>
          <w:tcPr>
            <w:tcW w:w="1600" w:type="dxa"/>
            <w:vAlign w:val="bottom"/>
            <w:tcBorders>
              <w:bottom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7 - September 30,</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6,</w:t>
            </w:r>
          </w:p>
        </w:tc>
        <w:tc>
          <w:tcPr>
            <w:tcW w:w="15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9"/>
        </w:trPr>
        <w:tc>
          <w:tcPr>
            <w:tcW w:w="4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41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 by Type:</w:t>
            </w:r>
          </w:p>
        </w:tc>
        <w:tc>
          <w:tcPr>
            <w:tcW w:w="4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2"/>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 costs</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1,987</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8,494</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10,539</w:t>
            </w:r>
          </w:p>
        </w:tc>
      </w:tr>
      <w:tr>
        <w:trPr>
          <w:trHeight w:val="262"/>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 and other</w:t>
            </w:r>
          </w:p>
        </w:tc>
        <w:tc>
          <w:tcPr>
            <w:tcW w:w="400" w:type="dxa"/>
            <w:vAlign w:val="bottom"/>
          </w:tcPr>
          <w:p>
            <w:pPr>
              <w:spacing w:after="0"/>
              <w:rPr>
                <w:sz w:val="22"/>
                <w:szCs w:val="22"/>
                <w:color w:val="auto"/>
              </w:rPr>
            </w:pPr>
          </w:p>
        </w:tc>
        <w:tc>
          <w:tcPr>
            <w:tcW w:w="120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654</w:t>
            </w:r>
          </w:p>
        </w:tc>
        <w:tc>
          <w:tcPr>
            <w:tcW w:w="480" w:type="dxa"/>
            <w:vAlign w:val="bottom"/>
          </w:tcPr>
          <w:p>
            <w:pPr>
              <w:spacing w:after="0"/>
              <w:rPr>
                <w:sz w:val="22"/>
                <w:szCs w:val="22"/>
                <w:color w:val="auto"/>
              </w:rPr>
            </w:pP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2,793</w:t>
            </w:r>
          </w:p>
        </w:tc>
        <w:tc>
          <w:tcPr>
            <w:tcW w:w="540" w:type="dxa"/>
            <w:vAlign w:val="bottom"/>
          </w:tcPr>
          <w:p>
            <w:pPr>
              <w:spacing w:after="0"/>
              <w:rPr>
                <w:sz w:val="22"/>
                <w:szCs w:val="22"/>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3,206</w:t>
            </w:r>
          </w:p>
        </w:tc>
      </w:tr>
      <w:tr>
        <w:trPr>
          <w:trHeight w:val="27"/>
        </w:trPr>
        <w:tc>
          <w:tcPr>
            <w:tcW w:w="4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2,641</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11,287</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13,745</w:t>
            </w:r>
          </w:p>
        </w:tc>
      </w:tr>
      <w:tr>
        <w:trPr>
          <w:trHeight w:val="33"/>
        </w:trPr>
        <w:tc>
          <w:tcPr>
            <w:tcW w:w="4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6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Content costs include the amortization of costs of internally-produced television content, theatrical film content, and interactive game development; amortization of acquired program rights; other television production costs, including on-air talent; and participation and residuals expenses, which reflect amounts owed to talent and other participants in our content pursuant to contractual and collective bargaining arrangements.</w:t>
      </w:r>
    </w:p>
    <w:p>
      <w:pPr>
        <w:spacing w:after="0" w:line="2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 xml:space="preserve">Content costs for the Successor period reflect reductions in programming assets resulting from the pushdown of the Ultimate Parent’s basis, as well as the addition of costs associated with Skydance’s content. Programming assets decreased for 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segments and increased for our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as a result of the pushdown. Content costs for the Predecessor period for the nine months ended September 30, 2024 include costs associated with the Super Bowl broadcast in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Distribution and Other</w:t>
      </w:r>
    </w:p>
    <w:p>
      <w:pPr>
        <w:spacing w:after="0" w:line="16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9"/>
          <w:szCs w:val="19"/>
          <w:color w:val="auto"/>
        </w:rPr>
        <w:t>Distribution and other operating expenses primarily include costs relating to the distribution of our content, including marketing for theatrical releases; revenue-sharing costs, including for third-party distribution and to television stations affiliated with the CBS Television Network; compensation; and other costs associated with our operations.</w:t>
      </w:r>
    </w:p>
    <w:p>
      <w:pPr>
        <w:spacing w:after="0" w:line="181"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9"/>
          <w:szCs w:val="19"/>
          <w:color w:val="auto"/>
        </w:rPr>
        <w:t>Distribution and other operating expenses in each period reflect revenue sharing costs related to revenues for our streaming services, which increased on a pro forma basis in the three- and nine-month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587" w:right="479" w:bottom="1440" w:gutter="0" w:footer="0" w:header="0"/>
        </w:sectPr>
      </w:pPr>
    </w:p>
    <w:bookmarkStart w:id="58" w:name="page59"/>
    <w:bookmarkEnd w:id="58"/>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 (Predecessor)</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Programming charges totaling $1.12 billion recorded during the first quarter of 2024 were the result of major changes in content strategy. These changes, which were made in connection with a shift to a global programming strategy, resulted in the removal of significant levels of content from our platforms, abandonment of development projects, and termination of programming agreements, particularly internationally, including locally-produced content and domestic titles that no longer aligned with a shift to a global programming strategy. The removal of this content from our platforms was a triggering event that required an assessment of whether the affected programming assets were impaired. This impairment review compared the current carrying value of each title with its fair value, which considered (1) that the titles were no longer being utilized on our platforms and there was no intention to use the titles on our platforms in the future and (2) the estimated future cash flows associated with any anticipated licensing of the titles to third parties, which was minimal. The programming charges were comprised of $909 million for the impairment of content to its estimated fair value, as well as $209 million for development cost write-offs and contract termination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Selling, General and Administrative Expenses</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80" w:lineRule="exact"/>
        <w:rPr>
          <w:sz w:val="20"/>
          <w:szCs w:val="20"/>
          <w:color w:val="auto"/>
        </w:rPr>
      </w:pPr>
    </w:p>
    <w:tbl>
      <w:tblPr>
        <w:tblLayout w:type="fixed"/>
        <w:tblInd w:w="1780" w:type="dxa"/>
        <w:tblCellMar>
          <w:top w:w="0" w:type="dxa"/>
          <w:left w:w="0" w:type="dxa"/>
          <w:bottom w:w="0" w:type="dxa"/>
          <w:right w:w="0" w:type="dxa"/>
        </w:tblCellMar>
      </w:tblPr>
      <w:tr>
        <w:trPr>
          <w:trHeight w:val="262"/>
        </w:trPr>
        <w:tc>
          <w:tcPr>
            <w:tcW w:w="26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40" w:type="dxa"/>
            <w:vAlign w:val="bottom"/>
            <w:tcBorders>
              <w:top w:val="single" w:sz="8" w:color="auto"/>
              <w:right w:val="single" w:sz="8" w:color="auto"/>
            </w:tcBorders>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62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40" w:type="dxa"/>
            <w:vAlign w:val="bottom"/>
            <w:tcBorders>
              <w:top w:val="single" w:sz="8" w:color="auto"/>
            </w:tcBorders>
          </w:tcPr>
          <w:p>
            <w:pPr>
              <w:spacing w:after="0"/>
              <w:rPr>
                <w:sz w:val="22"/>
                <w:szCs w:val="22"/>
                <w:color w:val="auto"/>
              </w:rPr>
            </w:pPr>
          </w:p>
        </w:tc>
      </w:tr>
      <w:tr>
        <w:trPr>
          <w:trHeight w:val="27"/>
        </w:trPr>
        <w:tc>
          <w:tcPr>
            <w:tcW w:w="2680" w:type="dxa"/>
            <w:vAlign w:val="bottom"/>
          </w:tcPr>
          <w:p>
            <w:pPr>
              <w:spacing w:after="0"/>
              <w:rPr>
                <w:sz w:val="2"/>
                <w:szCs w:val="2"/>
                <w:color w:val="auto"/>
              </w:rPr>
            </w:pPr>
          </w:p>
        </w:tc>
        <w:tc>
          <w:tcPr>
            <w:tcW w:w="1720" w:type="dxa"/>
            <w:vAlign w:val="bottom"/>
            <w:tcBorders>
              <w:bottom w:val="single" w:sz="8" w:color="auto"/>
              <w:right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09"/>
        </w:trPr>
        <w:tc>
          <w:tcPr>
            <w:tcW w:w="26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w:t>
            </w:r>
          </w:p>
        </w:tc>
      </w:tr>
      <w:tr>
        <w:trPr>
          <w:trHeight w:val="210"/>
        </w:trPr>
        <w:tc>
          <w:tcPr>
            <w:tcW w:w="2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Borders>
              <w:right w:val="single" w:sz="8" w:color="auto"/>
            </w:tcBorders>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Period From July</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Ended September</w:t>
            </w:r>
          </w:p>
        </w:tc>
      </w:tr>
      <w:tr>
        <w:trPr>
          <w:trHeight w:val="230"/>
        </w:trPr>
        <w:tc>
          <w:tcPr>
            <w:tcW w:w="26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1 - August 6,</w:t>
            </w:r>
          </w:p>
        </w:tc>
        <w:tc>
          <w:tcPr>
            <w:tcW w:w="540" w:type="dxa"/>
            <w:vAlign w:val="bottom"/>
          </w:tcPr>
          <w:p>
            <w:pPr>
              <w:spacing w:after="0"/>
              <w:rPr>
                <w:sz w:val="19"/>
                <w:szCs w:val="19"/>
                <w:color w:val="auto"/>
              </w:rPr>
            </w:pPr>
          </w:p>
        </w:tc>
        <w:tc>
          <w:tcPr>
            <w:tcW w:w="1040" w:type="dxa"/>
            <w:vAlign w:val="bottom"/>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7"/>
        </w:trPr>
        <w:tc>
          <w:tcPr>
            <w:tcW w:w="2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2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Borders>
              <w:right w:val="single" w:sz="8" w:color="auto"/>
            </w:tcBorders>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Pr>
          <w:p>
            <w:pPr>
              <w:spacing w:after="0"/>
              <w:rPr>
                <w:sz w:val="19"/>
                <w:szCs w:val="19"/>
                <w:color w:val="auto"/>
              </w:rPr>
            </w:pPr>
          </w:p>
        </w:tc>
        <w:tc>
          <w:tcPr>
            <w:tcW w:w="1100" w:type="dxa"/>
            <w:vAlign w:val="bottom"/>
          </w:tcPr>
          <w:p>
            <w:pPr>
              <w:jc w:val="center"/>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Pr>
          <w:p>
            <w:pPr>
              <w:spacing w:after="0"/>
              <w:rPr>
                <w:sz w:val="19"/>
                <w:szCs w:val="19"/>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2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w:t>
            </w:r>
          </w:p>
        </w:tc>
        <w:tc>
          <w:tcPr>
            <w:tcW w:w="3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8"/>
        </w:trPr>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administrative expenses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825</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582</w:t>
            </w: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1,531</w:t>
            </w:r>
          </w:p>
        </w:tc>
      </w:tr>
      <w:tr>
        <w:trPr>
          <w:trHeight w:val="33"/>
        </w:trPr>
        <w:tc>
          <w:tcPr>
            <w:tcW w:w="2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67" w:lineRule="exact"/>
        <w:rPr>
          <w:sz w:val="20"/>
          <w:szCs w:val="20"/>
          <w:color w:val="auto"/>
        </w:rPr>
      </w:pPr>
    </w:p>
    <w:tbl>
      <w:tblPr>
        <w:tblLayout w:type="fixed"/>
        <w:tblInd w:w="1780" w:type="dxa"/>
        <w:tblCellMar>
          <w:top w:w="0" w:type="dxa"/>
          <w:left w:w="0" w:type="dxa"/>
          <w:bottom w:w="0" w:type="dxa"/>
          <w:right w:w="0" w:type="dxa"/>
        </w:tblCellMar>
      </w:tblPr>
      <w:tr>
        <w:trPr>
          <w:trHeight w:val="262"/>
        </w:trPr>
        <w:tc>
          <w:tcPr>
            <w:tcW w:w="27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54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gridSpan w:val="2"/>
          </w:tcPr>
          <w:p>
            <w:pPr>
              <w:ind w:left="740"/>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60" w:type="dxa"/>
            <w:vAlign w:val="bottom"/>
            <w:tcBorders>
              <w:top w:val="single" w:sz="8" w:color="auto"/>
            </w:tcBorders>
          </w:tcPr>
          <w:p>
            <w:pPr>
              <w:spacing w:after="0"/>
              <w:rPr>
                <w:sz w:val="22"/>
                <w:szCs w:val="22"/>
                <w:color w:val="auto"/>
              </w:rPr>
            </w:pPr>
          </w:p>
        </w:tc>
      </w:tr>
      <w:tr>
        <w:trPr>
          <w:trHeight w:val="27"/>
        </w:trPr>
        <w:tc>
          <w:tcPr>
            <w:tcW w:w="2700" w:type="dxa"/>
            <w:vAlign w:val="bottom"/>
          </w:tcPr>
          <w:p>
            <w:pPr>
              <w:spacing w:after="0"/>
              <w:rPr>
                <w:sz w:val="2"/>
                <w:szCs w:val="2"/>
                <w:color w:val="auto"/>
              </w:rPr>
            </w:pPr>
          </w:p>
        </w:tc>
        <w:tc>
          <w:tcPr>
            <w:tcW w:w="1640" w:type="dxa"/>
            <w:vAlign w:val="bottom"/>
            <w:tcBorders>
              <w:bottom w:val="single" w:sz="8" w:color="auto"/>
              <w:right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209"/>
        </w:trPr>
        <w:tc>
          <w:tcPr>
            <w:tcW w:w="270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Nine Months</w:t>
            </w:r>
          </w:p>
        </w:tc>
      </w:tr>
      <w:tr>
        <w:trPr>
          <w:trHeight w:val="210"/>
        </w:trPr>
        <w:tc>
          <w:tcPr>
            <w:tcW w:w="270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January 1 - August</w:t>
            </w: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Ended September</w:t>
            </w:r>
          </w:p>
        </w:tc>
      </w:tr>
      <w:tr>
        <w:trPr>
          <w:trHeight w:val="230"/>
        </w:trPr>
        <w:tc>
          <w:tcPr>
            <w:tcW w:w="270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40" w:type="dxa"/>
            <w:vAlign w:val="bottom"/>
          </w:tcPr>
          <w:p>
            <w:pPr>
              <w:spacing w:after="0"/>
              <w:rPr>
                <w:sz w:val="19"/>
                <w:szCs w:val="19"/>
                <w:color w:val="auto"/>
              </w:rPr>
            </w:pPr>
          </w:p>
        </w:tc>
        <w:tc>
          <w:tcPr>
            <w:tcW w:w="120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6,</w:t>
            </w:r>
          </w:p>
        </w:tc>
        <w:tc>
          <w:tcPr>
            <w:tcW w:w="560" w:type="dxa"/>
            <w:vAlign w:val="bottom"/>
          </w:tcPr>
          <w:p>
            <w:pPr>
              <w:spacing w:after="0"/>
              <w:rPr>
                <w:sz w:val="19"/>
                <w:szCs w:val="19"/>
                <w:color w:val="auto"/>
              </w:rPr>
            </w:pPr>
          </w:p>
        </w:tc>
        <w:tc>
          <w:tcPr>
            <w:tcW w:w="1060" w:type="dxa"/>
            <w:vAlign w:val="bottom"/>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7"/>
        </w:trPr>
        <w:tc>
          <w:tcPr>
            <w:tcW w:w="2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2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Borders>
              <w:right w:val="single" w:sz="8" w:color="auto"/>
            </w:tcBorders>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540" w:type="dxa"/>
            <w:vAlign w:val="bottom"/>
          </w:tcPr>
          <w:p>
            <w:pPr>
              <w:spacing w:after="0"/>
              <w:rPr>
                <w:sz w:val="19"/>
                <w:szCs w:val="19"/>
                <w:color w:val="auto"/>
              </w:rPr>
            </w:pPr>
          </w:p>
        </w:tc>
        <w:tc>
          <w:tcPr>
            <w:tcW w:w="1200" w:type="dxa"/>
            <w:vAlign w:val="bottom"/>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19"/>
                <w:szCs w:val="19"/>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2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1"/>
        </w:trPr>
        <w:tc>
          <w:tcPr>
            <w:tcW w:w="2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w:t>
            </w:r>
          </w:p>
        </w:tc>
        <w:tc>
          <w:tcPr>
            <w:tcW w:w="3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8"/>
        </w:trPr>
        <w:tc>
          <w:tcPr>
            <w:tcW w:w="2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administrative expenses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825</w:t>
            </w: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3,526</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4,772</w:t>
            </w:r>
          </w:p>
        </w:tc>
      </w:tr>
      <w:tr>
        <w:trPr>
          <w:trHeight w:val="33"/>
        </w:trPr>
        <w:tc>
          <w:tcPr>
            <w:tcW w:w="2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66"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9"/>
          <w:szCs w:val="19"/>
          <w:color w:val="auto"/>
        </w:rPr>
        <w:t>Selling, general and administrative (“SG&amp;A”) expenses include costs incurred for advertising and marketing for our linear networks and streaming services, research, occupancy, professional service fees, and back office support, including employee compensation and technology. SG&amp;A in all periods benefited from restructuring activities and other cost savings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587" w:right="4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Depreciation and Amortization</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80" w:lineRule="exact"/>
        <w:rPr>
          <w:sz w:val="20"/>
          <w:szCs w:val="20"/>
          <w:color w:val="auto"/>
        </w:rPr>
      </w:pPr>
    </w:p>
    <w:tbl>
      <w:tblPr>
        <w:tblLayout w:type="fixed"/>
        <w:tblInd w:w="1760" w:type="dxa"/>
        <w:tblCellMar>
          <w:top w:w="0" w:type="dxa"/>
          <w:left w:w="0" w:type="dxa"/>
          <w:bottom w:w="0" w:type="dxa"/>
          <w:right w:w="0" w:type="dxa"/>
        </w:tblCellMar>
      </w:tblPr>
      <w:tr>
        <w:trPr>
          <w:trHeight w:val="262"/>
        </w:trPr>
        <w:tc>
          <w:tcPr>
            <w:tcW w:w="26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60" w:type="dxa"/>
            <w:vAlign w:val="bottom"/>
            <w:tcBorders>
              <w:top w:val="single" w:sz="8" w:color="auto"/>
              <w:right w:val="single" w:sz="8" w:color="auto"/>
            </w:tcBorders>
          </w:tcPr>
          <w:p>
            <w:pPr>
              <w:jc w:val="center"/>
              <w:ind w:right="47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6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40" w:type="dxa"/>
            <w:vAlign w:val="bottom"/>
            <w:tcBorders>
              <w:top w:val="single" w:sz="8" w:color="auto"/>
            </w:tcBorders>
          </w:tcPr>
          <w:p>
            <w:pPr>
              <w:spacing w:after="0"/>
              <w:rPr>
                <w:sz w:val="22"/>
                <w:szCs w:val="22"/>
                <w:color w:val="auto"/>
              </w:rPr>
            </w:pPr>
          </w:p>
        </w:tc>
      </w:tr>
      <w:tr>
        <w:trPr>
          <w:trHeight w:val="27"/>
        </w:trPr>
        <w:tc>
          <w:tcPr>
            <w:tcW w:w="2660" w:type="dxa"/>
            <w:vAlign w:val="bottom"/>
          </w:tcPr>
          <w:p>
            <w:pPr>
              <w:spacing w:after="0"/>
              <w:rPr>
                <w:sz w:val="2"/>
                <w:szCs w:val="2"/>
                <w:color w:val="auto"/>
              </w:rPr>
            </w:pPr>
          </w:p>
        </w:tc>
        <w:tc>
          <w:tcPr>
            <w:tcW w:w="1720" w:type="dxa"/>
            <w:vAlign w:val="bottom"/>
            <w:tcBorders>
              <w:bottom w:val="single" w:sz="8" w:color="auto"/>
              <w:right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209"/>
        </w:trPr>
        <w:tc>
          <w:tcPr>
            <w:tcW w:w="266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w:t>
            </w:r>
          </w:p>
        </w:tc>
      </w:tr>
      <w:tr>
        <w:trPr>
          <w:trHeight w:val="210"/>
        </w:trPr>
        <w:tc>
          <w:tcPr>
            <w:tcW w:w="2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right w:val="single" w:sz="8" w:color="auto"/>
            </w:tcBorders>
          </w:tcPr>
          <w:p>
            <w:pPr>
              <w:jc w:val="center"/>
              <w:ind w:right="47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Period From July</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Ended September</w:t>
            </w:r>
          </w:p>
        </w:tc>
      </w:tr>
      <w:tr>
        <w:trPr>
          <w:trHeight w:val="230"/>
        </w:trPr>
        <w:tc>
          <w:tcPr>
            <w:tcW w:w="266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1 - August 6,</w:t>
            </w:r>
          </w:p>
        </w:tc>
        <w:tc>
          <w:tcPr>
            <w:tcW w:w="580" w:type="dxa"/>
            <w:vAlign w:val="bottom"/>
          </w:tcPr>
          <w:p>
            <w:pPr>
              <w:spacing w:after="0"/>
              <w:rPr>
                <w:sz w:val="19"/>
                <w:szCs w:val="19"/>
                <w:color w:val="auto"/>
              </w:rPr>
            </w:pPr>
          </w:p>
        </w:tc>
        <w:tc>
          <w:tcPr>
            <w:tcW w:w="1040" w:type="dxa"/>
            <w:vAlign w:val="bottom"/>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7"/>
        </w:trPr>
        <w:tc>
          <w:tcPr>
            <w:tcW w:w="2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Borders>
              <w:right w:val="single" w:sz="8" w:color="auto"/>
            </w:tcBorders>
          </w:tcPr>
          <w:p>
            <w:pPr>
              <w:jc w:val="center"/>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Pr>
          <w:p>
            <w:pPr>
              <w:spacing w:after="0"/>
              <w:rPr>
                <w:sz w:val="19"/>
                <w:szCs w:val="19"/>
                <w:color w:val="auto"/>
              </w:rPr>
            </w:pPr>
          </w:p>
        </w:tc>
        <w:tc>
          <w:tcPr>
            <w:tcW w:w="1120" w:type="dxa"/>
            <w:vAlign w:val="bottom"/>
          </w:tcPr>
          <w:p>
            <w:pPr>
              <w:jc w:val="center"/>
              <w:ind w:right="45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580" w:type="dxa"/>
            <w:vAlign w:val="bottom"/>
          </w:tcPr>
          <w:p>
            <w:pPr>
              <w:spacing w:after="0"/>
              <w:rPr>
                <w:sz w:val="19"/>
                <w:szCs w:val="19"/>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2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226</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29</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96</w:t>
            </w:r>
          </w:p>
        </w:tc>
      </w:tr>
      <w:tr>
        <w:trPr>
          <w:trHeight w:val="33"/>
        </w:trPr>
        <w:tc>
          <w:tcPr>
            <w:tcW w:w="2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67" w:lineRule="exact"/>
        <w:rPr>
          <w:sz w:val="20"/>
          <w:szCs w:val="20"/>
          <w:color w:val="auto"/>
        </w:rPr>
      </w:pPr>
    </w:p>
    <w:tbl>
      <w:tblPr>
        <w:tblLayout w:type="fixed"/>
        <w:tblInd w:w="1740" w:type="dxa"/>
        <w:tblCellMar>
          <w:top w:w="0" w:type="dxa"/>
          <w:left w:w="0" w:type="dxa"/>
          <w:bottom w:w="0" w:type="dxa"/>
          <w:right w:w="0" w:type="dxa"/>
        </w:tblCellMar>
      </w:tblPr>
      <w:tr>
        <w:trPr>
          <w:trHeight w:val="262"/>
        </w:trPr>
        <w:tc>
          <w:tcPr>
            <w:tcW w:w="27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64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2"/>
          </w:tcPr>
          <w:p>
            <w:pPr>
              <w:ind w:left="720"/>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60" w:type="dxa"/>
            <w:vAlign w:val="bottom"/>
            <w:tcBorders>
              <w:top w:val="single" w:sz="8" w:color="auto"/>
            </w:tcBorders>
          </w:tcPr>
          <w:p>
            <w:pPr>
              <w:spacing w:after="0"/>
              <w:rPr>
                <w:sz w:val="22"/>
                <w:szCs w:val="22"/>
                <w:color w:val="auto"/>
              </w:rPr>
            </w:pPr>
          </w:p>
        </w:tc>
      </w:tr>
      <w:tr>
        <w:trPr>
          <w:trHeight w:val="27"/>
        </w:trPr>
        <w:tc>
          <w:tcPr>
            <w:tcW w:w="2720" w:type="dxa"/>
            <w:vAlign w:val="bottom"/>
          </w:tcPr>
          <w:p>
            <w:pPr>
              <w:spacing w:after="0"/>
              <w:rPr>
                <w:sz w:val="2"/>
                <w:szCs w:val="2"/>
                <w:color w:val="auto"/>
              </w:rPr>
            </w:pPr>
          </w:p>
        </w:tc>
        <w:tc>
          <w:tcPr>
            <w:tcW w:w="1620" w:type="dxa"/>
            <w:vAlign w:val="bottom"/>
            <w:tcBorders>
              <w:bottom w:val="single" w:sz="8" w:color="auto"/>
              <w:right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209"/>
        </w:trPr>
        <w:tc>
          <w:tcPr>
            <w:tcW w:w="272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Nine Months</w:t>
            </w:r>
          </w:p>
        </w:tc>
      </w:tr>
      <w:tr>
        <w:trPr>
          <w:trHeight w:val="210"/>
        </w:trPr>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Borders>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January 1 - August</w:t>
            </w: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Ended September</w:t>
            </w:r>
          </w:p>
        </w:tc>
      </w:tr>
      <w:tr>
        <w:trPr>
          <w:trHeight w:val="230"/>
        </w:trPr>
        <w:tc>
          <w:tcPr>
            <w:tcW w:w="2720" w:type="dxa"/>
            <w:vAlign w:val="bottom"/>
          </w:tcPr>
          <w:p>
            <w:pPr>
              <w:spacing w:after="0"/>
              <w:rPr>
                <w:sz w:val="19"/>
                <w:szCs w:val="19"/>
                <w:color w:val="auto"/>
              </w:rPr>
            </w:pPr>
          </w:p>
        </w:tc>
        <w:tc>
          <w:tcPr>
            <w:tcW w:w="1620" w:type="dxa"/>
            <w:vAlign w:val="bottom"/>
            <w:tcBorders>
              <w:right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40" w:type="dxa"/>
            <w:vAlign w:val="bottom"/>
          </w:tcPr>
          <w:p>
            <w:pPr>
              <w:spacing w:after="0"/>
              <w:rPr>
                <w:sz w:val="19"/>
                <w:szCs w:val="19"/>
                <w:color w:val="auto"/>
              </w:rPr>
            </w:pPr>
          </w:p>
        </w:tc>
        <w:tc>
          <w:tcPr>
            <w:tcW w:w="118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6,</w:t>
            </w:r>
          </w:p>
        </w:tc>
        <w:tc>
          <w:tcPr>
            <w:tcW w:w="560" w:type="dxa"/>
            <w:vAlign w:val="bottom"/>
          </w:tcPr>
          <w:p>
            <w:pPr>
              <w:spacing w:after="0"/>
              <w:rPr>
                <w:sz w:val="19"/>
                <w:szCs w:val="19"/>
                <w:color w:val="auto"/>
              </w:rPr>
            </w:pPr>
          </w:p>
        </w:tc>
        <w:tc>
          <w:tcPr>
            <w:tcW w:w="1060" w:type="dxa"/>
            <w:vAlign w:val="bottom"/>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7"/>
        </w:trPr>
        <w:tc>
          <w:tcPr>
            <w:tcW w:w="2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Pr>
          <w:p>
            <w:pPr>
              <w:spacing w:after="0"/>
              <w:rPr>
                <w:sz w:val="19"/>
                <w:szCs w:val="19"/>
                <w:color w:val="auto"/>
              </w:rPr>
            </w:pPr>
          </w:p>
        </w:tc>
        <w:tc>
          <w:tcPr>
            <w:tcW w:w="1180" w:type="dxa"/>
            <w:vAlign w:val="bottom"/>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19"/>
                <w:szCs w:val="19"/>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2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226</w:t>
            </w:r>
          </w:p>
        </w:tc>
        <w:tc>
          <w:tcPr>
            <w:tcW w:w="6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204</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297</w:t>
            </w:r>
          </w:p>
        </w:tc>
      </w:tr>
      <w:tr>
        <w:trPr>
          <w:trHeight w:val="33"/>
        </w:trPr>
        <w:tc>
          <w:tcPr>
            <w:tcW w:w="2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9"/>
          <w:szCs w:val="19"/>
          <w:color w:val="auto"/>
        </w:rPr>
        <w:t xml:space="preserve">Depreciation and amortization expense reflects depreciation of fixed assets and amortization of finite-lived intangible assets. Depreciation and amortization for the Successor period includes amortization of intangible assets established in connection with the change in accounting basis (See Note 2 to the consolidated financial statements). In addition, we began amortizing FCC licenses over a 30-year period during the third quarter of 2025 (see </w:t>
      </w:r>
      <w:r>
        <w:rPr>
          <w:rFonts w:ascii="Times New Roman" w:cs="Times New Roman" w:eastAsia="Times New Roman" w:hAnsi="Times New Roman"/>
          <w:sz w:val="19"/>
          <w:szCs w:val="19"/>
          <w:i w:val="1"/>
          <w:iCs w:val="1"/>
          <w:color w:val="auto"/>
        </w:rPr>
        <w:t>Critical Accounting Estimates</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Impairment Charges</w:t>
      </w:r>
    </w:p>
    <w:p>
      <w:pPr>
        <w:spacing w:after="0" w:line="164"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9"/>
          <w:szCs w:val="19"/>
          <w:color w:val="auto"/>
        </w:rPr>
        <w:t>The impairment charge of $157 million in the second quarter of 2025 reflects a charge to reduce the carrying values of FCC licenses in certain markets to their estimated fair values at June 30, 2025.</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During the second quarter of 2024 (Predecessor), a goodwill impairment charge of $5.98 billion was recorded for the Cable Networks reporting unit. In addition, charges of $15 million and $104 million were recorded during the second and third quarters of 2024, respectively, to write down the carrying values of FCC licenses in certain markets to their estimated fair values. The goodwill impairment charge resulted from a downward adjustment to the reporting unit’s expected cash flows, primarily as a result of indicators in the linear affiliate marketplace, and the estimated total company market value indicated by the Transactions and the NAI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and Transaction-Related Items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periods presented we recorded the following restructuring charges and transaction-related items.</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80" w:lineRule="exact"/>
        <w:rPr>
          <w:sz w:val="20"/>
          <w:szCs w:val="20"/>
          <w:color w:val="auto"/>
        </w:rPr>
      </w:pPr>
    </w:p>
    <w:tbl>
      <w:tblPr>
        <w:tblLayout w:type="fixed"/>
        <w:tblInd w:w="1280" w:type="dxa"/>
        <w:tblCellMar>
          <w:top w:w="0" w:type="dxa"/>
          <w:left w:w="0" w:type="dxa"/>
          <w:bottom w:w="0" w:type="dxa"/>
          <w:right w:w="0" w:type="dxa"/>
        </w:tblCellMar>
      </w:tblPr>
      <w:tr>
        <w:trPr>
          <w:trHeight w:val="255"/>
        </w:trPr>
        <w:tc>
          <w:tcPr>
            <w:tcW w:w="416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r>
      <w:tr>
        <w:trPr>
          <w:trHeight w:val="194"/>
        </w:trPr>
        <w:tc>
          <w:tcPr>
            <w:tcW w:w="416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From July</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32"/>
        </w:trPr>
        <w:tc>
          <w:tcPr>
            <w:tcW w:w="416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1 - August 6,</w:t>
            </w:r>
          </w:p>
        </w:tc>
        <w:tc>
          <w:tcPr>
            <w:tcW w:w="16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9"/>
        </w:trPr>
        <w:tc>
          <w:tcPr>
            <w:tcW w:w="4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(a)</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185</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13</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288</w:t>
            </w:r>
          </w:p>
        </w:tc>
      </w:tr>
      <w:tr>
        <w:trPr>
          <w:trHeight w:val="228"/>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Transaction-related items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9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175</w:t>
            </w:r>
          </w:p>
        </w:tc>
        <w:tc>
          <w:tcPr>
            <w:tcW w:w="600" w:type="dxa"/>
            <w:vAlign w:val="bottom"/>
          </w:tcPr>
          <w:p>
            <w:pPr>
              <w:spacing w:after="0"/>
              <w:rPr>
                <w:sz w:val="19"/>
                <w:szCs w:val="19"/>
                <w:color w:val="auto"/>
              </w:rPr>
            </w:pP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33</w:t>
            </w:r>
          </w:p>
        </w:tc>
      </w:tr>
      <w:tr>
        <w:trPr>
          <w:trHeight w:val="27"/>
        </w:trPr>
        <w:tc>
          <w:tcPr>
            <w:tcW w:w="4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and transaction-related items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185</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188</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321</w:t>
            </w:r>
          </w:p>
        </w:tc>
      </w:tr>
      <w:tr>
        <w:trPr>
          <w:trHeight w:val="33"/>
        </w:trPr>
        <w:tc>
          <w:tcPr>
            <w:tcW w:w="4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80" w:lineRule="exact"/>
        <w:rPr>
          <w:sz w:val="20"/>
          <w:szCs w:val="20"/>
          <w:color w:val="auto"/>
        </w:rPr>
      </w:pPr>
    </w:p>
    <w:tbl>
      <w:tblPr>
        <w:tblLayout w:type="fixed"/>
        <w:tblInd w:w="1280" w:type="dxa"/>
        <w:tblCellMar>
          <w:top w:w="0" w:type="dxa"/>
          <w:left w:w="0" w:type="dxa"/>
          <w:bottom w:w="0" w:type="dxa"/>
          <w:right w:w="0" w:type="dxa"/>
        </w:tblCellMar>
      </w:tblPr>
      <w:tr>
        <w:trPr>
          <w:trHeight w:val="255"/>
        </w:trPr>
        <w:tc>
          <w:tcPr>
            <w:tcW w:w="416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1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00" w:type="dxa"/>
            <w:vAlign w:val="bottom"/>
            <w:gridSpan w:val="2"/>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54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500" w:type="dxa"/>
            <w:vAlign w:val="bottom"/>
            <w:gridSpan w:val="2"/>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16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6,</w:t>
            </w:r>
          </w:p>
        </w:tc>
        <w:tc>
          <w:tcPr>
            <w:tcW w:w="15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Severance </w:t>
            </w:r>
            <w:r>
              <w:rPr>
                <w:rFonts w:ascii="Times New Roman" w:cs="Times New Roman" w:eastAsia="Times New Roman" w:hAnsi="Times New Roman"/>
                <w:sz w:val="22"/>
                <w:szCs w:val="22"/>
                <w:color w:val="auto"/>
                <w:vertAlign w:val="superscript"/>
              </w:rPr>
              <w:t>(a)</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185</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190</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Exit costs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65</w:t>
            </w:r>
          </w:p>
        </w:tc>
        <w:tc>
          <w:tcPr>
            <w:tcW w:w="540" w:type="dxa"/>
            <w:vAlign w:val="bottom"/>
          </w:tcPr>
          <w:p>
            <w:pPr>
              <w:spacing w:after="0"/>
              <w:rPr>
                <w:sz w:val="19"/>
                <w:szCs w:val="19"/>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185</w:t>
            </w:r>
          </w:p>
        </w:tc>
        <w:tc>
          <w:tcPr>
            <w:tcW w:w="480" w:type="dxa"/>
            <w:vAlign w:val="bottom"/>
          </w:tcPr>
          <w:p>
            <w:pPr>
              <w:spacing w:after="0"/>
              <w:rPr>
                <w:sz w:val="19"/>
                <w:szCs w:val="19"/>
                <w:color w:val="auto"/>
              </w:rPr>
            </w:pP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255</w:t>
            </w:r>
          </w:p>
        </w:tc>
        <w:tc>
          <w:tcPr>
            <w:tcW w:w="540" w:type="dxa"/>
            <w:vAlign w:val="bottom"/>
          </w:tcPr>
          <w:p>
            <w:pPr>
              <w:spacing w:after="0"/>
              <w:rPr>
                <w:sz w:val="19"/>
                <w:szCs w:val="19"/>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544</w:t>
            </w:r>
          </w:p>
        </w:tc>
        <w:tc>
          <w:tcPr>
            <w:tcW w:w="0" w:type="dxa"/>
            <w:vAlign w:val="bottom"/>
          </w:tcPr>
          <w:p>
            <w:pPr>
              <w:spacing w:after="0"/>
              <w:rPr>
                <w:sz w:val="1"/>
                <w:szCs w:val="1"/>
                <w:color w:val="auto"/>
              </w:rPr>
            </w:pPr>
          </w:p>
        </w:tc>
      </w:tr>
      <w:tr>
        <w:trPr>
          <w:trHeight w:val="262"/>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Transaction-related items</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199</w:t>
            </w:r>
          </w:p>
        </w:tc>
        <w:tc>
          <w:tcPr>
            <w:tcW w:w="540" w:type="dxa"/>
            <w:vAlign w:val="bottom"/>
          </w:tcPr>
          <w:p>
            <w:pPr>
              <w:spacing w:after="0"/>
              <w:rPr>
                <w:sz w:val="22"/>
                <w:szCs w:val="22"/>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and transaction-related items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185</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454</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33"/>
        </w:trPr>
        <w:tc>
          <w:tcPr>
            <w:tcW w:w="4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Restructuring charges for the period from August 7 - September 30, 2025 (Successor) were comprised of severance costs of $185 million, principally associated with actions to align the business around our strategic priorities following the Transactions, including costs related to a plan under which severance payments are being provided to certain eligible employees who voluntarily elected to participate. During the fourth quarter of 2025, we expect to incur additional restructuring charges for severance of approximately $500 million in connection with our realignment process and transformation initiatives.</w:t>
      </w:r>
    </w:p>
    <w:p>
      <w:pPr>
        <w:spacing w:after="0" w:line="20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9"/>
          <w:szCs w:val="19"/>
          <w:color w:val="auto"/>
        </w:rPr>
        <w:t>Restructuring charges for the Predecessor periods from July 1 - August 6, 2025 and January 1 - August 6, 2025 included severance costs of $13 million and $190 million, respectively, primarily associated with strategic changes in the global workforce in order to streamline the organization.</w:t>
      </w:r>
    </w:p>
    <w:p>
      <w:pPr>
        <w:spacing w:after="0" w:line="185" w:lineRule="exact"/>
        <w:rPr>
          <w:sz w:val="20"/>
          <w:szCs w:val="20"/>
          <w:color w:val="auto"/>
        </w:rPr>
      </w:pPr>
    </w:p>
    <w:p>
      <w:pPr>
        <w:jc w:val="both"/>
        <w:ind w:right="560"/>
        <w:spacing w:after="0" w:line="270" w:lineRule="auto"/>
        <w:rPr>
          <w:sz w:val="20"/>
          <w:szCs w:val="20"/>
          <w:color w:val="auto"/>
        </w:rPr>
      </w:pPr>
      <w:r>
        <w:rPr>
          <w:rFonts w:ascii="Times New Roman" w:cs="Times New Roman" w:eastAsia="Times New Roman" w:hAnsi="Times New Roman"/>
          <w:sz w:val="19"/>
          <w:szCs w:val="19"/>
          <w:color w:val="auto"/>
        </w:rPr>
        <w:t>Restructuring charges for the three and nine months ended September 30, 2024 included severance costs of $288 million and $513 million, respectively, associated with strategic changes in our global workforce, and for the nine-month period also related to the exit of Paramount Global’s former CEO and other management changes.</w:t>
      </w:r>
    </w:p>
    <w:p>
      <w:pPr>
        <w:spacing w:after="0" w:line="19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Additionally, during the Predecessor periods from January 1 - August 6, 2025 and the nine months ended September 30, 2024, we recorded exit costs of $65 million and $31 million, respectively, primarily for the impairment of lease assets that we ceased use of in connection with initiatives to reduce our real estate footprint and create cost synergies.</w:t>
      </w:r>
    </w:p>
    <w:p>
      <w:pPr>
        <w:spacing w:after="0" w:line="181" w:lineRule="exact"/>
        <w:rPr>
          <w:sz w:val="20"/>
          <w:szCs w:val="20"/>
          <w:color w:val="auto"/>
        </w:rPr>
      </w:pPr>
    </w:p>
    <w:p>
      <w:pPr>
        <w:ind w:right="620"/>
        <w:spacing w:after="0" w:line="295" w:lineRule="auto"/>
        <w:rPr>
          <w:sz w:val="20"/>
          <w:szCs w:val="20"/>
          <w:color w:val="auto"/>
        </w:rPr>
      </w:pPr>
      <w:r>
        <w:rPr>
          <w:rFonts w:ascii="Times New Roman" w:cs="Times New Roman" w:eastAsia="Times New Roman" w:hAnsi="Times New Roman"/>
          <w:sz w:val="19"/>
          <w:szCs w:val="19"/>
          <w:color w:val="auto"/>
        </w:rPr>
        <w:t>During the Predecessor periods from July 1 - August 6, 2025 and January 1 - August 6, 2025, we recorded $175 million and $199 million, respectively principally for banking, legal, advisory, and other professional fees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9"/>
          <w:szCs w:val="19"/>
          <w:color w:val="auto"/>
        </w:rPr>
        <w:t>to the Transactions, and transaction awards that became payable to eligible employees upon closing. During the three and nine months ended September 30, 2024, we recorded transaction-related costs of $33 million and $51 million, respectively associated with legal and advisory fees related to the Transactions.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Gain on Dispositions</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During the first quarter of 2025 (Predecessor), we recorded gains totaling $35 million, principally associated with the disposition of a noncore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Expense/Income</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93" w:lineRule="exact"/>
        <w:rPr>
          <w:sz w:val="20"/>
          <w:szCs w:val="20"/>
          <w:color w:val="auto"/>
        </w:rPr>
      </w:pPr>
    </w:p>
    <w:tbl>
      <w:tblPr>
        <w:tblLayout w:type="fixed"/>
        <w:tblInd w:w="1900" w:type="dxa"/>
        <w:tblCellMar>
          <w:top w:w="0" w:type="dxa"/>
          <w:left w:w="0" w:type="dxa"/>
          <w:bottom w:w="0" w:type="dxa"/>
          <w:right w:w="0" w:type="dxa"/>
        </w:tblCellMar>
      </w:tblPr>
      <w:tr>
        <w:trPr>
          <w:trHeight w:val="255"/>
        </w:trPr>
        <w:tc>
          <w:tcPr>
            <w:tcW w:w="266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right w:val="single" w:sz="8" w:color="auto"/>
            </w:tcBorders>
          </w:tcPr>
          <w:p>
            <w:pPr>
              <w:jc w:val="center"/>
              <w:ind w:right="41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2"/>
          </w:tcPr>
          <w:p>
            <w:pPr>
              <w:ind w:left="8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40" w:type="dxa"/>
            <w:vAlign w:val="bottom"/>
            <w:tcBorders>
              <w:top w:val="single" w:sz="8" w:color="auto"/>
              <w:bottom w:val="single" w:sz="8" w:color="auto"/>
            </w:tcBorders>
          </w:tcPr>
          <w:p>
            <w:pPr>
              <w:spacing w:after="0"/>
              <w:rPr>
                <w:sz w:val="22"/>
                <w:szCs w:val="22"/>
                <w:color w:val="auto"/>
              </w:rPr>
            </w:pPr>
          </w:p>
        </w:tc>
      </w:tr>
      <w:tr>
        <w:trPr>
          <w:trHeight w:val="194"/>
        </w:trPr>
        <w:tc>
          <w:tcPr>
            <w:tcW w:w="266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 1</w:t>
            </w: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8"/>
        </w:trPr>
        <w:tc>
          <w:tcPr>
            <w:tcW w:w="266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7 - September 30,</w:t>
            </w:r>
          </w:p>
        </w:tc>
        <w:tc>
          <w:tcPr>
            <w:tcW w:w="360" w:type="dxa"/>
            <w:vAlign w:val="bottom"/>
          </w:tcPr>
          <w:p>
            <w:pPr>
              <w:spacing w:after="0"/>
              <w:rPr>
                <w:sz w:val="18"/>
                <w:szCs w:val="18"/>
                <w:color w:val="auto"/>
              </w:rPr>
            </w:pPr>
          </w:p>
        </w:tc>
        <w:tc>
          <w:tcPr>
            <w:tcW w:w="1180" w:type="dxa"/>
            <w:vAlign w:val="bottom"/>
          </w:tcPr>
          <w:p>
            <w:pPr>
              <w:jc w:val="center"/>
              <w:ind w:right="318"/>
              <w:spacing w:after="0"/>
              <w:rPr>
                <w:sz w:val="20"/>
                <w:szCs w:val="20"/>
                <w:color w:val="auto"/>
              </w:rPr>
            </w:pPr>
            <w:r>
              <w:rPr>
                <w:rFonts w:ascii="Times New Roman" w:cs="Times New Roman" w:eastAsia="Times New Roman" w:hAnsi="Times New Roman"/>
                <w:sz w:val="16"/>
                <w:szCs w:val="16"/>
                <w:b w:val="1"/>
                <w:bCs w:val="1"/>
                <w:color w:val="auto"/>
                <w:w w:val="99"/>
              </w:rPr>
              <w:t>- August 6,</w:t>
            </w:r>
          </w:p>
        </w:tc>
        <w:tc>
          <w:tcPr>
            <w:tcW w:w="16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1"/>
        </w:trPr>
        <w:tc>
          <w:tcPr>
            <w:tcW w:w="2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2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4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138</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278"/>
              <w:spacing w:after="0"/>
              <w:rPr>
                <w:sz w:val="20"/>
                <w:szCs w:val="20"/>
                <w:color w:val="auto"/>
              </w:rPr>
            </w:pPr>
            <w:r>
              <w:rPr>
                <w:rFonts w:ascii="Times New Roman" w:cs="Times New Roman" w:eastAsia="Times New Roman" w:hAnsi="Times New Roman"/>
                <w:sz w:val="17"/>
                <w:szCs w:val="17"/>
                <w:color w:val="auto"/>
              </w:rPr>
              <w:t>85</w:t>
            </w:r>
          </w:p>
        </w:tc>
        <w:tc>
          <w:tcPr>
            <w:tcW w:w="5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209</w:t>
            </w:r>
          </w:p>
        </w:tc>
      </w:tr>
      <w:tr>
        <w:trPr>
          <w:trHeight w:val="262"/>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24</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278"/>
              <w:spacing w:after="0"/>
              <w:rPr>
                <w:sz w:val="20"/>
                <w:szCs w:val="20"/>
                <w:color w:val="auto"/>
              </w:rPr>
            </w:pPr>
            <w:r>
              <w:rPr>
                <w:rFonts w:ascii="Times New Roman" w:cs="Times New Roman" w:eastAsia="Times New Roman" w:hAnsi="Times New Roman"/>
                <w:sz w:val="17"/>
                <w:szCs w:val="17"/>
                <w:color w:val="auto"/>
              </w:rPr>
              <w:t>13</w:t>
            </w:r>
          </w:p>
        </w:tc>
        <w:tc>
          <w:tcPr>
            <w:tcW w:w="5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31</w:t>
            </w:r>
          </w:p>
        </w:tc>
      </w:tr>
      <w:tr>
        <w:trPr>
          <w:trHeight w:val="33"/>
        </w:trPr>
        <w:tc>
          <w:tcPr>
            <w:tcW w:w="2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80" w:lineRule="exact"/>
        <w:rPr>
          <w:sz w:val="20"/>
          <w:szCs w:val="20"/>
          <w:color w:val="auto"/>
        </w:rPr>
      </w:pPr>
    </w:p>
    <w:tbl>
      <w:tblPr>
        <w:tblLayout w:type="fixed"/>
        <w:tblInd w:w="1900" w:type="dxa"/>
        <w:tblCellMar>
          <w:top w:w="0" w:type="dxa"/>
          <w:left w:w="0" w:type="dxa"/>
          <w:bottom w:w="0" w:type="dxa"/>
          <w:right w:w="0" w:type="dxa"/>
        </w:tblCellMar>
      </w:tblPr>
      <w:tr>
        <w:trPr>
          <w:trHeight w:val="255"/>
        </w:trPr>
        <w:tc>
          <w:tcPr>
            <w:tcW w:w="268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right w:val="single" w:sz="8" w:color="auto"/>
            </w:tcBorders>
          </w:tcPr>
          <w:p>
            <w:pPr>
              <w:jc w:val="center"/>
              <w:ind w:right="43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680" w:type="dxa"/>
            <w:vAlign w:val="bottom"/>
          </w:tcPr>
          <w:p>
            <w:pPr>
              <w:spacing w:after="0"/>
              <w:rPr>
                <w:sz w:val="17"/>
                <w:szCs w:val="17"/>
                <w:color w:val="auto"/>
              </w:rPr>
            </w:pPr>
          </w:p>
        </w:tc>
        <w:tc>
          <w:tcPr>
            <w:tcW w:w="1620" w:type="dxa"/>
            <w:vAlign w:val="bottom"/>
            <w:tcBorders>
              <w:right w:val="single" w:sz="8" w:color="auto"/>
            </w:tcBorders>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560" w:type="dxa"/>
            <w:vAlign w:val="bottom"/>
            <w:gridSpan w:val="2"/>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5"/>
                <w:szCs w:val="15"/>
                <w:color w:val="auto"/>
              </w:rPr>
            </w:pPr>
          </w:p>
        </w:tc>
        <w:tc>
          <w:tcPr>
            <w:tcW w:w="1620" w:type="dxa"/>
            <w:vAlign w:val="bottom"/>
            <w:tcBorders>
              <w:right w:val="single" w:sz="8" w:color="auto"/>
            </w:tcBorders>
            <w:gridSpan w:val="2"/>
            <w:vMerge w:val="continue"/>
          </w:tcPr>
          <w:p>
            <w:pPr>
              <w:spacing w:after="0"/>
              <w:rPr>
                <w:sz w:val="15"/>
                <w:szCs w:val="15"/>
                <w:color w:val="auto"/>
              </w:rPr>
            </w:pPr>
          </w:p>
        </w:tc>
        <w:tc>
          <w:tcPr>
            <w:tcW w:w="15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80" w:type="dxa"/>
            <w:vAlign w:val="bottom"/>
          </w:tcPr>
          <w:p>
            <w:pPr>
              <w:spacing w:after="0"/>
              <w:rPr>
                <w:sz w:val="19"/>
                <w:szCs w:val="19"/>
                <w:color w:val="auto"/>
              </w:rPr>
            </w:pPr>
          </w:p>
        </w:tc>
        <w:tc>
          <w:tcPr>
            <w:tcW w:w="1620" w:type="dxa"/>
            <w:vAlign w:val="bottom"/>
            <w:tcBorders>
              <w:bottom w:val="single" w:sz="8" w:color="auto"/>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7 - September 30,</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6,</w:t>
            </w:r>
          </w:p>
        </w:tc>
        <w:tc>
          <w:tcPr>
            <w:tcW w:w="16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ind w:right="41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138</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98"/>
              <w:spacing w:after="0"/>
              <w:rPr>
                <w:sz w:val="20"/>
                <w:szCs w:val="20"/>
                <w:color w:val="auto"/>
              </w:rPr>
            </w:pPr>
            <w:r>
              <w:rPr>
                <w:rFonts w:ascii="Times New Roman" w:cs="Times New Roman" w:eastAsia="Times New Roman" w:hAnsi="Times New Roman"/>
                <w:sz w:val="17"/>
                <w:szCs w:val="17"/>
                <w:color w:val="auto"/>
              </w:rPr>
              <w:t>516</w:t>
            </w: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645</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24</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98"/>
              <w:spacing w:after="0"/>
              <w:rPr>
                <w:sz w:val="20"/>
                <w:szCs w:val="20"/>
                <w:color w:val="auto"/>
              </w:rPr>
            </w:pPr>
            <w:r>
              <w:rPr>
                <w:rFonts w:ascii="Times New Roman" w:cs="Times New Roman" w:eastAsia="Times New Roman" w:hAnsi="Times New Roman"/>
                <w:sz w:val="17"/>
                <w:szCs w:val="17"/>
                <w:color w:val="auto"/>
              </w:rPr>
              <w:t>83</w:t>
            </w: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In connection with the pushdown of the Ultimate Parent’s basis, our debt was recorded at fair value, which resulted in a decrease to our total debt balance of $898 million. The adjustments to fair value for each of our senior and junior debt issuances is being amortized over the remaining term of the applicable issuance within interest expense. The weighted average interest rate on our senior and junior debt was 5.17% at September 30, 2025 and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Loss from Investment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first quarter of 2024, we recorded a loss of $4 million associated with the sale of an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2" w:name="page63"/>
    <w:bookmarkEnd w:id="62"/>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Items, Net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components of “Other items, net.”</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80" w:lineRule="exact"/>
        <w:rPr>
          <w:sz w:val="20"/>
          <w:szCs w:val="20"/>
          <w:color w:val="auto"/>
        </w:rPr>
      </w:pPr>
    </w:p>
    <w:tbl>
      <w:tblPr>
        <w:tblLayout w:type="fixed"/>
        <w:tblInd w:w="1400" w:type="dxa"/>
        <w:tblCellMar>
          <w:top w:w="0" w:type="dxa"/>
          <w:left w:w="0" w:type="dxa"/>
          <w:bottom w:w="0" w:type="dxa"/>
          <w:right w:w="0" w:type="dxa"/>
        </w:tblCellMar>
      </w:tblPr>
      <w:tr>
        <w:trPr>
          <w:trHeight w:val="255"/>
        </w:trPr>
        <w:tc>
          <w:tcPr>
            <w:tcW w:w="352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60" w:type="dxa"/>
            <w:vAlign w:val="bottom"/>
            <w:tcBorders>
              <w:top w:val="single" w:sz="8" w:color="auto"/>
              <w:bottom w:val="single" w:sz="8" w:color="auto"/>
            </w:tcBorders>
          </w:tcPr>
          <w:p>
            <w:pPr>
              <w:spacing w:after="0"/>
              <w:rPr>
                <w:sz w:val="22"/>
                <w:szCs w:val="22"/>
                <w:color w:val="auto"/>
              </w:rPr>
            </w:pPr>
          </w:p>
        </w:tc>
      </w:tr>
      <w:tr>
        <w:trPr>
          <w:trHeight w:val="194"/>
        </w:trPr>
        <w:tc>
          <w:tcPr>
            <w:tcW w:w="3520" w:type="dxa"/>
            <w:vAlign w:val="bottom"/>
          </w:tcPr>
          <w:p>
            <w:pPr>
              <w:spacing w:after="0"/>
              <w:rPr>
                <w:sz w:val="16"/>
                <w:szCs w:val="16"/>
                <w:color w:val="auto"/>
              </w:rPr>
            </w:pPr>
          </w:p>
        </w:tc>
        <w:tc>
          <w:tcPr>
            <w:tcW w:w="17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 August 7</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 1</w:t>
            </w:r>
          </w:p>
        </w:tc>
        <w:tc>
          <w:tcPr>
            <w:tcW w:w="1660" w:type="dxa"/>
            <w:vAlign w:val="bottom"/>
            <w:gridSpan w:val="2"/>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r>
      <w:tr>
        <w:trPr>
          <w:trHeight w:val="208"/>
        </w:trPr>
        <w:tc>
          <w:tcPr>
            <w:tcW w:w="3520" w:type="dxa"/>
            <w:vAlign w:val="bottom"/>
          </w:tcPr>
          <w:p>
            <w:pPr>
              <w:spacing w:after="0"/>
              <w:rPr>
                <w:sz w:val="18"/>
                <w:szCs w:val="18"/>
                <w:color w:val="auto"/>
              </w:rPr>
            </w:pPr>
          </w:p>
        </w:tc>
        <w:tc>
          <w:tcPr>
            <w:tcW w:w="17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 September 30,</w:t>
            </w:r>
          </w:p>
        </w:tc>
        <w:tc>
          <w:tcPr>
            <w:tcW w:w="380" w:type="dxa"/>
            <w:vAlign w:val="bottom"/>
          </w:tcPr>
          <w:p>
            <w:pPr>
              <w:spacing w:after="0"/>
              <w:rPr>
                <w:sz w:val="18"/>
                <w:szCs w:val="18"/>
                <w:color w:val="auto"/>
              </w:rPr>
            </w:pPr>
          </w:p>
        </w:tc>
        <w:tc>
          <w:tcPr>
            <w:tcW w:w="1200" w:type="dxa"/>
            <w:vAlign w:val="bottom"/>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9"/>
              </w:rPr>
              <w:t>- August 6,</w:t>
            </w:r>
          </w:p>
        </w:tc>
        <w:tc>
          <w:tcPr>
            <w:tcW w:w="1660" w:type="dxa"/>
            <w:vAlign w:val="bottom"/>
            <w:gridSpan w:val="2"/>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31"/>
        </w:trPr>
        <w:tc>
          <w:tcPr>
            <w:tcW w:w="3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3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center"/>
              <w:ind w:right="4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benefit costs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(14)</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(12)</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(34)</w:t>
            </w:r>
          </w:p>
        </w:tc>
      </w:tr>
      <w:tr>
        <w:trPr>
          <w:trHeight w:val="262"/>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loss</w:t>
            </w:r>
          </w:p>
        </w:tc>
        <w:tc>
          <w:tcPr>
            <w:tcW w:w="420" w:type="dxa"/>
            <w:vAlign w:val="bottom"/>
          </w:tcPr>
          <w:p>
            <w:pPr>
              <w:spacing w:after="0"/>
              <w:rPr>
                <w:sz w:val="22"/>
                <w:szCs w:val="22"/>
                <w:color w:val="auto"/>
              </w:rPr>
            </w:pPr>
          </w:p>
        </w:tc>
        <w:tc>
          <w:tcPr>
            <w:tcW w:w="1280" w:type="dxa"/>
            <w:vAlign w:val="bottom"/>
            <w:tcBorders>
              <w:right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rPr>
              <w:t>4</w:t>
            </w:r>
          </w:p>
        </w:tc>
        <w:tc>
          <w:tcPr>
            <w:tcW w:w="380" w:type="dxa"/>
            <w:vAlign w:val="bottom"/>
          </w:tcPr>
          <w:p>
            <w:pPr>
              <w:spacing w:after="0"/>
              <w:rPr>
                <w:sz w:val="22"/>
                <w:szCs w:val="22"/>
                <w:color w:val="auto"/>
              </w:rPr>
            </w:pPr>
          </w:p>
        </w:tc>
        <w:tc>
          <w:tcPr>
            <w:tcW w:w="12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tcPr>
          <w:p>
            <w:pPr>
              <w:spacing w:after="0"/>
              <w:rPr>
                <w:sz w:val="22"/>
                <w:szCs w:val="22"/>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(7)</w:t>
            </w:r>
          </w:p>
        </w:tc>
      </w:tr>
      <w:tr>
        <w:trPr>
          <w:trHeight w:val="262"/>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20" w:type="dxa"/>
            <w:vAlign w:val="bottom"/>
          </w:tcPr>
          <w:p>
            <w:pPr>
              <w:spacing w:after="0"/>
              <w:rPr>
                <w:sz w:val="22"/>
                <w:szCs w:val="22"/>
                <w:color w:val="auto"/>
              </w:rPr>
            </w:pPr>
          </w:p>
        </w:tc>
        <w:tc>
          <w:tcPr>
            <w:tcW w:w="1280" w:type="dxa"/>
            <w:vAlign w:val="bottom"/>
            <w:tcBorders>
              <w:right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rPr>
              <w:t>2</w:t>
            </w:r>
          </w:p>
        </w:tc>
        <w:tc>
          <w:tcPr>
            <w:tcW w:w="380" w:type="dxa"/>
            <w:vAlign w:val="bottom"/>
          </w:tcPr>
          <w:p>
            <w:pPr>
              <w:spacing w:after="0"/>
              <w:rPr>
                <w:sz w:val="22"/>
                <w:szCs w:val="22"/>
                <w:color w:val="auto"/>
              </w:rPr>
            </w:pPr>
          </w:p>
        </w:tc>
        <w:tc>
          <w:tcPr>
            <w:tcW w:w="12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spacing w:after="0"/>
              <w:rPr>
                <w:sz w:val="22"/>
                <w:szCs w:val="22"/>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2</w:t>
            </w:r>
          </w:p>
        </w:tc>
      </w:tr>
      <w:tr>
        <w:trPr>
          <w:trHeight w:val="27"/>
        </w:trPr>
        <w:tc>
          <w:tcPr>
            <w:tcW w:w="3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items, net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(8)</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(16)</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(39)</w:t>
            </w:r>
          </w:p>
        </w:tc>
      </w:tr>
      <w:tr>
        <w:trPr>
          <w:trHeight w:val="33"/>
        </w:trPr>
        <w:tc>
          <w:tcPr>
            <w:tcW w:w="3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93" w:lineRule="exact"/>
        <w:rPr>
          <w:sz w:val="20"/>
          <w:szCs w:val="20"/>
          <w:color w:val="auto"/>
        </w:rPr>
      </w:pPr>
    </w:p>
    <w:tbl>
      <w:tblPr>
        <w:tblLayout w:type="fixed"/>
        <w:tblInd w:w="1400" w:type="dxa"/>
        <w:tblCellMar>
          <w:top w:w="0" w:type="dxa"/>
          <w:left w:w="0" w:type="dxa"/>
          <w:bottom w:w="0" w:type="dxa"/>
          <w:right w:w="0" w:type="dxa"/>
        </w:tblCellMar>
      </w:tblPr>
      <w:tr>
        <w:trPr>
          <w:trHeight w:val="255"/>
        </w:trPr>
        <w:tc>
          <w:tcPr>
            <w:tcW w:w="352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60" w:type="dxa"/>
            <w:vAlign w:val="bottom"/>
            <w:tcBorders>
              <w:top w:val="single" w:sz="8" w:color="auto"/>
              <w:bottom w:val="single" w:sz="8" w:color="auto"/>
            </w:tcBorders>
          </w:tcPr>
          <w:p>
            <w:pPr>
              <w:spacing w:after="0"/>
              <w:rPr>
                <w:sz w:val="22"/>
                <w:szCs w:val="22"/>
                <w:color w:val="auto"/>
              </w:rPr>
            </w:pPr>
          </w:p>
        </w:tc>
      </w:tr>
      <w:tr>
        <w:trPr>
          <w:trHeight w:val="194"/>
        </w:trPr>
        <w:tc>
          <w:tcPr>
            <w:tcW w:w="3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600" w:type="dxa"/>
            <w:vAlign w:val="bottom"/>
            <w:gridSpan w:val="2"/>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3520" w:type="dxa"/>
            <w:vAlign w:val="bottom"/>
          </w:tcPr>
          <w:p>
            <w:pPr>
              <w:spacing w:after="0"/>
              <w:rPr>
                <w:sz w:val="15"/>
                <w:szCs w:val="15"/>
                <w:color w:val="auto"/>
              </w:rPr>
            </w:pPr>
          </w:p>
        </w:tc>
        <w:tc>
          <w:tcPr>
            <w:tcW w:w="17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 August 7</w:t>
            </w:r>
          </w:p>
        </w:tc>
        <w:tc>
          <w:tcPr>
            <w:tcW w:w="160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r>
      <w:tr>
        <w:trPr>
          <w:trHeight w:val="208"/>
        </w:trPr>
        <w:tc>
          <w:tcPr>
            <w:tcW w:w="3520" w:type="dxa"/>
            <w:vAlign w:val="bottom"/>
          </w:tcPr>
          <w:p>
            <w:pPr>
              <w:spacing w:after="0"/>
              <w:rPr>
                <w:sz w:val="18"/>
                <w:szCs w:val="18"/>
                <w:color w:val="auto"/>
              </w:rPr>
            </w:pPr>
          </w:p>
        </w:tc>
        <w:tc>
          <w:tcPr>
            <w:tcW w:w="17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 September 30,</w:t>
            </w:r>
          </w:p>
        </w:tc>
        <w:tc>
          <w:tcPr>
            <w:tcW w:w="480" w:type="dxa"/>
            <w:vAlign w:val="bottom"/>
          </w:tcPr>
          <w:p>
            <w:pPr>
              <w:spacing w:after="0"/>
              <w:rPr>
                <w:sz w:val="18"/>
                <w:szCs w:val="18"/>
                <w:color w:val="auto"/>
              </w:rPr>
            </w:pPr>
          </w:p>
        </w:tc>
        <w:tc>
          <w:tcPr>
            <w:tcW w:w="1120" w:type="dxa"/>
            <w:vAlign w:val="bottom"/>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6,</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31"/>
        </w:trPr>
        <w:tc>
          <w:tcPr>
            <w:tcW w:w="3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3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center"/>
              <w:ind w:right="4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benefit costs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(14)</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(80)</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(103)</w:t>
            </w:r>
          </w:p>
        </w:tc>
      </w:tr>
      <w:tr>
        <w:trPr>
          <w:trHeight w:val="262"/>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loss</w:t>
            </w:r>
          </w:p>
        </w:tc>
        <w:tc>
          <w:tcPr>
            <w:tcW w:w="420" w:type="dxa"/>
            <w:vAlign w:val="bottom"/>
          </w:tcPr>
          <w:p>
            <w:pPr>
              <w:spacing w:after="0"/>
              <w:rPr>
                <w:sz w:val="22"/>
                <w:szCs w:val="22"/>
                <w:color w:val="auto"/>
              </w:rPr>
            </w:pPr>
          </w:p>
        </w:tc>
        <w:tc>
          <w:tcPr>
            <w:tcW w:w="1280" w:type="dxa"/>
            <w:vAlign w:val="bottom"/>
            <w:tcBorders>
              <w:right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rPr>
              <w:t>4</w:t>
            </w:r>
          </w:p>
        </w:tc>
        <w:tc>
          <w:tcPr>
            <w:tcW w:w="480" w:type="dxa"/>
            <w:vAlign w:val="bottom"/>
          </w:tcPr>
          <w:p>
            <w:pPr>
              <w:spacing w:after="0"/>
              <w:rPr>
                <w:sz w:val="22"/>
                <w:szCs w:val="22"/>
                <w:color w:val="auto"/>
              </w:rPr>
            </w:pPr>
          </w:p>
        </w:tc>
        <w:tc>
          <w:tcPr>
            <w:tcW w:w="11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(11)</w:t>
            </w:r>
          </w:p>
        </w:tc>
        <w:tc>
          <w:tcPr>
            <w:tcW w:w="580" w:type="dxa"/>
            <w:vAlign w:val="bottom"/>
          </w:tcPr>
          <w:p>
            <w:pPr>
              <w:spacing w:after="0"/>
              <w:rPr>
                <w:sz w:val="22"/>
                <w:szCs w:val="22"/>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(26)</w:t>
            </w:r>
          </w:p>
        </w:tc>
      </w:tr>
      <w:tr>
        <w:trPr>
          <w:trHeight w:val="262"/>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20" w:type="dxa"/>
            <w:vAlign w:val="bottom"/>
          </w:tcPr>
          <w:p>
            <w:pPr>
              <w:spacing w:after="0"/>
              <w:rPr>
                <w:sz w:val="22"/>
                <w:szCs w:val="22"/>
                <w:color w:val="auto"/>
              </w:rPr>
            </w:pPr>
          </w:p>
        </w:tc>
        <w:tc>
          <w:tcPr>
            <w:tcW w:w="1280" w:type="dxa"/>
            <w:vAlign w:val="bottom"/>
            <w:tcBorders>
              <w:right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rPr>
              <w:t>2</w:t>
            </w:r>
          </w:p>
        </w:tc>
        <w:tc>
          <w:tcPr>
            <w:tcW w:w="480" w:type="dxa"/>
            <w:vAlign w:val="bottom"/>
          </w:tcPr>
          <w:p>
            <w:pPr>
              <w:spacing w:after="0"/>
              <w:rPr>
                <w:sz w:val="22"/>
                <w:szCs w:val="22"/>
                <w:color w:val="auto"/>
              </w:rPr>
            </w:pPr>
          </w:p>
        </w:tc>
        <w:tc>
          <w:tcPr>
            <w:tcW w:w="11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(1)</w:t>
            </w:r>
          </w:p>
        </w:tc>
        <w:tc>
          <w:tcPr>
            <w:tcW w:w="580" w:type="dxa"/>
            <w:vAlign w:val="bottom"/>
          </w:tcPr>
          <w:p>
            <w:pPr>
              <w:spacing w:after="0"/>
              <w:rPr>
                <w:sz w:val="22"/>
                <w:szCs w:val="22"/>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3</w:t>
            </w:r>
          </w:p>
        </w:tc>
      </w:tr>
      <w:tr>
        <w:trPr>
          <w:trHeight w:val="27"/>
        </w:trPr>
        <w:tc>
          <w:tcPr>
            <w:tcW w:w="3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items, net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(8)</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(92)</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(126)</w:t>
            </w:r>
          </w:p>
        </w:tc>
      </w:tr>
      <w:tr>
        <w:trPr>
          <w:trHeight w:val="33"/>
        </w:trPr>
        <w:tc>
          <w:tcPr>
            <w:tcW w:w="3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Provision for/Benefit from Income Taxes</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 xml:space="preserve">The provision for/benefit from income taxes represents federal, state and local, and foreign taxes on earnings (loss) from continuing operations before income taxes and equity in loss of investee companies. For the period from August 7 - September 30, 2025 (Successor), we recorded a provision for income taxes of $85 million and for the periods from July 1 - August 6, 2025 and January 1 - August 6, 2025 (Predecessor), we recorded a benefit from income taxes of $229 million and $79 million, respectively. Refer to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xml:space="preserve"> for reported and adjusted effective income tax rates and the related income tax effects of the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587" w:right="579" w:bottom="1440" w:gutter="0" w:footer="0" w:header="0"/>
        </w:sectPr>
      </w:pPr>
    </w:p>
    <w:bookmarkStart w:id="63" w:name="page64"/>
    <w:bookmarkEnd w:id="63"/>
    <w:p>
      <w:pPr>
        <w:jc w:val="center"/>
        <w:ind w:right="-4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118745</wp:posOffset>
            </wp:positionV>
            <wp:extent cx="651192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11925" cy="16510"/>
                    </a:xfrm>
                    <a:prstGeom prst="rect">
                      <a:avLst/>
                    </a:prstGeom>
                    <a:noFill/>
                  </pic:spPr>
                </pic:pic>
              </a:graphicData>
            </a:graphic>
          </wp:anchor>
        </w:drawing>
      </w:r>
    </w:p>
    <w:p>
      <w:pPr>
        <w:spacing w:after="0" w:line="19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8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Impact from Items Affecting Comparability</w:t>
            </w: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r>
      <w:tr>
        <w:trPr>
          <w:trHeight w:val="222"/>
        </w:trPr>
        <w:tc>
          <w:tcPr>
            <w:tcW w:w="3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left="89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center"/>
              <w:ind w:right="353"/>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29"/>
        </w:trPr>
        <w:tc>
          <w:tcPr>
            <w:tcW w:w="3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gridSpan w:val="3"/>
          </w:tcPr>
          <w:p>
            <w:pPr>
              <w:jc w:val="center"/>
              <w:ind w:right="453"/>
              <w:spacing w:after="0"/>
              <w:rPr>
                <w:sz w:val="20"/>
                <w:szCs w:val="20"/>
                <w:color w:val="auto"/>
              </w:rPr>
            </w:pPr>
            <w:r>
              <w:rPr>
                <w:rFonts w:ascii="Times New Roman" w:cs="Times New Roman" w:eastAsia="Times New Roman" w:hAnsi="Times New Roman"/>
                <w:sz w:val="16"/>
                <w:szCs w:val="16"/>
                <w:b w:val="1"/>
                <w:bCs w:val="1"/>
                <w:color w:val="auto"/>
                <w:w w:val="97"/>
              </w:rPr>
              <w:t>Period From August 7 - September 30,</w:t>
            </w:r>
          </w:p>
        </w:tc>
        <w:tc>
          <w:tcPr>
            <w:tcW w:w="5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center"/>
              <w:ind w:right="353"/>
              <w:spacing w:after="0"/>
              <w:rPr>
                <w:sz w:val="20"/>
                <w:szCs w:val="20"/>
                <w:color w:val="auto"/>
              </w:rPr>
            </w:pPr>
            <w:r>
              <w:rPr>
                <w:rFonts w:ascii="Times New Roman" w:cs="Times New Roman" w:eastAsia="Times New Roman" w:hAnsi="Times New Roman"/>
                <w:sz w:val="16"/>
                <w:szCs w:val="16"/>
                <w:b w:val="1"/>
                <w:bCs w:val="1"/>
                <w:color w:val="auto"/>
                <w:w w:val="98"/>
              </w:rPr>
              <w:t>Period From July 1 - August 6,</w:t>
            </w:r>
          </w:p>
        </w:tc>
      </w:tr>
      <w:tr>
        <w:trPr>
          <w:trHeight w:val="229"/>
        </w:trPr>
        <w:tc>
          <w:tcPr>
            <w:tcW w:w="3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left="91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380" w:type="dxa"/>
            <w:vAlign w:val="bottom"/>
            <w:tcBorders>
              <w:bottom w:val="single" w:sz="8" w:color="auto"/>
            </w:tcBorders>
          </w:tcPr>
          <w:p>
            <w:pPr>
              <w:spacing w:after="0"/>
              <w:rPr>
                <w:sz w:val="19"/>
                <w:szCs w:val="19"/>
                <w:color w:val="auto"/>
              </w:rPr>
            </w:pPr>
          </w:p>
        </w:tc>
      </w:tr>
      <w:tr>
        <w:trPr>
          <w:trHeight w:val="216"/>
        </w:trPr>
        <w:tc>
          <w:tcPr>
            <w:tcW w:w="3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Borders>
              <w:right w:val="single" w:sz="8" w:color="auto"/>
            </w:tcBorders>
            <w:gridSpan w:val="2"/>
          </w:tcPr>
          <w:p>
            <w:pPr>
              <w:jc w:val="center"/>
              <w:ind w:right="293"/>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58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500" w:type="dxa"/>
            <w:vAlign w:val="bottom"/>
          </w:tcPr>
          <w:p>
            <w:pPr>
              <w:spacing w:after="0"/>
              <w:rPr>
                <w:sz w:val="18"/>
                <w:szCs w:val="18"/>
                <w:color w:val="auto"/>
              </w:rPr>
            </w:pPr>
          </w:p>
        </w:tc>
        <w:tc>
          <w:tcPr>
            <w:tcW w:w="138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Benefit from</w:t>
            </w:r>
          </w:p>
        </w:tc>
      </w:tr>
      <w:tr>
        <w:trPr>
          <w:trHeight w:val="210"/>
        </w:trPr>
        <w:tc>
          <w:tcPr>
            <w:tcW w:w="3180" w:type="dxa"/>
            <w:vAlign w:val="bottom"/>
          </w:tcPr>
          <w:p>
            <w:pPr>
              <w:spacing w:after="0"/>
              <w:rPr>
                <w:sz w:val="18"/>
                <w:szCs w:val="18"/>
                <w:color w:val="auto"/>
              </w:rPr>
            </w:pPr>
          </w:p>
        </w:tc>
        <w:tc>
          <w:tcPr>
            <w:tcW w:w="2100" w:type="dxa"/>
            <w:vAlign w:val="bottom"/>
            <w:gridSpan w:val="2"/>
          </w:tcPr>
          <w:p>
            <w:pPr>
              <w:jc w:val="center"/>
              <w:ind w:right="356"/>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15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Before Income</w:t>
            </w:r>
          </w:p>
        </w:tc>
        <w:tc>
          <w:tcPr>
            <w:tcW w:w="188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(Provision for)</w:t>
            </w:r>
          </w:p>
        </w:tc>
      </w:tr>
      <w:tr>
        <w:trPr>
          <w:trHeight w:val="230"/>
        </w:trPr>
        <w:tc>
          <w:tcPr>
            <w:tcW w:w="3180" w:type="dxa"/>
            <w:vAlign w:val="bottom"/>
          </w:tcPr>
          <w:p>
            <w:pPr>
              <w:spacing w:after="0"/>
              <w:rPr>
                <w:sz w:val="19"/>
                <w:szCs w:val="19"/>
                <w:color w:val="auto"/>
              </w:rPr>
            </w:pPr>
          </w:p>
        </w:tc>
        <w:tc>
          <w:tcPr>
            <w:tcW w:w="2100" w:type="dxa"/>
            <w:vAlign w:val="bottom"/>
            <w:gridSpan w:val="2"/>
          </w:tcPr>
          <w:p>
            <w:pPr>
              <w:jc w:val="center"/>
              <w:ind w:right="336"/>
              <w:spacing w:after="0"/>
              <w:rPr>
                <w:sz w:val="20"/>
                <w:szCs w:val="20"/>
                <w:color w:val="auto"/>
              </w:rPr>
            </w:pPr>
            <w:r>
              <w:rPr>
                <w:rFonts w:ascii="Times New Roman" w:cs="Times New Roman" w:eastAsia="Times New Roman" w:hAnsi="Times New Roman"/>
                <w:sz w:val="17"/>
                <w:szCs w:val="17"/>
                <w:b w:val="1"/>
                <w:bCs w:val="1"/>
                <w:color w:val="auto"/>
              </w:rPr>
              <w:t>Before Income Taxes</w:t>
            </w:r>
          </w:p>
        </w:tc>
        <w:tc>
          <w:tcPr>
            <w:tcW w:w="1520" w:type="dxa"/>
            <w:vAlign w:val="bottom"/>
            <w:tcBorders>
              <w:right w:val="single" w:sz="8" w:color="auto"/>
            </w:tcBorders>
            <w:gridSpan w:val="2"/>
          </w:tcPr>
          <w:p>
            <w:pPr>
              <w:jc w:val="center"/>
              <w:ind w:right="293"/>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500" w:type="dxa"/>
            <w:vAlign w:val="bottom"/>
          </w:tcPr>
          <w:p>
            <w:pPr>
              <w:spacing w:after="0"/>
              <w:rPr>
                <w:sz w:val="19"/>
                <w:szCs w:val="19"/>
                <w:color w:val="auto"/>
              </w:rPr>
            </w:pP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Taxes</w:t>
            </w:r>
          </w:p>
        </w:tc>
        <w:tc>
          <w:tcPr>
            <w:tcW w:w="500" w:type="dxa"/>
            <w:vAlign w:val="bottom"/>
          </w:tcPr>
          <w:p>
            <w:pPr>
              <w:spacing w:after="0"/>
              <w:rPr>
                <w:sz w:val="19"/>
                <w:szCs w:val="19"/>
                <w:color w:val="auto"/>
              </w:rPr>
            </w:pPr>
          </w:p>
        </w:tc>
        <w:tc>
          <w:tcPr>
            <w:tcW w:w="138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w w:val="99"/>
              </w:rPr>
              <w:t>Income Taxes</w:t>
            </w:r>
          </w:p>
        </w:tc>
      </w:tr>
      <w:tr>
        <w:trPr>
          <w:trHeight w:val="27"/>
        </w:trPr>
        <w:tc>
          <w:tcPr>
            <w:tcW w:w="3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charges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rPr>
              <w:t>(185)</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30</w:t>
            </w:r>
          </w:p>
        </w:tc>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Transaction-related items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(175)</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30</w:t>
            </w:r>
          </w:p>
        </w:tc>
      </w:tr>
      <w:tr>
        <w:trPr>
          <w:trHeight w:val="295"/>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Net discrete tax benefit </w:t>
            </w:r>
            <w:r>
              <w:rPr>
                <w:rFonts w:ascii="Times New Roman" w:cs="Times New Roman" w:eastAsia="Times New Roman" w:hAnsi="Times New Roman"/>
                <w:sz w:val="22"/>
                <w:szCs w:val="22"/>
                <w:color w:val="auto"/>
                <w:vertAlign w:val="superscript"/>
              </w:rPr>
              <w:t>(a)</w:t>
            </w:r>
          </w:p>
        </w:tc>
        <w:tc>
          <w:tcPr>
            <w:tcW w:w="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n/a</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4</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n/a</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73</w:t>
            </w: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118745</wp:posOffset>
            </wp:positionV>
            <wp:extent cx="651192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11925" cy="16510"/>
                    </a:xfrm>
                    <a:prstGeom prst="rect">
                      <a:avLst/>
                    </a:prstGeom>
                    <a:noFill/>
                  </pic:spPr>
                </pic:pic>
              </a:graphicData>
            </a:graphic>
          </wp:anchor>
        </w:drawing>
      </w:r>
    </w:p>
    <w:p>
      <w:pPr>
        <w:spacing w:after="0" w:line="19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8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Impact from Items Affecting Comparability</w:t>
            </w: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r>
      <w:tr>
        <w:trPr>
          <w:trHeight w:val="222"/>
        </w:trPr>
        <w:tc>
          <w:tcPr>
            <w:tcW w:w="3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left="89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333"/>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29"/>
        </w:trPr>
        <w:tc>
          <w:tcPr>
            <w:tcW w:w="3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gridSpan w:val="3"/>
          </w:tcPr>
          <w:p>
            <w:pPr>
              <w:jc w:val="center"/>
              <w:ind w:right="453"/>
              <w:spacing w:after="0"/>
              <w:rPr>
                <w:sz w:val="20"/>
                <w:szCs w:val="20"/>
                <w:color w:val="auto"/>
              </w:rPr>
            </w:pPr>
            <w:r>
              <w:rPr>
                <w:rFonts w:ascii="Times New Roman" w:cs="Times New Roman" w:eastAsia="Times New Roman" w:hAnsi="Times New Roman"/>
                <w:sz w:val="16"/>
                <w:szCs w:val="16"/>
                <w:b w:val="1"/>
                <w:bCs w:val="1"/>
                <w:color w:val="auto"/>
                <w:w w:val="97"/>
              </w:rPr>
              <w:t>Period From August 7 - September 30,</w:t>
            </w:r>
          </w:p>
        </w:tc>
        <w:tc>
          <w:tcPr>
            <w:tcW w:w="4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333"/>
              <w:spacing w:after="0"/>
              <w:rPr>
                <w:sz w:val="20"/>
                <w:szCs w:val="20"/>
                <w:color w:val="auto"/>
              </w:rPr>
            </w:pPr>
            <w:r>
              <w:rPr>
                <w:rFonts w:ascii="Times New Roman" w:cs="Times New Roman" w:eastAsia="Times New Roman" w:hAnsi="Times New Roman"/>
                <w:sz w:val="16"/>
                <w:szCs w:val="16"/>
                <w:b w:val="1"/>
                <w:bCs w:val="1"/>
                <w:color w:val="auto"/>
                <w:w w:val="98"/>
              </w:rPr>
              <w:t>Period From January 1 - August 6,</w:t>
            </w:r>
          </w:p>
        </w:tc>
      </w:tr>
      <w:tr>
        <w:trPr>
          <w:trHeight w:val="229"/>
        </w:trPr>
        <w:tc>
          <w:tcPr>
            <w:tcW w:w="3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left="91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380" w:type="dxa"/>
            <w:vAlign w:val="bottom"/>
            <w:tcBorders>
              <w:bottom w:val="single" w:sz="8" w:color="auto"/>
            </w:tcBorders>
          </w:tcPr>
          <w:p>
            <w:pPr>
              <w:spacing w:after="0"/>
              <w:rPr>
                <w:sz w:val="19"/>
                <w:szCs w:val="19"/>
                <w:color w:val="auto"/>
              </w:rPr>
            </w:pPr>
          </w:p>
        </w:tc>
      </w:tr>
      <w:tr>
        <w:trPr>
          <w:trHeight w:val="216"/>
        </w:trPr>
        <w:tc>
          <w:tcPr>
            <w:tcW w:w="3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Borders>
              <w:right w:val="single" w:sz="8" w:color="auto"/>
            </w:tcBorders>
            <w:gridSpan w:val="2"/>
          </w:tcPr>
          <w:p>
            <w:pPr>
              <w:jc w:val="center"/>
              <w:ind w:right="293"/>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5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500" w:type="dxa"/>
            <w:vAlign w:val="bottom"/>
          </w:tcPr>
          <w:p>
            <w:pPr>
              <w:spacing w:after="0"/>
              <w:rPr>
                <w:sz w:val="18"/>
                <w:szCs w:val="18"/>
                <w:color w:val="auto"/>
              </w:rPr>
            </w:pPr>
          </w:p>
        </w:tc>
        <w:tc>
          <w:tcPr>
            <w:tcW w:w="138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Benefit from</w:t>
            </w:r>
          </w:p>
        </w:tc>
      </w:tr>
      <w:tr>
        <w:trPr>
          <w:trHeight w:val="210"/>
        </w:trPr>
        <w:tc>
          <w:tcPr>
            <w:tcW w:w="3180" w:type="dxa"/>
            <w:vAlign w:val="bottom"/>
          </w:tcPr>
          <w:p>
            <w:pPr>
              <w:spacing w:after="0"/>
              <w:rPr>
                <w:sz w:val="18"/>
                <w:szCs w:val="18"/>
                <w:color w:val="auto"/>
              </w:rPr>
            </w:pPr>
          </w:p>
        </w:tc>
        <w:tc>
          <w:tcPr>
            <w:tcW w:w="2100" w:type="dxa"/>
            <w:vAlign w:val="bottom"/>
            <w:gridSpan w:val="2"/>
          </w:tcPr>
          <w:p>
            <w:pPr>
              <w:jc w:val="center"/>
              <w:ind w:right="356"/>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15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Before Income</w:t>
            </w:r>
          </w:p>
        </w:tc>
        <w:tc>
          <w:tcPr>
            <w:tcW w:w="188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(Provision for)</w:t>
            </w:r>
          </w:p>
        </w:tc>
      </w:tr>
      <w:tr>
        <w:trPr>
          <w:trHeight w:val="230"/>
        </w:trPr>
        <w:tc>
          <w:tcPr>
            <w:tcW w:w="3180" w:type="dxa"/>
            <w:vAlign w:val="bottom"/>
          </w:tcPr>
          <w:p>
            <w:pPr>
              <w:spacing w:after="0"/>
              <w:rPr>
                <w:sz w:val="19"/>
                <w:szCs w:val="19"/>
                <w:color w:val="auto"/>
              </w:rPr>
            </w:pPr>
          </w:p>
        </w:tc>
        <w:tc>
          <w:tcPr>
            <w:tcW w:w="2100" w:type="dxa"/>
            <w:vAlign w:val="bottom"/>
            <w:gridSpan w:val="2"/>
          </w:tcPr>
          <w:p>
            <w:pPr>
              <w:jc w:val="center"/>
              <w:ind w:right="336"/>
              <w:spacing w:after="0"/>
              <w:rPr>
                <w:sz w:val="20"/>
                <w:szCs w:val="20"/>
                <w:color w:val="auto"/>
              </w:rPr>
            </w:pPr>
            <w:r>
              <w:rPr>
                <w:rFonts w:ascii="Times New Roman" w:cs="Times New Roman" w:eastAsia="Times New Roman" w:hAnsi="Times New Roman"/>
                <w:sz w:val="17"/>
                <w:szCs w:val="17"/>
                <w:b w:val="1"/>
                <w:bCs w:val="1"/>
                <w:color w:val="auto"/>
              </w:rPr>
              <w:t>Before Income Taxes</w:t>
            </w:r>
          </w:p>
        </w:tc>
        <w:tc>
          <w:tcPr>
            <w:tcW w:w="1520" w:type="dxa"/>
            <w:vAlign w:val="bottom"/>
            <w:tcBorders>
              <w:right w:val="single" w:sz="8" w:color="auto"/>
            </w:tcBorders>
            <w:gridSpan w:val="2"/>
          </w:tcPr>
          <w:p>
            <w:pPr>
              <w:jc w:val="center"/>
              <w:ind w:right="293"/>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480" w:type="dxa"/>
            <w:vAlign w:val="bottom"/>
          </w:tcPr>
          <w:p>
            <w:pPr>
              <w:spacing w:after="0"/>
              <w:rPr>
                <w:sz w:val="19"/>
                <w:szCs w:val="19"/>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Taxes</w:t>
            </w:r>
          </w:p>
        </w:tc>
        <w:tc>
          <w:tcPr>
            <w:tcW w:w="500" w:type="dxa"/>
            <w:vAlign w:val="bottom"/>
          </w:tcPr>
          <w:p>
            <w:pPr>
              <w:spacing w:after="0"/>
              <w:rPr>
                <w:sz w:val="19"/>
                <w:szCs w:val="19"/>
                <w:color w:val="auto"/>
              </w:rPr>
            </w:pPr>
          </w:p>
        </w:tc>
        <w:tc>
          <w:tcPr>
            <w:tcW w:w="138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w w:val="99"/>
              </w:rPr>
              <w:t>Income Taxes</w:t>
            </w:r>
          </w:p>
        </w:tc>
      </w:tr>
      <w:tr>
        <w:trPr>
          <w:trHeight w:val="27"/>
        </w:trPr>
        <w:tc>
          <w:tcPr>
            <w:tcW w:w="3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charges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(185)</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30</w:t>
            </w:r>
          </w:p>
        </w:tc>
        <w:tc>
          <w:tcPr>
            <w:tcW w:w="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(255)</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61</w:t>
            </w:r>
          </w:p>
        </w:tc>
      </w:tr>
      <w:tr>
        <w:trPr>
          <w:trHeight w:val="262"/>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Transaction-related items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(199)</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31</w:t>
            </w:r>
          </w:p>
        </w:tc>
      </w:tr>
      <w:tr>
        <w:trPr>
          <w:trHeight w:val="262"/>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(157)</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39</w:t>
            </w:r>
          </w:p>
        </w:tc>
      </w:tr>
      <w:tr>
        <w:trPr>
          <w:trHeight w:val="262"/>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from dispositions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35</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(2)</w:t>
            </w:r>
          </w:p>
        </w:tc>
      </w:tr>
      <w:tr>
        <w:trPr>
          <w:trHeight w:val="295"/>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Net discrete tax benefit </w:t>
            </w:r>
            <w:r>
              <w:rPr>
                <w:rFonts w:ascii="Times New Roman" w:cs="Times New Roman" w:eastAsia="Times New Roman" w:hAnsi="Times New Roman"/>
                <w:sz w:val="22"/>
                <w:szCs w:val="22"/>
                <w:color w:val="auto"/>
                <w:vertAlign w:val="superscript"/>
              </w:rPr>
              <w:t>(a)</w:t>
            </w:r>
          </w:p>
        </w:tc>
        <w:tc>
          <w:tcPr>
            <w:tcW w:w="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n/a</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4</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n/a</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64</w:t>
            </w:r>
          </w:p>
        </w:tc>
      </w:tr>
    </w:tbl>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144" w:lineRule="exact"/>
        <w:rPr>
          <w:sz w:val="20"/>
          <w:szCs w:val="20"/>
          <w:color w:val="auto"/>
        </w:rPr>
      </w:pPr>
    </w:p>
    <w:p>
      <w:pPr>
        <w:ind w:left="640" w:right="80" w:hanging="242"/>
        <w:spacing w:after="0" w:line="251" w:lineRule="auto"/>
        <w:tabs>
          <w:tab w:leader="none" w:pos="61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4, 2025, the U.S. government enacted tax legislation, which includes the extension of certain expired or expiring tax provisions, including a favorable change to the interest deduction limitation, and modifications to certain international tax provisions. The legislation has multiple effective dates with certain provisions effective in 2025. A favorable change to the interest deduction limitation resulted in the reversal of the valuation allowance on our interest limitation carryforward deferred tax asset of $114 million. The net discrete tax benefits for the 2025 Predecessor periods reflect this reversal, partially offset by a reserve for uncertain tax positions.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For the three and nine months ended September 30, 2024 (Predecessor), we recorded a provision for income taxes of $45 million and a benefit from income taxes of $342 million, reflecting an effective income tax rate of 37.5% and 5.6%, respectively. Included in the provision for/benefit from income taxes are the following items identified as affecting the comparability of our results, which in aggregate increased our effective income tax rate by 12.0 percentage points and decreased our effective income tax rate by 16.2 percentage points for their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320" w:top="587" w:right="819" w:bottom="1440" w:gutter="0" w:footer="0" w:header="0"/>
        </w:sectPr>
      </w:pPr>
    </w:p>
    <w:bookmarkStart w:id="64" w:name="page65"/>
    <w:bookmarkEnd w:id="64"/>
    <w:p>
      <w:pPr>
        <w:jc w:val="center"/>
        <w:ind w:right="-6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and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127000</wp:posOffset>
            </wp:positionV>
            <wp:extent cx="628713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87135" cy="16510"/>
                    </a:xfrm>
                    <a:prstGeom prst="rect">
                      <a:avLst/>
                    </a:prstGeom>
                    <a:noFill/>
                  </pic:spPr>
                </pic:pic>
              </a:graphicData>
            </a:graphic>
          </wp:anchor>
        </w:drawing>
      </w:r>
    </w:p>
    <w:p>
      <w:pPr>
        <w:spacing w:after="0" w:line="21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520" w:type="dxa"/>
            <w:vAlign w:val="bottom"/>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Impact from Items Affecting Comparability</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
        </w:trPr>
        <w:tc>
          <w:tcPr>
            <w:tcW w:w="3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3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
        </w:trPr>
        <w:tc>
          <w:tcPr>
            <w:tcW w:w="3460" w:type="dxa"/>
            <w:vAlign w:val="bottom"/>
          </w:tcPr>
          <w:p>
            <w:pPr>
              <w:spacing w:after="0"/>
              <w:rPr>
                <w:sz w:val="2"/>
                <w:szCs w:val="2"/>
                <w:color w:val="auto"/>
              </w:rPr>
            </w:pPr>
          </w:p>
        </w:tc>
        <w:tc>
          <w:tcPr>
            <w:tcW w:w="3280" w:type="dxa"/>
            <w:vAlign w:val="bottom"/>
            <w:tcBorders>
              <w:bottom w:val="single" w:sz="8" w:color="auto"/>
            </w:tcBorders>
            <w:gridSpan w:val="5"/>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229"/>
        </w:trPr>
        <w:tc>
          <w:tcPr>
            <w:tcW w:w="3460" w:type="dxa"/>
            <w:vAlign w:val="bottom"/>
          </w:tcPr>
          <w:p>
            <w:pPr>
              <w:spacing w:after="0"/>
              <w:rPr>
                <w:sz w:val="19"/>
                <w:szCs w:val="19"/>
                <w:color w:val="auto"/>
              </w:rPr>
            </w:pPr>
          </w:p>
        </w:tc>
        <w:tc>
          <w:tcPr>
            <w:tcW w:w="328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2024</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 2024</w:t>
            </w:r>
          </w:p>
        </w:tc>
      </w:tr>
      <w:tr>
        <w:trPr>
          <w:trHeight w:val="27"/>
        </w:trPr>
        <w:tc>
          <w:tcPr>
            <w:tcW w:w="34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09"/>
        </w:trPr>
        <w:tc>
          <w:tcPr>
            <w:tcW w:w="3460" w:type="dxa"/>
            <w:vAlign w:val="bottom"/>
          </w:tcPr>
          <w:p>
            <w:pPr>
              <w:spacing w:after="0"/>
              <w:rPr>
                <w:sz w:val="18"/>
                <w:szCs w:val="18"/>
                <w:color w:val="auto"/>
              </w:rPr>
            </w:pP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1800" w:type="dxa"/>
            <w:vAlign w:val="bottom"/>
            <w:gridSpan w:val="3"/>
          </w:tcPr>
          <w:p>
            <w:pPr>
              <w:ind w:left="480"/>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720" w:type="dxa"/>
            <w:vAlign w:val="bottom"/>
            <w:gridSpan w:val="2"/>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144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Benefit from</w:t>
            </w:r>
          </w:p>
        </w:tc>
      </w:tr>
      <w:tr>
        <w:trPr>
          <w:trHeight w:val="210"/>
        </w:trPr>
        <w:tc>
          <w:tcPr>
            <w:tcW w:w="346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Before Income</w:t>
            </w:r>
          </w:p>
        </w:tc>
        <w:tc>
          <w:tcPr>
            <w:tcW w:w="180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720" w:type="dxa"/>
            <w:vAlign w:val="bottom"/>
            <w:gridSpan w:val="2"/>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Before Income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(Provision for)</w:t>
            </w:r>
          </w:p>
        </w:tc>
      </w:tr>
      <w:tr>
        <w:trPr>
          <w:trHeight w:val="230"/>
        </w:trPr>
        <w:tc>
          <w:tcPr>
            <w:tcW w:w="3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center"/>
              <w:ind w:right="293"/>
              <w:spacing w:after="0"/>
              <w:rPr>
                <w:sz w:val="20"/>
                <w:szCs w:val="20"/>
                <w:color w:val="auto"/>
              </w:rPr>
            </w:pPr>
            <w:r>
              <w:rPr>
                <w:rFonts w:ascii="Times New Roman" w:cs="Times New Roman" w:eastAsia="Times New Roman" w:hAnsi="Times New Roman"/>
                <w:sz w:val="17"/>
                <w:szCs w:val="17"/>
                <w:b w:val="1"/>
                <w:bCs w:val="1"/>
                <w:color w:val="auto"/>
                <w:w w:val="98"/>
              </w:rPr>
              <w:t>Taxes</w:t>
            </w:r>
          </w:p>
        </w:tc>
        <w:tc>
          <w:tcPr>
            <w:tcW w:w="1800" w:type="dxa"/>
            <w:vAlign w:val="bottom"/>
            <w:gridSpan w:val="3"/>
          </w:tcPr>
          <w:p>
            <w:pPr>
              <w:ind w:left="44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460" w:type="dxa"/>
            <w:vAlign w:val="bottom"/>
          </w:tcPr>
          <w:p>
            <w:pPr>
              <w:spacing w:after="0"/>
              <w:rPr>
                <w:sz w:val="19"/>
                <w:szCs w:val="19"/>
                <w:color w:val="auto"/>
              </w:rPr>
            </w:pPr>
          </w:p>
        </w:tc>
        <w:tc>
          <w:tcPr>
            <w:tcW w:w="1260" w:type="dxa"/>
            <w:vAlign w:val="bottom"/>
          </w:tcPr>
          <w:p>
            <w:pPr>
              <w:jc w:val="center"/>
              <w:ind w:right="593"/>
              <w:spacing w:after="0"/>
              <w:rPr>
                <w:sz w:val="20"/>
                <w:szCs w:val="20"/>
                <w:color w:val="auto"/>
              </w:rPr>
            </w:pPr>
            <w:r>
              <w:rPr>
                <w:rFonts w:ascii="Times New Roman" w:cs="Times New Roman" w:eastAsia="Times New Roman" w:hAnsi="Times New Roman"/>
                <w:sz w:val="17"/>
                <w:szCs w:val="17"/>
                <w:b w:val="1"/>
                <w:bCs w:val="1"/>
                <w:color w:val="auto"/>
                <w:w w:val="98"/>
              </w:rPr>
              <w:t>Taxes</w:t>
            </w:r>
          </w:p>
        </w:tc>
        <w:tc>
          <w:tcPr>
            <w:tcW w:w="144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Income Taxes</w:t>
            </w:r>
          </w:p>
        </w:tc>
      </w:tr>
      <w:tr>
        <w:trPr>
          <w:trHeight w:val="27"/>
        </w:trPr>
        <w:tc>
          <w:tcPr>
            <w:tcW w:w="3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Programming charges (Note 3)</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(1,118)</w:t>
            </w:r>
          </w:p>
        </w:tc>
        <w:tc>
          <w:tcPr>
            <w:tcW w:w="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275</w:t>
            </w:r>
          </w:p>
        </w:tc>
      </w:tr>
      <w:tr>
        <w:trPr>
          <w:trHeight w:val="26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 (Note 4)</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(104)</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(6,100)</w:t>
            </w:r>
          </w:p>
        </w:tc>
        <w:tc>
          <w:tcPr>
            <w:tcW w:w="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375</w:t>
            </w:r>
          </w:p>
        </w:tc>
      </w:tr>
      <w:tr>
        <w:trPr>
          <w:trHeight w:val="288"/>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Restructuring charges (Note </w:t>
            </w:r>
            <w:r>
              <w:rPr>
                <w:rFonts w:ascii="Times New Roman" w:cs="Times New Roman" w:eastAsia="Times New Roman" w:hAnsi="Times New Roman"/>
                <w:sz w:val="19"/>
                <w:szCs w:val="19"/>
                <w:color w:val="auto"/>
              </w:rPr>
              <w:t>4</w:t>
            </w: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(288)</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tcPr>
          <w:p>
            <w:pPr>
              <w:spacing w:after="0"/>
              <w:rPr>
                <w:sz w:val="24"/>
                <w:szCs w:val="2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(544)</w:t>
            </w:r>
          </w:p>
        </w:tc>
        <w:tc>
          <w:tcPr>
            <w:tcW w:w="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117</w:t>
            </w:r>
          </w:p>
        </w:tc>
      </w:tr>
      <w:tr>
        <w:trPr>
          <w:trHeight w:val="26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Transaction-related items (Note 4)</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(33)</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(51)</w:t>
            </w:r>
          </w:p>
        </w:tc>
        <w:tc>
          <w:tcPr>
            <w:tcW w:w="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investment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(4)</w:t>
            </w:r>
          </w:p>
        </w:tc>
        <w:tc>
          <w:tcPr>
            <w:tcW w:w="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w:t>
            </w:r>
          </w:p>
        </w:tc>
      </w:tr>
      <w:tr>
        <w:trPr>
          <w:trHeight w:val="295"/>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Net discrete tax benefit (provision) </w:t>
            </w:r>
            <w:r>
              <w:rPr>
                <w:rFonts w:ascii="Times New Roman" w:cs="Times New Roman" w:eastAsia="Times New Roman" w:hAnsi="Times New Roman"/>
                <w:sz w:val="22"/>
                <w:szCs w:val="22"/>
                <w:color w:val="auto"/>
                <w:vertAlign w:val="superscript"/>
              </w:rPr>
              <w:t>(a)</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n/a</w:t>
            </w: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(47)</w:t>
            </w:r>
          </w:p>
        </w:tc>
      </w:tr>
    </w:tbl>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78" w:lineRule="exact"/>
        <w:rPr>
          <w:sz w:val="20"/>
          <w:szCs w:val="20"/>
          <w:color w:val="auto"/>
        </w:rPr>
      </w:pPr>
    </w:p>
    <w:p>
      <w:pPr>
        <w:ind w:left="800" w:right="100" w:hanging="244"/>
        <w:spacing w:after="0" w:line="254" w:lineRule="auto"/>
        <w:tabs>
          <w:tab w:leader="none" w:pos="77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discrete tax provision for the nine months ended September 30, 2024 is primarily attributable to the establishment of a valuation allowance on our interest limitation carryforward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Equity in Loss of Investee Companies, Net of Tax</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equity in loss of investee companies for our equity-method investments.</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80" w:lineRule="exact"/>
        <w:rPr>
          <w:sz w:val="20"/>
          <w:szCs w:val="20"/>
          <w:color w:val="auto"/>
        </w:rPr>
      </w:pPr>
    </w:p>
    <w:tbl>
      <w:tblPr>
        <w:tblLayout w:type="fixed"/>
        <w:tblInd w:w="1560" w:type="dxa"/>
        <w:tblCellMar>
          <w:top w:w="0" w:type="dxa"/>
          <w:left w:w="0" w:type="dxa"/>
          <w:bottom w:w="0" w:type="dxa"/>
          <w:right w:w="0" w:type="dxa"/>
        </w:tblCellMar>
      </w:tblPr>
      <w:tr>
        <w:trPr>
          <w:trHeight w:val="255"/>
        </w:trPr>
        <w:tc>
          <w:tcPr>
            <w:tcW w:w="35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20" w:type="dxa"/>
            <w:vAlign w:val="bottom"/>
            <w:tcBorders>
              <w:top w:val="single" w:sz="8" w:color="auto"/>
              <w:bottom w:val="single" w:sz="8" w:color="auto"/>
            </w:tcBorders>
          </w:tcPr>
          <w:p>
            <w:pPr>
              <w:spacing w:after="0"/>
              <w:rPr>
                <w:sz w:val="22"/>
                <w:szCs w:val="22"/>
                <w:color w:val="auto"/>
              </w:rPr>
            </w:pPr>
          </w:p>
        </w:tc>
      </w:tr>
      <w:tr>
        <w:trPr>
          <w:trHeight w:val="207"/>
        </w:trPr>
        <w:tc>
          <w:tcPr>
            <w:tcW w:w="350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3500" w:type="dxa"/>
            <w:vAlign w:val="bottom"/>
          </w:tcPr>
          <w:p>
            <w:pPr>
              <w:spacing w:after="0"/>
              <w:rPr>
                <w:sz w:val="19"/>
                <w:szCs w:val="19"/>
                <w:color w:val="auto"/>
              </w:rPr>
            </w:pPr>
          </w:p>
        </w:tc>
        <w:tc>
          <w:tcPr>
            <w:tcW w:w="1520" w:type="dxa"/>
            <w:vAlign w:val="bottom"/>
            <w:tcBorders>
              <w:bottom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7 - September 30,</w:t>
            </w: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1 - August 6,</w:t>
            </w:r>
          </w:p>
        </w:tc>
        <w:tc>
          <w:tcPr>
            <w:tcW w:w="16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9"/>
        </w:trPr>
        <w:tc>
          <w:tcPr>
            <w:tcW w:w="3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9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loss of investee companies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8"/>
              </w:rPr>
              <w:t>(33)</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center"/>
              <w:ind w:left="56"/>
              <w:spacing w:after="0"/>
              <w:rPr>
                <w:sz w:val="20"/>
                <w:szCs w:val="20"/>
                <w:color w:val="auto"/>
              </w:rPr>
            </w:pPr>
            <w:r>
              <w:rPr>
                <w:rFonts w:ascii="Times New Roman" w:cs="Times New Roman" w:eastAsia="Times New Roman" w:hAnsi="Times New Roman"/>
                <w:sz w:val="17"/>
                <w:szCs w:val="17"/>
                <w:color w:val="auto"/>
                <w:w w:val="98"/>
              </w:rPr>
              <w:t>(31)</w:t>
            </w:r>
          </w:p>
        </w:tc>
        <w:tc>
          <w:tcPr>
            <w:tcW w:w="6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(60)</w:t>
            </w:r>
          </w:p>
        </w:tc>
      </w:tr>
      <w:tr>
        <w:trPr>
          <w:trHeight w:val="26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benefit</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center"/>
              <w:ind w:left="11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w:t>
            </w:r>
          </w:p>
        </w:tc>
      </w:tr>
      <w:tr>
        <w:trPr>
          <w:trHeight w:val="27"/>
        </w:trPr>
        <w:tc>
          <w:tcPr>
            <w:tcW w:w="3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1"/>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loss of investee companies,</w:t>
            </w:r>
          </w:p>
        </w:tc>
        <w:tc>
          <w:tcPr>
            <w:tcW w:w="3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3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of tax</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8"/>
              </w:rPr>
              <w:t>(33)</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center"/>
              <w:ind w:left="56"/>
              <w:spacing w:after="0"/>
              <w:rPr>
                <w:sz w:val="20"/>
                <w:szCs w:val="20"/>
                <w:color w:val="auto"/>
              </w:rPr>
            </w:pPr>
            <w:r>
              <w:rPr>
                <w:rFonts w:ascii="Times New Roman" w:cs="Times New Roman" w:eastAsia="Times New Roman" w:hAnsi="Times New Roman"/>
                <w:sz w:val="17"/>
                <w:szCs w:val="17"/>
                <w:color w:val="auto"/>
                <w:w w:val="98"/>
              </w:rPr>
              <w:t>(31)</w:t>
            </w:r>
          </w:p>
        </w:tc>
        <w:tc>
          <w:tcPr>
            <w:tcW w:w="6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(59)</w:t>
            </w:r>
          </w:p>
        </w:tc>
      </w:tr>
      <w:tr>
        <w:trPr>
          <w:trHeight w:val="33"/>
        </w:trPr>
        <w:tc>
          <w:tcPr>
            <w:tcW w:w="3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93" w:lineRule="exact"/>
        <w:rPr>
          <w:sz w:val="20"/>
          <w:szCs w:val="20"/>
          <w:color w:val="auto"/>
        </w:rPr>
      </w:pPr>
    </w:p>
    <w:tbl>
      <w:tblPr>
        <w:tblLayout w:type="fixed"/>
        <w:tblInd w:w="1560" w:type="dxa"/>
        <w:tblCellMar>
          <w:top w:w="0" w:type="dxa"/>
          <w:left w:w="0" w:type="dxa"/>
          <w:bottom w:w="0" w:type="dxa"/>
          <w:right w:w="0" w:type="dxa"/>
        </w:tblCellMar>
      </w:tblPr>
      <w:tr>
        <w:trPr>
          <w:trHeight w:val="255"/>
        </w:trPr>
        <w:tc>
          <w:tcPr>
            <w:tcW w:w="35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20" w:type="dxa"/>
            <w:vAlign w:val="bottom"/>
            <w:tcBorders>
              <w:top w:val="single" w:sz="8" w:color="auto"/>
              <w:bottom w:val="single" w:sz="8" w:color="auto"/>
            </w:tcBorders>
          </w:tcPr>
          <w:p>
            <w:pPr>
              <w:spacing w:after="0"/>
              <w:rPr>
                <w:sz w:val="22"/>
                <w:szCs w:val="22"/>
                <w:color w:val="auto"/>
              </w:rPr>
            </w:pPr>
          </w:p>
        </w:tc>
      </w:tr>
      <w:tr>
        <w:trPr>
          <w:trHeight w:val="194"/>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540" w:type="dxa"/>
            <w:vAlign w:val="bottom"/>
            <w:gridSpan w:val="2"/>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4"/>
        </w:trPr>
        <w:tc>
          <w:tcPr>
            <w:tcW w:w="3500" w:type="dxa"/>
            <w:vAlign w:val="bottom"/>
          </w:tcPr>
          <w:p>
            <w:pPr>
              <w:spacing w:after="0"/>
              <w:rPr>
                <w:sz w:val="15"/>
                <w:szCs w:val="15"/>
                <w:color w:val="auto"/>
              </w:rPr>
            </w:pPr>
          </w:p>
        </w:tc>
        <w:tc>
          <w:tcPr>
            <w:tcW w:w="152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54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3500" w:type="dxa"/>
            <w:vAlign w:val="bottom"/>
          </w:tcPr>
          <w:p>
            <w:pPr>
              <w:spacing w:after="0"/>
              <w:rPr>
                <w:sz w:val="18"/>
                <w:szCs w:val="18"/>
                <w:color w:val="auto"/>
              </w:rPr>
            </w:pPr>
          </w:p>
        </w:tc>
        <w:tc>
          <w:tcPr>
            <w:tcW w:w="152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7 - September 30,</w:t>
            </w:r>
          </w:p>
        </w:tc>
        <w:tc>
          <w:tcPr>
            <w:tcW w:w="480" w:type="dxa"/>
            <w:vAlign w:val="bottom"/>
          </w:tcPr>
          <w:p>
            <w:pPr>
              <w:spacing w:after="0"/>
              <w:rPr>
                <w:sz w:val="18"/>
                <w:szCs w:val="18"/>
                <w:color w:val="auto"/>
              </w:rPr>
            </w:pPr>
          </w:p>
        </w:tc>
        <w:tc>
          <w:tcPr>
            <w:tcW w:w="1060" w:type="dxa"/>
            <w:vAlign w:val="bottom"/>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6,</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1"/>
        </w:trPr>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loss of investee companies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8"/>
              </w:rPr>
              <w:t>(33)</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(169)</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(222)</w:t>
            </w:r>
          </w:p>
        </w:tc>
      </w:tr>
      <w:tr>
        <w:trPr>
          <w:trHeight w:val="26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(provision) benefit</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center"/>
              <w:ind w:left="11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6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(2)</w:t>
            </w:r>
          </w:p>
        </w:tc>
        <w:tc>
          <w:tcPr>
            <w:tcW w:w="560" w:type="dxa"/>
            <w:vAlign w:val="bottom"/>
          </w:tcPr>
          <w:p>
            <w:pPr>
              <w:spacing w:after="0"/>
              <w:rPr>
                <w:sz w:val="22"/>
                <w:szCs w:val="22"/>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w:t>
            </w:r>
          </w:p>
        </w:tc>
      </w:tr>
      <w:tr>
        <w:trPr>
          <w:trHeight w:val="27"/>
        </w:trPr>
        <w:tc>
          <w:tcPr>
            <w:tcW w:w="3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1"/>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loss of investee companies,</w:t>
            </w:r>
          </w:p>
        </w:tc>
        <w:tc>
          <w:tcPr>
            <w:tcW w:w="3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3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of tax</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8"/>
              </w:rPr>
              <w:t>(33)</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(171)</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(221)</w:t>
            </w:r>
          </w:p>
        </w:tc>
      </w:tr>
      <w:tr>
        <w:trPr>
          <w:trHeight w:val="33"/>
        </w:trPr>
        <w:tc>
          <w:tcPr>
            <w:tcW w:w="3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80"/>
          </w:cols>
          <w:pgMar w:left="320" w:top="587" w:right="999" w:bottom="1440" w:gutter="0" w:footer="0" w:header="0"/>
        </w:sectPr>
      </w:pPr>
    </w:p>
    <w:bookmarkStart w:id="65" w:name="page66"/>
    <w:bookmarkEnd w:id="65"/>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Loss from Continuing Operations Attributable to Parent and Diluted EPS from Continuing Operations</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93" w:lineRule="exact"/>
        <w:rPr>
          <w:sz w:val="20"/>
          <w:szCs w:val="20"/>
          <w:color w:val="auto"/>
        </w:rPr>
      </w:pPr>
    </w:p>
    <w:tbl>
      <w:tblPr>
        <w:tblLayout w:type="fixed"/>
        <w:tblInd w:w="1920" w:type="dxa"/>
        <w:tblCellMar>
          <w:top w:w="0" w:type="dxa"/>
          <w:left w:w="0" w:type="dxa"/>
          <w:bottom w:w="0" w:type="dxa"/>
          <w:right w:w="0" w:type="dxa"/>
        </w:tblCellMar>
      </w:tblPr>
      <w:tr>
        <w:trPr>
          <w:trHeight w:val="262"/>
        </w:trPr>
        <w:tc>
          <w:tcPr>
            <w:tcW w:w="3140" w:type="dxa"/>
            <w:vAlign w:val="bottom"/>
            <w:tcBorders>
              <w:top w:val="single" w:sz="8" w:color="auto"/>
            </w:tcBorders>
          </w:tcPr>
          <w:p>
            <w:pPr>
              <w:spacing w:after="0"/>
              <w:rPr>
                <w:sz w:val="22"/>
                <w:szCs w:val="22"/>
                <w:color w:val="auto"/>
              </w:rPr>
            </w:pPr>
          </w:p>
        </w:tc>
        <w:tc>
          <w:tcPr>
            <w:tcW w:w="1440" w:type="dxa"/>
            <w:vAlign w:val="bottom"/>
            <w:tcBorders>
              <w:top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44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900" w:type="dxa"/>
            <w:vAlign w:val="bottom"/>
            <w:tcBorders>
              <w:top w:val="single" w:sz="8" w:color="auto"/>
            </w:tcBorders>
          </w:tcPr>
          <w:p>
            <w:pPr>
              <w:spacing w:after="0"/>
              <w:rPr>
                <w:sz w:val="22"/>
                <w:szCs w:val="22"/>
                <w:color w:val="auto"/>
              </w:rPr>
            </w:pPr>
          </w:p>
        </w:tc>
      </w:tr>
      <w:tr>
        <w:trPr>
          <w:trHeight w:val="27"/>
        </w:trPr>
        <w:tc>
          <w:tcPr>
            <w:tcW w:w="3140" w:type="dxa"/>
            <w:vAlign w:val="bottom"/>
          </w:tcPr>
          <w:p>
            <w:pPr>
              <w:spacing w:after="0"/>
              <w:rPr>
                <w:sz w:val="2"/>
                <w:szCs w:val="2"/>
                <w:color w:val="auto"/>
              </w:rPr>
            </w:pPr>
          </w:p>
        </w:tc>
        <w:tc>
          <w:tcPr>
            <w:tcW w:w="1440" w:type="dxa"/>
            <w:vAlign w:val="bottom"/>
            <w:tcBorders>
              <w:bottom w:val="single" w:sz="8" w:color="auto"/>
              <w:right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87"/>
        </w:trPr>
        <w:tc>
          <w:tcPr>
            <w:tcW w:w="314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8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184"/>
        </w:trPr>
        <w:tc>
          <w:tcPr>
            <w:tcW w:w="314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July 1 - August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Ended September</w:t>
            </w:r>
          </w:p>
        </w:tc>
      </w:tr>
      <w:tr>
        <w:trPr>
          <w:trHeight w:val="208"/>
        </w:trPr>
        <w:tc>
          <w:tcPr>
            <w:tcW w:w="3140" w:type="dxa"/>
            <w:vAlign w:val="bottom"/>
          </w:tcPr>
          <w:p>
            <w:pPr>
              <w:spacing w:after="0"/>
              <w:rPr>
                <w:sz w:val="18"/>
                <w:szCs w:val="18"/>
                <w:color w:val="auto"/>
              </w:rPr>
            </w:pPr>
          </w:p>
        </w:tc>
        <w:tc>
          <w:tcPr>
            <w:tcW w:w="144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40" w:type="dxa"/>
            <w:vAlign w:val="bottom"/>
          </w:tcPr>
          <w:p>
            <w:pPr>
              <w:spacing w:after="0"/>
              <w:rPr>
                <w:sz w:val="18"/>
                <w:szCs w:val="18"/>
                <w:color w:val="auto"/>
              </w:rPr>
            </w:pPr>
          </w:p>
        </w:tc>
        <w:tc>
          <w:tcPr>
            <w:tcW w:w="920" w:type="dxa"/>
            <w:vAlign w:val="bottom"/>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6,</w:t>
            </w:r>
          </w:p>
        </w:tc>
        <w:tc>
          <w:tcPr>
            <w:tcW w:w="580" w:type="dxa"/>
            <w:vAlign w:val="bottom"/>
          </w:tcPr>
          <w:p>
            <w:pPr>
              <w:spacing w:after="0"/>
              <w:rPr>
                <w:sz w:val="18"/>
                <w:szCs w:val="18"/>
                <w:color w:val="auto"/>
              </w:rPr>
            </w:pPr>
          </w:p>
        </w:tc>
        <w:tc>
          <w:tcPr>
            <w:tcW w:w="900" w:type="dxa"/>
            <w:vAlign w:val="bottom"/>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30,</w:t>
            </w:r>
          </w:p>
        </w:tc>
      </w:tr>
      <w:tr>
        <w:trPr>
          <w:trHeight w:val="31"/>
        </w:trPr>
        <w:tc>
          <w:tcPr>
            <w:tcW w:w="3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3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8"/>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from continuing</w:t>
            </w:r>
          </w:p>
        </w:tc>
        <w:tc>
          <w:tcPr>
            <w:tcW w:w="42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8"/>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operations attributable to Parent</w:t>
            </w: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(13)</w:t>
            </w:r>
          </w:p>
        </w:tc>
        <w:tc>
          <w:tcPr>
            <w:tcW w:w="4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(244)</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(4)</w:t>
            </w:r>
          </w:p>
        </w:tc>
      </w:tr>
      <w:tr>
        <w:trPr>
          <w:trHeight w:val="244"/>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EPS from continuing</w:t>
            </w:r>
          </w:p>
        </w:tc>
        <w:tc>
          <w:tcPr>
            <w:tcW w:w="42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8"/>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operations</w:t>
            </w: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(.01)</w:t>
            </w:r>
          </w:p>
        </w:tc>
        <w:tc>
          <w:tcPr>
            <w:tcW w:w="4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(.36)</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(.01)</w:t>
            </w:r>
          </w:p>
        </w:tc>
      </w:tr>
      <w:tr>
        <w:trPr>
          <w:trHeight w:val="33"/>
        </w:trPr>
        <w:tc>
          <w:tcPr>
            <w:tcW w:w="3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80" w:lineRule="exact"/>
        <w:rPr>
          <w:sz w:val="20"/>
          <w:szCs w:val="20"/>
          <w:color w:val="auto"/>
        </w:rPr>
      </w:pPr>
    </w:p>
    <w:tbl>
      <w:tblPr>
        <w:tblLayout w:type="fixed"/>
        <w:tblInd w:w="1920" w:type="dxa"/>
        <w:tblCellMar>
          <w:top w:w="0" w:type="dxa"/>
          <w:left w:w="0" w:type="dxa"/>
          <w:bottom w:w="0" w:type="dxa"/>
          <w:right w:w="0" w:type="dxa"/>
        </w:tblCellMar>
      </w:tblPr>
      <w:tr>
        <w:trPr>
          <w:trHeight w:val="262"/>
        </w:trPr>
        <w:tc>
          <w:tcPr>
            <w:tcW w:w="3140" w:type="dxa"/>
            <w:vAlign w:val="bottom"/>
            <w:tcBorders>
              <w:top w:val="single" w:sz="8" w:color="auto"/>
            </w:tcBorders>
          </w:tcPr>
          <w:p>
            <w:pPr>
              <w:spacing w:after="0"/>
              <w:rPr>
                <w:sz w:val="22"/>
                <w:szCs w:val="22"/>
                <w:color w:val="auto"/>
              </w:rPr>
            </w:pPr>
          </w:p>
        </w:tc>
        <w:tc>
          <w:tcPr>
            <w:tcW w:w="1440" w:type="dxa"/>
            <w:vAlign w:val="bottom"/>
            <w:tcBorders>
              <w:top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36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900" w:type="dxa"/>
            <w:vAlign w:val="bottom"/>
            <w:tcBorders>
              <w:top w:val="single" w:sz="8" w:color="auto"/>
            </w:tcBorders>
          </w:tcPr>
          <w:p>
            <w:pPr>
              <w:spacing w:after="0"/>
              <w:rPr>
                <w:sz w:val="22"/>
                <w:szCs w:val="22"/>
                <w:color w:val="auto"/>
              </w:rPr>
            </w:pPr>
          </w:p>
        </w:tc>
      </w:tr>
      <w:tr>
        <w:trPr>
          <w:trHeight w:val="27"/>
        </w:trPr>
        <w:tc>
          <w:tcPr>
            <w:tcW w:w="3140" w:type="dxa"/>
            <w:vAlign w:val="bottom"/>
          </w:tcPr>
          <w:p>
            <w:pPr>
              <w:spacing w:after="0"/>
              <w:rPr>
                <w:sz w:val="2"/>
                <w:szCs w:val="2"/>
                <w:color w:val="auto"/>
              </w:rPr>
            </w:pPr>
          </w:p>
        </w:tc>
        <w:tc>
          <w:tcPr>
            <w:tcW w:w="1440" w:type="dxa"/>
            <w:vAlign w:val="bottom"/>
            <w:tcBorders>
              <w:bottom w:val="single" w:sz="8" w:color="auto"/>
              <w:right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r>
      <w:tr>
        <w:trPr>
          <w:trHeight w:val="200"/>
        </w:trPr>
        <w:tc>
          <w:tcPr>
            <w:tcW w:w="31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Nine Months</w:t>
            </w:r>
          </w:p>
        </w:tc>
      </w:tr>
      <w:tr>
        <w:trPr>
          <w:trHeight w:val="184"/>
        </w:trPr>
        <w:tc>
          <w:tcPr>
            <w:tcW w:w="314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Ended September</w:t>
            </w:r>
          </w:p>
        </w:tc>
      </w:tr>
      <w:tr>
        <w:trPr>
          <w:trHeight w:val="219"/>
        </w:trPr>
        <w:tc>
          <w:tcPr>
            <w:tcW w:w="3140" w:type="dxa"/>
            <w:vAlign w:val="bottom"/>
          </w:tcPr>
          <w:p>
            <w:pPr>
              <w:spacing w:after="0"/>
              <w:rPr>
                <w:sz w:val="19"/>
                <w:szCs w:val="19"/>
                <w:color w:val="auto"/>
              </w:rPr>
            </w:pPr>
          </w:p>
        </w:tc>
        <w:tc>
          <w:tcPr>
            <w:tcW w:w="1440" w:type="dxa"/>
            <w:vAlign w:val="bottom"/>
            <w:tcBorders>
              <w:bottom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30,</w:t>
            </w:r>
          </w:p>
        </w:tc>
      </w:tr>
      <w:tr>
        <w:trPr>
          <w:trHeight w:val="229"/>
        </w:trPr>
        <w:tc>
          <w:tcPr>
            <w:tcW w:w="3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8"/>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from continuing</w:t>
            </w:r>
          </w:p>
        </w:tc>
        <w:tc>
          <w:tcPr>
            <w:tcW w:w="42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8"/>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operations attributable to Parent</w:t>
            </w: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(13)</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(5,980)</w:t>
            </w:r>
          </w:p>
        </w:tc>
      </w:tr>
      <w:tr>
        <w:trPr>
          <w:trHeight w:val="244"/>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EPS from continuing</w:t>
            </w:r>
          </w:p>
        </w:tc>
        <w:tc>
          <w:tcPr>
            <w:tcW w:w="42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8"/>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operations</w:t>
            </w: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(.01)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(.05)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(9.04)</w:t>
            </w:r>
          </w:p>
        </w:tc>
      </w:tr>
      <w:tr>
        <w:trPr>
          <w:trHeight w:val="33"/>
        </w:trPr>
        <w:tc>
          <w:tcPr>
            <w:tcW w:w="3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9"/>
          <w:szCs w:val="19"/>
          <w:color w:val="auto"/>
        </w:rPr>
        <w:t>As a result of the pushdown of the Ultimate Parent’s basis, net loss from continuing operations attributable to Parent and diluted EPS during the Successor period include amortization associated with intangible assets that were established and also reflect the decrease in programming assets and interest expense associated with the adjustment to fair value our debt. Net loss from continuing operations attributable to Parent and diluted EPS during the nine months ended September 30, 2024 (Predecessor) were impacted by a goodwill impairment charge during the second quarter of $5.98 billion ($5.64 billion, net of tax) and programming charges during the first quarter of $1.12 billion ($843 million, net of tax).</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Earnings from Discontinued Operations</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On October 30, 2023, we completed the sale of Simon &amp; Schuster to affiliates of Kohlberg Kravis Roberts &amp; Co. During the first quarter of 2024 (Predecessor), we recorded an additional pretax gain of $12 million on the sale as a result of a working capital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87" w:right="39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Supplemental Pro Forma Revenues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w:t>
      </w:r>
    </w:p>
    <w:p>
      <w:pPr>
        <w:spacing w:after="0" w:line="15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9"/>
          <w:szCs w:val="19"/>
          <w:color w:val="auto"/>
        </w:rPr>
        <w:t>Supplemental Pro Forma Revenues for the three and nine months ended September 30, 2025 reflect the combination of the Successor period with the Predecessor period from July 1-August 6, 2025 and January 1-August 6, 2025, respectively, and for Licensing and other and Total Revenues also include pro forma adjustments to include Skydance revenues after the elimination of intercompany revenues from Paramount Global during the Predecessor period. While the Successor and Predecessor periods are distinct reporting periods, revenues were not impacted by the pushdown of the Ultimate Parent’s basis and are supplementally presented on a pro forma combined basis to help investors view these amounts in a manner consistent with our management.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tables below present the calculations of Supplemental Pro Forma Revenues on a consolidated basis.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Three and Nine Months Ended September 30, 2025 versus Three and Nine Months Ended September 30,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7"/>
              </w:rPr>
              <w:t>Three Months Ended September 30, 2025</w:t>
            </w: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2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right w:val="single" w:sz="8" w:color="auto"/>
            </w:tcBorders>
            <w:gridSpan w:val="2"/>
          </w:tcPr>
          <w:p>
            <w:pPr>
              <w:jc w:val="center"/>
              <w:ind w:right="70"/>
              <w:spacing w:after="0" w:line="159" w:lineRule="exact"/>
              <w:rPr>
                <w:sz w:val="20"/>
                <w:szCs w:val="20"/>
                <w:color w:val="auto"/>
              </w:rPr>
            </w:pPr>
            <w:r>
              <w:rPr>
                <w:rFonts w:ascii="Times New Roman" w:cs="Times New Roman" w:eastAsia="Times New Roman" w:hAnsi="Times New Roman"/>
                <w:sz w:val="14"/>
                <w:szCs w:val="14"/>
                <w:b w:val="1"/>
                <w:bCs w:val="1"/>
                <w:color w:val="auto"/>
                <w:w w:val="99"/>
              </w:rPr>
              <w:t>Period From</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66"/>
        </w:trPr>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August 7 -</w:t>
            </w: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80"/>
        </w:trPr>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Borders>
              <w:right w:val="single" w:sz="8" w:color="auto"/>
            </w:tcBorders>
            <w:gridSpan w:val="2"/>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September 30</w:t>
            </w:r>
          </w:p>
        </w:tc>
        <w:tc>
          <w:tcPr>
            <w:tcW w:w="180" w:type="dxa"/>
            <w:vAlign w:val="bottom"/>
          </w:tcPr>
          <w:p>
            <w:pPr>
              <w:spacing w:after="0"/>
              <w:rPr>
                <w:sz w:val="6"/>
                <w:szCs w:val="6"/>
                <w:color w:val="auto"/>
              </w:rPr>
            </w:pPr>
          </w:p>
        </w:tc>
        <w:tc>
          <w:tcPr>
            <w:tcW w:w="2400" w:type="dxa"/>
            <w:vAlign w:val="bottom"/>
            <w:tcBorders>
              <w:right w:val="single" w:sz="8" w:color="auto"/>
            </w:tcBorders>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Period From July 1 - August 6</w:t>
            </w:r>
          </w:p>
        </w:tc>
        <w:tc>
          <w:tcPr>
            <w:tcW w:w="36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right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400" w:type="dxa"/>
            <w:vAlign w:val="bottom"/>
            <w:tcBorders>
              <w:right w:val="single" w:sz="8" w:color="auto"/>
            </w:tcBorders>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2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gridSpan w:val="2"/>
          </w:tcPr>
          <w:p>
            <w:pPr>
              <w:spacing w:after="0"/>
              <w:rPr>
                <w:sz w:val="3"/>
                <w:szCs w:val="3"/>
                <w:color w:val="auto"/>
              </w:rPr>
            </w:pPr>
          </w:p>
        </w:tc>
        <w:tc>
          <w:tcPr>
            <w:tcW w:w="1060" w:type="dxa"/>
            <w:vAlign w:val="bottom"/>
            <w:tcBorders>
              <w:right w:val="single" w:sz="8" w:color="auto"/>
            </w:tcBorders>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60" w:type="dxa"/>
            <w:vAlign w:val="bottom"/>
            <w:tcBorders>
              <w:right w:val="single" w:sz="8" w:color="auto"/>
            </w:tcBorders>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40" w:type="dxa"/>
            <w:vAlign w:val="bottom"/>
            <w:tcBorders>
              <w:right w:val="single" w:sz="8" w:color="auto"/>
            </w:tcBorders>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60" w:type="dxa"/>
            <w:vAlign w:val="bottom"/>
            <w:tcBorders>
              <w:bottom w:val="single" w:sz="8" w:color="auto"/>
              <w:right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60" w:type="dxa"/>
            <w:vAlign w:val="bottom"/>
            <w:tcBorders>
              <w:bottom w:val="single" w:sz="8" w:color="auto"/>
              <w:right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1360" w:type="dxa"/>
            <w:vAlign w:val="bottom"/>
            <w:tcBorders>
              <w:bottom w:val="single" w:sz="8" w:color="auto"/>
              <w:right w:val="single" w:sz="8" w:color="auto"/>
            </w:tcBorders>
            <w:gridSpan w:val="2"/>
            <w:vMerge w:val="continue"/>
          </w:tcPr>
          <w:p>
            <w:pPr>
              <w:spacing w:after="0"/>
              <w:rPr>
                <w:sz w:val="18"/>
                <w:szCs w:val="18"/>
                <w:color w:val="auto"/>
              </w:rPr>
            </w:pPr>
          </w:p>
        </w:tc>
        <w:tc>
          <w:tcPr>
            <w:tcW w:w="1040" w:type="dxa"/>
            <w:vAlign w:val="bottom"/>
            <w:tcBorders>
              <w:bottom w:val="single" w:sz="8" w:color="auto"/>
              <w:right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220" w:type="dxa"/>
            <w:vAlign w:val="bottom"/>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Revenues by</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Advertising</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1,280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664</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1,944</w:t>
            </w:r>
          </w:p>
        </w:tc>
        <w:tc>
          <w:tcPr>
            <w:tcW w:w="5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2,174</w:t>
            </w:r>
          </w:p>
        </w:tc>
        <w:tc>
          <w:tcPr>
            <w:tcW w:w="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(230)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Affiliate and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subscription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7"/>
                <w:szCs w:val="17"/>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1,400</w:t>
            </w:r>
          </w:p>
        </w:tc>
        <w:tc>
          <w:tcPr>
            <w:tcW w:w="520" w:type="dxa"/>
            <w:vAlign w:val="bottom"/>
          </w:tcPr>
          <w:p>
            <w:pPr>
              <w:spacing w:after="0"/>
              <w:rPr>
                <w:sz w:val="17"/>
                <w:szCs w:val="17"/>
                <w:color w:val="auto"/>
              </w:rPr>
            </w:pPr>
          </w:p>
        </w:tc>
        <w:tc>
          <w:tcPr>
            <w:tcW w:w="8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0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3,427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3,215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3,215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212</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Theatrical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73</w:t>
            </w:r>
          </w:p>
        </w:tc>
        <w:tc>
          <w:tcPr>
            <w:tcW w:w="520" w:type="dxa"/>
            <w:vAlign w:val="bottom"/>
          </w:tcPr>
          <w:p>
            <w:pPr>
              <w:spacing w:after="0"/>
              <w:rPr>
                <w:sz w:val="19"/>
                <w:szCs w:val="19"/>
                <w:color w:val="auto"/>
              </w:rPr>
            </w:pPr>
          </w:p>
        </w:tc>
        <w:tc>
          <w:tcPr>
            <w:tcW w:w="8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70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112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7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108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4</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Licensing and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jc w:val="center"/>
              <w:ind w:right="370"/>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775</w:t>
            </w:r>
          </w:p>
        </w:tc>
        <w:tc>
          <w:tcPr>
            <w:tcW w:w="180" w:type="dxa"/>
            <w:vAlign w:val="bottom"/>
          </w:tcPr>
          <w:p>
            <w:pPr>
              <w:spacing w:after="0"/>
              <w:rPr>
                <w:sz w:val="17"/>
                <w:szCs w:val="17"/>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444</w:t>
            </w:r>
          </w:p>
        </w:tc>
        <w:tc>
          <w:tcPr>
            <w:tcW w:w="520" w:type="dxa"/>
            <w:vAlign w:val="bottom"/>
          </w:tcPr>
          <w:p>
            <w:pPr>
              <w:spacing w:after="0"/>
              <w:rPr>
                <w:sz w:val="17"/>
                <w:szCs w:val="17"/>
                <w:color w:val="auto"/>
              </w:rPr>
            </w:pPr>
          </w:p>
        </w:tc>
        <w:tc>
          <w:tcPr>
            <w:tcW w:w="8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tcPr>
          <w:p>
            <w:pPr>
              <w:spacing w:after="0"/>
              <w:rPr>
                <w:sz w:val="17"/>
                <w:szCs w:val="17"/>
                <w:color w:val="auto"/>
              </w:rPr>
            </w:pPr>
          </w:p>
        </w:tc>
        <w:tc>
          <w:tcPr>
            <w:tcW w:w="70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1,231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rPr>
              <w:t>209</w:t>
            </w:r>
          </w:p>
        </w:tc>
        <w:tc>
          <w:tcPr>
            <w:tcW w:w="320" w:type="dxa"/>
            <w:vAlign w:val="bottom"/>
          </w:tcPr>
          <w:p>
            <w:pPr>
              <w:spacing w:after="0"/>
              <w:rPr>
                <w:sz w:val="17"/>
                <w:szCs w:val="17"/>
                <w:color w:val="auto"/>
              </w:rPr>
            </w:pPr>
          </w:p>
        </w:tc>
        <w:tc>
          <w:tcPr>
            <w:tcW w:w="7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1,443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(212)</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220" w:type="dxa"/>
            <w:vAlign w:val="bottom"/>
          </w:tcPr>
          <w:p>
            <w:pPr>
              <w:jc w:val="center"/>
              <w:ind w:right="410"/>
              <w:spacing w:after="0" w:line="15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2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4,121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2,581</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6,714</w:t>
            </w:r>
          </w:p>
        </w:tc>
        <w:tc>
          <w:tcPr>
            <w:tcW w:w="5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6,731</w:t>
            </w:r>
          </w:p>
        </w:tc>
        <w:tc>
          <w:tcPr>
            <w:tcW w:w="100" w:type="dxa"/>
            <w:vAlign w:val="bottom"/>
          </w:tcPr>
          <w:p>
            <w:pPr>
              <w:spacing w:after="0"/>
              <w:rPr>
                <w:sz w:val="17"/>
                <w:szCs w:val="17"/>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rPr>
              <w:t>209</w:t>
            </w: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6,940</w:t>
            </w: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(226)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gridSpan w:val="4"/>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7"/>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8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2025</w:t>
            </w: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6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57"/>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right w:val="single" w:sz="8" w:color="auto"/>
            </w:tcBorders>
          </w:tcPr>
          <w:p>
            <w:pPr>
              <w:jc w:val="center"/>
              <w:ind w:right="270"/>
              <w:spacing w:after="0" w:line="157" w:lineRule="exact"/>
              <w:rPr>
                <w:sz w:val="20"/>
                <w:szCs w:val="20"/>
                <w:color w:val="auto"/>
              </w:rPr>
            </w:pPr>
            <w:r>
              <w:rPr>
                <w:rFonts w:ascii="Times New Roman" w:cs="Times New Roman" w:eastAsia="Times New Roman" w:hAnsi="Times New Roman"/>
                <w:sz w:val="14"/>
                <w:szCs w:val="14"/>
                <w:b w:val="1"/>
                <w:bCs w:val="1"/>
                <w:color w:val="auto"/>
              </w:rPr>
              <w:t>August 7 -</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right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September 30</w:t>
            </w:r>
          </w:p>
        </w:tc>
        <w:tc>
          <w:tcPr>
            <w:tcW w:w="180" w:type="dxa"/>
            <w:vAlign w:val="bottom"/>
          </w:tcPr>
          <w:p>
            <w:pPr>
              <w:spacing w:after="0"/>
              <w:rPr>
                <w:sz w:val="17"/>
                <w:szCs w:val="17"/>
                <w:color w:val="auto"/>
              </w:rPr>
            </w:pPr>
          </w:p>
        </w:tc>
        <w:tc>
          <w:tcPr>
            <w:tcW w:w="2400" w:type="dxa"/>
            <w:vAlign w:val="bottom"/>
            <w:tcBorders>
              <w:right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Period From January 1 - August 6</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Increase/(Decrease)</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60" w:type="dxa"/>
            <w:vAlign w:val="bottom"/>
            <w:tcBorders>
              <w:right w:val="single" w:sz="8" w:color="auto"/>
            </w:tcBorders>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4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60" w:type="dxa"/>
            <w:vAlign w:val="bottom"/>
            <w:tcBorders>
              <w:right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60" w:type="dxa"/>
            <w:vAlign w:val="bottom"/>
            <w:gridSpan w:val="2"/>
            <w:vMerge w:val="continue"/>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360" w:type="dxa"/>
            <w:vAlign w:val="bottom"/>
            <w:tcBorders>
              <w:right w:val="single" w:sz="8" w:color="auto"/>
            </w:tcBorders>
            <w:gridSpan w:val="2"/>
            <w:vMerge w:val="continue"/>
          </w:tcPr>
          <w:p>
            <w:pPr>
              <w:spacing w:after="0"/>
              <w:rPr>
                <w:sz w:val="18"/>
                <w:szCs w:val="18"/>
                <w:color w:val="auto"/>
              </w:rPr>
            </w:pPr>
          </w:p>
        </w:tc>
        <w:tc>
          <w:tcPr>
            <w:tcW w:w="10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2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Revenues by</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20" w:type="dxa"/>
            <w:vAlign w:val="bottom"/>
            <w:tcBorders>
              <w:top w:val="single" w:sz="8" w:color="auto"/>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Advertising</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1,280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5,329</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6,609</w:t>
            </w:r>
          </w:p>
        </w:tc>
        <w:tc>
          <w:tcPr>
            <w:tcW w:w="40" w:type="dxa"/>
            <w:vAlign w:val="bottom"/>
            <w:tcBorders>
              <w:right w:val="single" w:sz="8" w:color="auto"/>
            </w:tcBorders>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7,521</w:t>
            </w:r>
          </w:p>
        </w:tc>
        <w:tc>
          <w:tcPr>
            <w:tcW w:w="100" w:type="dxa"/>
            <w:vAlign w:val="bottom"/>
          </w:tcPr>
          <w:p>
            <w:pPr>
              <w:spacing w:after="0"/>
              <w:rPr>
                <w:sz w:val="19"/>
                <w:szCs w:val="19"/>
                <w:color w:val="auto"/>
              </w:rPr>
            </w:pP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7,521</w:t>
            </w:r>
          </w:p>
        </w:tc>
        <w:tc>
          <w:tcPr>
            <w:tcW w:w="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(912)</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1"/>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Affiliate and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subscription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5"/>
                <w:szCs w:val="15"/>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8,242</w:t>
            </w:r>
          </w:p>
        </w:tc>
        <w:tc>
          <w:tcPr>
            <w:tcW w:w="520" w:type="dxa"/>
            <w:vAlign w:val="bottom"/>
          </w:tcPr>
          <w:p>
            <w:pPr>
              <w:spacing w:after="0"/>
              <w:rPr>
                <w:sz w:val="15"/>
                <w:szCs w:val="15"/>
                <w:color w:val="auto"/>
              </w:rPr>
            </w:pPr>
          </w:p>
        </w:tc>
        <w:tc>
          <w:tcPr>
            <w:tcW w:w="8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10,269</w:t>
            </w:r>
          </w:p>
        </w:tc>
        <w:tc>
          <w:tcPr>
            <w:tcW w:w="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9,847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7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9,847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422</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Theatrical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475</w:t>
            </w:r>
          </w:p>
        </w:tc>
        <w:tc>
          <w:tcPr>
            <w:tcW w:w="520" w:type="dxa"/>
            <w:vAlign w:val="bottom"/>
          </w:tcPr>
          <w:p>
            <w:pPr>
              <w:spacing w:after="0"/>
              <w:rPr>
                <w:sz w:val="19"/>
                <w:szCs w:val="19"/>
                <w:color w:val="auto"/>
              </w:rPr>
            </w:pPr>
          </w:p>
        </w:tc>
        <w:tc>
          <w:tcPr>
            <w:tcW w:w="8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514</w:t>
            </w:r>
          </w:p>
        </w:tc>
        <w:tc>
          <w:tcPr>
            <w:tcW w:w="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7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399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115</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Licensing and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20" w:type="dxa"/>
            <w:vAlign w:val="bottom"/>
          </w:tcPr>
          <w:p>
            <w:pPr>
              <w:jc w:val="center"/>
              <w:ind w:right="370"/>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775</w:t>
            </w:r>
          </w:p>
        </w:tc>
        <w:tc>
          <w:tcPr>
            <w:tcW w:w="180" w:type="dxa"/>
            <w:vAlign w:val="bottom"/>
          </w:tcPr>
          <w:p>
            <w:pPr>
              <w:spacing w:after="0"/>
              <w:rPr>
                <w:sz w:val="15"/>
                <w:szCs w:val="15"/>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2,576</w:t>
            </w:r>
          </w:p>
        </w:tc>
        <w:tc>
          <w:tcPr>
            <w:tcW w:w="520" w:type="dxa"/>
            <w:vAlign w:val="bottom"/>
          </w:tcPr>
          <w:p>
            <w:pPr>
              <w:spacing w:after="0"/>
              <w:rPr>
                <w:sz w:val="15"/>
                <w:szCs w:val="15"/>
                <w:color w:val="auto"/>
              </w:rPr>
            </w:pPr>
          </w:p>
        </w:tc>
        <w:tc>
          <w:tcPr>
            <w:tcW w:w="8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503</w:t>
            </w:r>
          </w:p>
        </w:tc>
        <w:tc>
          <w:tcPr>
            <w:tcW w:w="36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3,854</w:t>
            </w:r>
          </w:p>
        </w:tc>
        <w:tc>
          <w:tcPr>
            <w:tcW w:w="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455</w:t>
            </w:r>
          </w:p>
        </w:tc>
        <w:tc>
          <w:tcPr>
            <w:tcW w:w="320" w:type="dxa"/>
            <w:vAlign w:val="bottom"/>
          </w:tcPr>
          <w:p>
            <w:pPr>
              <w:spacing w:after="0"/>
              <w:rPr>
                <w:sz w:val="15"/>
                <w:szCs w:val="15"/>
                <w:color w:val="auto"/>
              </w:rPr>
            </w:pPr>
          </w:p>
        </w:tc>
        <w:tc>
          <w:tcPr>
            <w:tcW w:w="7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3,917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(63)</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220" w:type="dxa"/>
            <w:vAlign w:val="bottom"/>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4,121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16,622</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503</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21,246</w:t>
            </w:r>
          </w:p>
        </w:tc>
        <w:tc>
          <w:tcPr>
            <w:tcW w:w="40" w:type="dxa"/>
            <w:vAlign w:val="bottom"/>
            <w:tcBorders>
              <w:right w:val="single" w:sz="8" w:color="auto"/>
            </w:tcBorders>
          </w:tcPr>
          <w:p>
            <w:pPr>
              <w:spacing w:after="0"/>
              <w:rPr>
                <w:sz w:val="16"/>
                <w:szCs w:val="16"/>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21,229</w:t>
            </w:r>
          </w:p>
        </w:tc>
        <w:tc>
          <w:tcPr>
            <w:tcW w:w="100" w:type="dxa"/>
            <w:vAlign w:val="bottom"/>
          </w:tcPr>
          <w:p>
            <w:pPr>
              <w:spacing w:after="0"/>
              <w:rPr>
                <w:sz w:val="16"/>
                <w:szCs w:val="16"/>
                <w:color w:val="auto"/>
              </w:rPr>
            </w:pP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455</w:t>
            </w:r>
          </w:p>
        </w:tc>
        <w:tc>
          <w:tcPr>
            <w:tcW w:w="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21,684</w:t>
            </w:r>
          </w:p>
        </w:tc>
        <w:tc>
          <w:tcPr>
            <w:tcW w:w="6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(438)</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43"/>
        </w:trPr>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80" w:hanging="318"/>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Skydance revenues during the period noted after the elimination of intercompany revenues from Paramount Global.</w:t>
      </w:r>
    </w:p>
    <w:p>
      <w:pPr>
        <w:spacing w:after="0" w:line="48" w:lineRule="exact"/>
        <w:rPr>
          <w:rFonts w:ascii="Times New Roman" w:cs="Times New Roman" w:eastAsia="Times New Roman" w:hAnsi="Times New Roman"/>
          <w:sz w:val="14"/>
          <w:szCs w:val="14"/>
          <w:color w:val="auto"/>
        </w:rPr>
      </w:pPr>
    </w:p>
    <w:p>
      <w:pPr>
        <w:ind w:left="480" w:right="100" w:hanging="318"/>
        <w:spacing w:after="0" w:line="286" w:lineRule="auto"/>
        <w:tabs>
          <w:tab w:leader="none" w:pos="47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revenues for the three and nine months ended September 30, 2025 represent the sum of the Successor and Predecessor periods comprising the applicable periods adjusted to include the historical revenue of Skydance after the elimination of intercompany revenues from Paramount Global, during the period prior to the close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7" w:name="page68"/>
    <w:bookmarkEnd w:id="67"/>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 Results of Operations</w:t>
      </w:r>
    </w:p>
    <w:p>
      <w:pPr>
        <w:spacing w:after="0" w:line="15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The Company is comprised of the below segments. We are in the process of transitioning our reporting structure into three new segments: Studios, Direct-to-Consumer, and TV Media, which will be completed and reflected in our Quarterly Report on Form 10-Q for the first quarter of 2026.</w:t>
      </w:r>
    </w:p>
    <w:p>
      <w:pPr>
        <w:spacing w:after="0" w:line="393" w:lineRule="exact"/>
        <w:rPr>
          <w:sz w:val="20"/>
          <w:szCs w:val="20"/>
          <w:color w:val="auto"/>
        </w:rPr>
      </w:pPr>
    </w:p>
    <w:p>
      <w:pPr>
        <w:ind w:left="640" w:right="60" w:hanging="320"/>
        <w:spacing w:after="0" w:line="258" w:lineRule="auto"/>
        <w:tabs>
          <w:tab w:leader="none" w:pos="628" w:val="left"/>
        </w:tabs>
        <w:numPr>
          <w:ilvl w:val="0"/>
          <w:numId w:val="2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consists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CBS Television Network, our domestic broadcast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television network; CBS Stations, our owned television stations; and our international free-to-air networks, Network 10, Channel 5, and Chilevisión;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and Paramount Television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Streaming for 24 hour news and CBS Sports HQ for sports news and analysis.</w:t>
      </w:r>
    </w:p>
    <w:p>
      <w:pPr>
        <w:spacing w:after="0" w:line="204" w:lineRule="exact"/>
        <w:rPr>
          <w:rFonts w:ascii="Times New Roman" w:cs="Times New Roman" w:eastAsia="Times New Roman" w:hAnsi="Times New Roman"/>
          <w:sz w:val="19"/>
          <w:szCs w:val="19"/>
          <w:b w:val="1"/>
          <w:bCs w:val="1"/>
          <w:i w:val="1"/>
          <w:iCs w:val="1"/>
          <w:color w:val="auto"/>
        </w:rPr>
      </w:pPr>
    </w:p>
    <w:p>
      <w:pPr>
        <w:ind w:left="640" w:right="440" w:hanging="320"/>
        <w:spacing w:after="0" w:line="283" w:lineRule="auto"/>
        <w:tabs>
          <w:tab w:leader="none" w:pos="628" w:val="left"/>
        </w:tabs>
        <w:numPr>
          <w:ilvl w:val="0"/>
          <w:numId w:val="2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includes our portfolio of domestic and international pay and free streaming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including Paramount+, Pluto TV, and BET+.</w:t>
      </w:r>
    </w:p>
    <w:p>
      <w:pPr>
        <w:spacing w:after="0" w:line="179" w:lineRule="exact"/>
        <w:rPr>
          <w:rFonts w:ascii="Times New Roman" w:cs="Times New Roman" w:eastAsia="Times New Roman" w:hAnsi="Times New Roman"/>
          <w:sz w:val="19"/>
          <w:szCs w:val="19"/>
          <w:b w:val="1"/>
          <w:bCs w:val="1"/>
          <w:i w:val="1"/>
          <w:iCs w:val="1"/>
          <w:color w:val="auto"/>
        </w:rPr>
      </w:pPr>
    </w:p>
    <w:p>
      <w:pPr>
        <w:ind w:left="640" w:right="160" w:hanging="320"/>
        <w:spacing w:after="0" w:line="297" w:lineRule="auto"/>
        <w:tabs>
          <w:tab w:leader="none" w:pos="628" w:val="left"/>
        </w:tabs>
        <w:numPr>
          <w:ilvl w:val="0"/>
          <w:numId w:val="2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consists of Paramount Pictures, Skydance’s Animation, Film, Television,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Interactive/Games, and Sports divisions, Paramount Players, Paramount Animation, Nickelodeon Studio, Awesomeness, and Miramax.</w:t>
      </w:r>
    </w:p>
    <w:p>
      <w:pPr>
        <w:spacing w:after="0" w:line="1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 xml:space="preserve">The tables below set forth our financial information by reportable segment. We present operating income excluding depreciation and amortization, stock-based compensation, restructuring charges, transaction-related items, programming charges, and gain on dispositions, each where applicable (“Adjusted OIBDA”), as the primary measure of profit and loss for our operating segments in accordance with Financial Accounting Standards Board (“FASB”) guidance for segment reporting. Programming charges consist only of charges related to major strategic changes, which are further described under </w:t>
      </w:r>
      <w:r>
        <w:rPr>
          <w:rFonts w:ascii="Times New Roman" w:cs="Times New Roman" w:eastAsia="Times New Roman" w:hAnsi="Times New Roman"/>
          <w:sz w:val="19"/>
          <w:szCs w:val="19"/>
          <w:i w:val="1"/>
          <w:iCs w:val="1"/>
          <w:color w:val="auto"/>
        </w:rPr>
        <w:t>Programming Charges</w:t>
      </w:r>
      <w:r>
        <w:rPr>
          <w:rFonts w:ascii="Times New Roman" w:cs="Times New Roman" w:eastAsia="Times New Roman" w:hAnsi="Times New Roman"/>
          <w:sz w:val="19"/>
          <w:szCs w:val="19"/>
          <w:color w:val="auto"/>
        </w:rPr>
        <w:t xml:space="preserve">, and do not include impairment charges that occur as part of our normal operations, which are recorded within content costs in the tables below, where applicable, and are not excluded in Adjusted OIBDA. Stock-based compensation is excluded from our segment measure of profit and loss because it is set and approved by our Board of Directors in consultation with corporate executive management.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xml:space="preserve"> for a reconciliation of total Adjusted OIBDA to Operating Income, the most directly comparable financial measure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87" w:right="399" w:bottom="1440" w:gutter="0" w:footer="0" w:header="0"/>
        </w:sectPr>
      </w:pPr>
    </w:p>
    <w:bookmarkStart w:id="68" w:name="page69"/>
    <w:bookmarkEnd w:id="68"/>
    <w:p>
      <w:pPr>
        <w:jc w:val="center"/>
        <w:ind w:right="-8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62"/>
        </w:trPr>
        <w:tc>
          <w:tcPr>
            <w:tcW w:w="47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60" w:type="dxa"/>
            <w:vAlign w:val="bottom"/>
            <w:tcBorders>
              <w:top w:val="single" w:sz="8" w:color="auto"/>
              <w:right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4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20" w:type="dxa"/>
            <w:vAlign w:val="bottom"/>
            <w:tcBorders>
              <w:top w:val="single" w:sz="8" w:color="auto"/>
            </w:tcBorders>
          </w:tcPr>
          <w:p>
            <w:pPr>
              <w:spacing w:after="0"/>
              <w:rPr>
                <w:sz w:val="22"/>
                <w:szCs w:val="22"/>
                <w:color w:val="auto"/>
              </w:rPr>
            </w:pPr>
          </w:p>
        </w:tc>
      </w:tr>
      <w:tr>
        <w:trPr>
          <w:trHeight w:val="27"/>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09"/>
        </w:trPr>
        <w:tc>
          <w:tcPr>
            <w:tcW w:w="4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w:t>
            </w:r>
          </w:p>
        </w:tc>
      </w:tr>
      <w:tr>
        <w:trPr>
          <w:trHeight w:val="210"/>
        </w:trPr>
        <w:tc>
          <w:tcPr>
            <w:tcW w:w="4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Period From July</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Ended September</w:t>
            </w:r>
          </w:p>
        </w:tc>
      </w:tr>
      <w:tr>
        <w:trPr>
          <w:trHeight w:val="230"/>
        </w:trPr>
        <w:tc>
          <w:tcPr>
            <w:tcW w:w="4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Borders>
              <w:right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1 - August 6,</w:t>
            </w:r>
          </w:p>
        </w:tc>
        <w:tc>
          <w:tcPr>
            <w:tcW w:w="560" w:type="dxa"/>
            <w:vAlign w:val="bottom"/>
          </w:tcPr>
          <w:p>
            <w:pPr>
              <w:spacing w:after="0"/>
              <w:rPr>
                <w:sz w:val="19"/>
                <w:szCs w:val="19"/>
                <w:color w:val="auto"/>
              </w:rPr>
            </w:pPr>
          </w:p>
        </w:tc>
        <w:tc>
          <w:tcPr>
            <w:tcW w:w="1020" w:type="dxa"/>
            <w:vAlign w:val="bottom"/>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7"/>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right w:val="single" w:sz="8" w:color="auto"/>
            </w:tcBorders>
          </w:tcPr>
          <w:p>
            <w:pPr>
              <w:jc w:val="center"/>
              <w:ind w:right="47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480" w:type="dxa"/>
            <w:vAlign w:val="bottom"/>
          </w:tcPr>
          <w:p>
            <w:pPr>
              <w:spacing w:after="0"/>
              <w:rPr>
                <w:sz w:val="19"/>
                <w:szCs w:val="19"/>
                <w:color w:val="auto"/>
              </w:rPr>
            </w:pPr>
          </w:p>
        </w:tc>
        <w:tc>
          <w:tcPr>
            <w:tcW w:w="1080" w:type="dxa"/>
            <w:vAlign w:val="bottom"/>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19"/>
                <w:szCs w:val="19"/>
                <w:color w:val="auto"/>
              </w:rPr>
            </w:pPr>
          </w:p>
        </w:tc>
        <w:tc>
          <w:tcPr>
            <w:tcW w:w="1020" w:type="dxa"/>
            <w:vAlign w:val="bottom"/>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7"/>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980</w:t>
            </w:r>
          </w:p>
        </w:tc>
        <w:tc>
          <w:tcPr>
            <w:tcW w:w="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485</w:t>
            </w: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1,666</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1,044</w:t>
            </w:r>
          </w:p>
        </w:tc>
        <w:tc>
          <w:tcPr>
            <w:tcW w:w="480" w:type="dxa"/>
            <w:vAlign w:val="bottom"/>
          </w:tcPr>
          <w:p>
            <w:pPr>
              <w:spacing w:after="0"/>
              <w:rPr>
                <w:sz w:val="22"/>
                <w:szCs w:val="22"/>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696</w:t>
            </w:r>
          </w:p>
        </w:tc>
        <w:tc>
          <w:tcPr>
            <w:tcW w:w="56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1,872</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 and other</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344</w:t>
            </w:r>
          </w:p>
        </w:tc>
        <w:tc>
          <w:tcPr>
            <w:tcW w:w="480" w:type="dxa"/>
            <w:vAlign w:val="bottom"/>
          </w:tcPr>
          <w:p>
            <w:pPr>
              <w:spacing w:after="0"/>
              <w:rPr>
                <w:sz w:val="22"/>
                <w:szCs w:val="22"/>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247</w:t>
            </w:r>
          </w:p>
        </w:tc>
        <w:tc>
          <w:tcPr>
            <w:tcW w:w="56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760</w:t>
            </w:r>
          </w:p>
        </w:tc>
      </w:tr>
      <w:tr>
        <w:trPr>
          <w:trHeight w:val="27"/>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TV Media</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2,368</w:t>
            </w:r>
          </w:p>
        </w:tc>
        <w:tc>
          <w:tcPr>
            <w:tcW w:w="480" w:type="dxa"/>
            <w:vAlign w:val="bottom"/>
          </w:tcPr>
          <w:p>
            <w:pPr>
              <w:spacing w:after="0"/>
              <w:rPr>
                <w:sz w:val="19"/>
                <w:szCs w:val="19"/>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1,428</w:t>
            </w:r>
          </w:p>
        </w:tc>
        <w:tc>
          <w:tcPr>
            <w:tcW w:w="56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4,298</w:t>
            </w:r>
          </w:p>
        </w:tc>
      </w:tr>
      <w:tr>
        <w:trPr>
          <w:trHeight w:val="27"/>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300</w:t>
            </w:r>
          </w:p>
        </w:tc>
        <w:tc>
          <w:tcPr>
            <w:tcW w:w="480" w:type="dxa"/>
            <w:vAlign w:val="bottom"/>
          </w:tcPr>
          <w:p>
            <w:pPr>
              <w:spacing w:after="0"/>
              <w:rPr>
                <w:sz w:val="19"/>
                <w:szCs w:val="19"/>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179</w:t>
            </w:r>
          </w:p>
        </w:tc>
        <w:tc>
          <w:tcPr>
            <w:tcW w:w="56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507</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Subscription</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983</w:t>
            </w:r>
          </w:p>
        </w:tc>
        <w:tc>
          <w:tcPr>
            <w:tcW w:w="480" w:type="dxa"/>
            <w:vAlign w:val="bottom"/>
          </w:tcPr>
          <w:p>
            <w:pPr>
              <w:spacing w:after="0"/>
              <w:rPr>
                <w:sz w:val="22"/>
                <w:szCs w:val="22"/>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704</w:t>
            </w:r>
          </w:p>
        </w:tc>
        <w:tc>
          <w:tcPr>
            <w:tcW w:w="56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1,343</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1</w:t>
            </w:r>
          </w:p>
        </w:tc>
        <w:tc>
          <w:tcPr>
            <w:tcW w:w="480" w:type="dxa"/>
            <w:vAlign w:val="bottom"/>
          </w:tcPr>
          <w:p>
            <w:pPr>
              <w:spacing w:after="0"/>
              <w:rPr>
                <w:sz w:val="22"/>
                <w:szCs w:val="22"/>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w:t>
            </w:r>
          </w:p>
        </w:tc>
      </w:tr>
      <w:tr>
        <w:trPr>
          <w:trHeight w:val="27"/>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Direct-to-Consumer</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1,284</w:t>
            </w:r>
          </w:p>
        </w:tc>
        <w:tc>
          <w:tcPr>
            <w:tcW w:w="480" w:type="dxa"/>
            <w:vAlign w:val="bottom"/>
          </w:tcPr>
          <w:p>
            <w:pPr>
              <w:spacing w:after="0"/>
              <w:rPr>
                <w:sz w:val="19"/>
                <w:szCs w:val="19"/>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883</w:t>
            </w:r>
          </w:p>
        </w:tc>
        <w:tc>
          <w:tcPr>
            <w:tcW w:w="56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1,860</w:t>
            </w:r>
          </w:p>
        </w:tc>
      </w:tr>
      <w:tr>
        <w:trPr>
          <w:trHeight w:val="27"/>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Theatrical</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39</w:t>
            </w:r>
          </w:p>
        </w:tc>
        <w:tc>
          <w:tcPr>
            <w:tcW w:w="480" w:type="dxa"/>
            <w:vAlign w:val="bottom"/>
          </w:tcPr>
          <w:p>
            <w:pPr>
              <w:spacing w:after="0"/>
              <w:rPr>
                <w:sz w:val="19"/>
                <w:szCs w:val="19"/>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73</w:t>
            </w:r>
          </w:p>
        </w:tc>
        <w:tc>
          <w:tcPr>
            <w:tcW w:w="56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108</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 and other</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440</w:t>
            </w:r>
          </w:p>
        </w:tc>
        <w:tc>
          <w:tcPr>
            <w:tcW w:w="480" w:type="dxa"/>
            <w:vAlign w:val="bottom"/>
          </w:tcPr>
          <w:p>
            <w:pPr>
              <w:spacing w:after="0"/>
              <w:rPr>
                <w:sz w:val="22"/>
                <w:szCs w:val="22"/>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202</w:t>
            </w:r>
          </w:p>
        </w:tc>
        <w:tc>
          <w:tcPr>
            <w:tcW w:w="56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480</w:t>
            </w:r>
          </w:p>
        </w:tc>
      </w:tr>
      <w:tr>
        <w:trPr>
          <w:trHeight w:val="262"/>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1</w:t>
            </w:r>
          </w:p>
        </w:tc>
        <w:tc>
          <w:tcPr>
            <w:tcW w:w="480" w:type="dxa"/>
            <w:vAlign w:val="bottom"/>
          </w:tcPr>
          <w:p>
            <w:pPr>
              <w:spacing w:after="0"/>
              <w:rPr>
                <w:sz w:val="22"/>
                <w:szCs w:val="22"/>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w:t>
            </w:r>
          </w:p>
        </w:tc>
        <w:tc>
          <w:tcPr>
            <w:tcW w:w="56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w:t>
            </w:r>
          </w:p>
        </w:tc>
      </w:tr>
      <w:tr>
        <w:trPr>
          <w:trHeight w:val="27"/>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Filmed Entertainment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480</w:t>
            </w:r>
          </w:p>
        </w:tc>
        <w:tc>
          <w:tcPr>
            <w:tcW w:w="480" w:type="dxa"/>
            <w:vAlign w:val="bottom"/>
          </w:tcPr>
          <w:p>
            <w:pPr>
              <w:spacing w:after="0"/>
              <w:rPr>
                <w:sz w:val="19"/>
                <w:szCs w:val="19"/>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276</w:t>
            </w:r>
          </w:p>
        </w:tc>
        <w:tc>
          <w:tcPr>
            <w:tcW w:w="56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590</w:t>
            </w:r>
          </w:p>
        </w:tc>
      </w:tr>
      <w:tr>
        <w:trPr>
          <w:trHeight w:val="27"/>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Eliminations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(11)</w:t>
            </w:r>
          </w:p>
        </w:tc>
        <w:tc>
          <w:tcPr>
            <w:tcW w:w="480" w:type="dxa"/>
            <w:vAlign w:val="bottom"/>
          </w:tcPr>
          <w:p>
            <w:pPr>
              <w:spacing w:after="0"/>
              <w:rPr>
                <w:sz w:val="19"/>
                <w:szCs w:val="19"/>
                <w:color w:val="auto"/>
              </w:rPr>
            </w:pP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w:t>
            </w:r>
          </w:p>
        </w:tc>
        <w:tc>
          <w:tcPr>
            <w:tcW w:w="560" w:type="dxa"/>
            <w:vAlign w:val="bottom"/>
          </w:tcPr>
          <w:p>
            <w:pPr>
              <w:spacing w:after="0"/>
              <w:rPr>
                <w:sz w:val="19"/>
                <w:szCs w:val="19"/>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(17)</w:t>
            </w:r>
          </w:p>
        </w:tc>
      </w:tr>
      <w:tr>
        <w:trPr>
          <w:trHeight w:val="27"/>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4,121</w:t>
            </w:r>
          </w:p>
        </w:tc>
        <w:tc>
          <w:tcPr>
            <w:tcW w:w="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2,581</w:t>
            </w: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6,731</w:t>
            </w:r>
          </w:p>
        </w:tc>
      </w:tr>
      <w:tr>
        <w:trPr>
          <w:trHeight w:val="33"/>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47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36"/>
        </w:trPr>
        <w:tc>
          <w:tcPr>
            <w:tcW w:w="4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Borders>
              <w:right w:val="single" w:sz="8" w:color="auto"/>
            </w:tcBorders>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48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20" w:type="dxa"/>
            <w:vAlign w:val="bottom"/>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Borders>
              <w:bottom w:val="single" w:sz="8" w:color="auto"/>
              <w:right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09"/>
        </w:trPr>
        <w:tc>
          <w:tcPr>
            <w:tcW w:w="4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w:t>
            </w:r>
          </w:p>
        </w:tc>
      </w:tr>
      <w:tr>
        <w:trPr>
          <w:trHeight w:val="210"/>
        </w:trPr>
        <w:tc>
          <w:tcPr>
            <w:tcW w:w="4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Period From July</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Ended September</w:t>
            </w:r>
          </w:p>
        </w:tc>
      </w:tr>
      <w:tr>
        <w:trPr>
          <w:trHeight w:val="230"/>
        </w:trPr>
        <w:tc>
          <w:tcPr>
            <w:tcW w:w="4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1 - August 6,</w:t>
            </w:r>
          </w:p>
        </w:tc>
        <w:tc>
          <w:tcPr>
            <w:tcW w:w="560" w:type="dxa"/>
            <w:vAlign w:val="bottom"/>
          </w:tcPr>
          <w:p>
            <w:pPr>
              <w:spacing w:after="0"/>
              <w:rPr>
                <w:sz w:val="19"/>
                <w:szCs w:val="19"/>
                <w:color w:val="auto"/>
              </w:rPr>
            </w:pPr>
          </w:p>
        </w:tc>
        <w:tc>
          <w:tcPr>
            <w:tcW w:w="1020" w:type="dxa"/>
            <w:vAlign w:val="bottom"/>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7"/>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right w:val="single" w:sz="8" w:color="auto"/>
            </w:tcBorders>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480" w:type="dxa"/>
            <w:vAlign w:val="bottom"/>
          </w:tcPr>
          <w:p>
            <w:pPr>
              <w:spacing w:after="0"/>
              <w:rPr>
                <w:sz w:val="19"/>
                <w:szCs w:val="19"/>
                <w:color w:val="auto"/>
              </w:rPr>
            </w:pPr>
          </w:p>
        </w:tc>
        <w:tc>
          <w:tcPr>
            <w:tcW w:w="1080" w:type="dxa"/>
            <w:vAlign w:val="bottom"/>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19"/>
                <w:szCs w:val="19"/>
                <w:color w:val="auto"/>
              </w:rPr>
            </w:pPr>
          </w:p>
        </w:tc>
        <w:tc>
          <w:tcPr>
            <w:tcW w:w="1020" w:type="dxa"/>
            <w:vAlign w:val="bottom"/>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7"/>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Adjusted OIBDA:</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2"/>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TV Media</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540</w:t>
            </w:r>
          </w:p>
        </w:tc>
        <w:tc>
          <w:tcPr>
            <w:tcW w:w="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282</w:t>
            </w: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936</w:t>
            </w:r>
          </w:p>
        </w:tc>
      </w:tr>
      <w:tr>
        <w:trPr>
          <w:trHeight w:val="262"/>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Direct-to-Consumer</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235</w:t>
            </w:r>
          </w:p>
        </w:tc>
        <w:tc>
          <w:tcPr>
            <w:tcW w:w="480" w:type="dxa"/>
            <w:vAlign w:val="bottom"/>
          </w:tcPr>
          <w:p>
            <w:pPr>
              <w:spacing w:after="0"/>
              <w:rPr>
                <w:sz w:val="22"/>
                <w:szCs w:val="22"/>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105</w:t>
            </w:r>
          </w:p>
        </w:tc>
        <w:tc>
          <w:tcPr>
            <w:tcW w:w="56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49</w:t>
            </w:r>
          </w:p>
        </w:tc>
      </w:tr>
      <w:tr>
        <w:trPr>
          <w:trHeight w:val="262"/>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Filmed Entertainment</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(13)</w:t>
            </w:r>
          </w:p>
        </w:tc>
        <w:tc>
          <w:tcPr>
            <w:tcW w:w="480" w:type="dxa"/>
            <w:vAlign w:val="bottom"/>
          </w:tcPr>
          <w:p>
            <w:pPr>
              <w:spacing w:after="0"/>
              <w:rPr>
                <w:sz w:val="22"/>
                <w:szCs w:val="22"/>
                <w:color w:val="auto"/>
              </w:rPr>
            </w:pP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(36)</w:t>
            </w:r>
          </w:p>
        </w:tc>
        <w:tc>
          <w:tcPr>
            <w:tcW w:w="56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Corporate/Eliminations</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(78)</w:t>
            </w:r>
          </w:p>
        </w:tc>
        <w:tc>
          <w:tcPr>
            <w:tcW w:w="480" w:type="dxa"/>
            <w:vAlign w:val="bottom"/>
          </w:tcPr>
          <w:p>
            <w:pPr>
              <w:spacing w:after="0"/>
              <w:rPr>
                <w:sz w:val="22"/>
                <w:szCs w:val="22"/>
                <w:color w:val="auto"/>
              </w:rPr>
            </w:pP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(38)</w:t>
            </w:r>
          </w:p>
        </w:tc>
        <w:tc>
          <w:tcPr>
            <w:tcW w:w="560" w:type="dxa"/>
            <w:vAlign w:val="bottom"/>
          </w:tcPr>
          <w:p>
            <w:pPr>
              <w:spacing w:after="0"/>
              <w:rPr>
                <w:sz w:val="22"/>
                <w:szCs w:val="22"/>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(84)</w:t>
            </w:r>
          </w:p>
        </w:tc>
      </w:tr>
      <w:tr>
        <w:trPr>
          <w:trHeight w:val="289"/>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(29)</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(16)</w:t>
            </w: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(46)</w:t>
            </w:r>
          </w:p>
        </w:tc>
      </w:tr>
      <w:tr>
        <w:trPr>
          <w:trHeight w:val="229"/>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Adjusted OIBDA</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655</w:t>
            </w:r>
          </w:p>
        </w:tc>
        <w:tc>
          <w:tcPr>
            <w:tcW w:w="480" w:type="dxa"/>
            <w:vAlign w:val="bottom"/>
          </w:tcPr>
          <w:p>
            <w:pPr>
              <w:spacing w:after="0"/>
              <w:rPr>
                <w:sz w:val="19"/>
                <w:szCs w:val="19"/>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297</w:t>
            </w:r>
          </w:p>
        </w:tc>
        <w:tc>
          <w:tcPr>
            <w:tcW w:w="56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858</w:t>
            </w:r>
          </w:p>
        </w:tc>
      </w:tr>
      <w:tr>
        <w:trPr>
          <w:trHeight w:val="26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(226)</w:t>
            </w:r>
          </w:p>
        </w:tc>
        <w:tc>
          <w:tcPr>
            <w:tcW w:w="480" w:type="dxa"/>
            <w:vAlign w:val="bottom"/>
          </w:tcPr>
          <w:p>
            <w:pPr>
              <w:spacing w:after="0"/>
              <w:rPr>
                <w:sz w:val="22"/>
                <w:szCs w:val="22"/>
                <w:color w:val="auto"/>
              </w:rPr>
            </w:pP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(29)</w:t>
            </w:r>
          </w:p>
        </w:tc>
        <w:tc>
          <w:tcPr>
            <w:tcW w:w="560" w:type="dxa"/>
            <w:vAlign w:val="bottom"/>
          </w:tcPr>
          <w:p>
            <w:pPr>
              <w:spacing w:after="0"/>
              <w:rPr>
                <w:sz w:val="22"/>
                <w:szCs w:val="22"/>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(96)</w:t>
            </w:r>
          </w:p>
        </w:tc>
      </w:tr>
      <w:tr>
        <w:trPr>
          <w:trHeight w:val="26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Impairment charges</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2"/>
                <w:szCs w:val="22"/>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(104)</w:t>
            </w:r>
          </w:p>
        </w:tc>
      </w:tr>
      <w:tr>
        <w:trPr>
          <w:trHeight w:val="289"/>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Restructuring and transaction-related items </w:t>
            </w:r>
            <w:r>
              <w:rPr>
                <w:rFonts w:ascii="Times New Roman" w:cs="Times New Roman" w:eastAsia="Times New Roman" w:hAnsi="Times New Roman"/>
                <w:sz w:val="22"/>
                <w:szCs w:val="22"/>
                <w:color w:val="auto"/>
                <w:vertAlign w:val="superscript"/>
              </w:rPr>
              <w:t>(a)</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(185)</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(188)</w:t>
            </w: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(321)</w:t>
            </w:r>
          </w:p>
        </w:tc>
      </w:tr>
      <w:tr>
        <w:trPr>
          <w:trHeight w:val="229"/>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Operating Income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244</w:t>
            </w:r>
          </w:p>
        </w:tc>
        <w:tc>
          <w:tcPr>
            <w:tcW w:w="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80</w:t>
            </w: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337</w:t>
            </w:r>
          </w:p>
        </w:tc>
      </w:tr>
      <w:tr>
        <w:trPr>
          <w:trHeight w:val="33"/>
        </w:trPr>
        <w:tc>
          <w:tcPr>
            <w:tcW w:w="4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jc w:val="both"/>
        <w:ind w:left="940" w:right="220" w:hanging="227"/>
        <w:spacing w:after="0" w:line="262" w:lineRule="auto"/>
        <w:tabs>
          <w:tab w:leader="none" w:pos="91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Successor and Predecessor periods in 2025, stock-based compensation expense of $30 million and $10 million, respectively, is included in “Restructuring and transaction-related items.” For the Predecessor period in 2024, stock-based compensation expense of $20 million is included in “Restructuring and transaction-related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00"/>
          </w:cols>
          <w:pgMar w:left="320" w:top="587" w:right="1179" w:bottom="1440" w:gutter="0" w:footer="0" w:header="0"/>
        </w:sectPr>
      </w:pPr>
    </w:p>
    <w:bookmarkStart w:id="69" w:name="page70"/>
    <w:bookmarkEnd w:id="69"/>
    <w:p>
      <w:pPr>
        <w:jc w:val="center"/>
        <w:ind w:right="-89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255"/>
        </w:trPr>
        <w:tc>
          <w:tcPr>
            <w:tcW w:w="100" w:type="dxa"/>
            <w:vAlign w:val="bottom"/>
          </w:tcPr>
          <w:p>
            <w:pPr>
              <w:spacing w:after="0"/>
              <w:rPr>
                <w:sz w:val="22"/>
                <w:szCs w:val="22"/>
                <w:color w:val="auto"/>
              </w:rPr>
            </w:pPr>
          </w:p>
        </w:tc>
        <w:tc>
          <w:tcPr>
            <w:tcW w:w="456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right w:val="single" w:sz="8" w:color="auto"/>
            </w:tcBorders>
            <w:gridSpan w:val="2"/>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right w:val="single" w:sz="8" w:color="auto"/>
            </w:tcBorders>
            <w:gridSpan w:val="2"/>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8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8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6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right w:val="single" w:sz="8" w:color="auto"/>
            </w:tcBorders>
            <w:gridSpan w:val="2"/>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6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right w:val="single" w:sz="8" w:color="auto"/>
            </w:tcBorders>
          </w:tcPr>
          <w:p>
            <w:pPr>
              <w:jc w:val="center"/>
              <w:ind w:right="41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51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40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980</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4,180</w:t>
            </w: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5,981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1,044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4,302</w:t>
            </w:r>
          </w:p>
        </w:tc>
        <w:tc>
          <w:tcPr>
            <w:tcW w:w="660" w:type="dxa"/>
            <w:vAlign w:val="bottom"/>
          </w:tcPr>
          <w:p>
            <w:pPr>
              <w:spacing w:after="0"/>
              <w:rPr>
                <w:sz w:val="22"/>
                <w:szCs w:val="22"/>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5,778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 and other</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344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1,495</w:t>
            </w:r>
          </w:p>
        </w:tc>
        <w:tc>
          <w:tcPr>
            <w:tcW w:w="660" w:type="dxa"/>
            <w:vAlign w:val="bottom"/>
          </w:tcPr>
          <w:p>
            <w:pPr>
              <w:spacing w:after="0"/>
              <w:rPr>
                <w:sz w:val="22"/>
                <w:szCs w:val="22"/>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2,041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TV Media</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2,368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9,977</w:t>
            </w:r>
          </w:p>
        </w:tc>
        <w:tc>
          <w:tcPr>
            <w:tcW w:w="660" w:type="dxa"/>
            <w:vAlign w:val="bottom"/>
          </w:tcPr>
          <w:p>
            <w:pPr>
              <w:spacing w:after="0"/>
              <w:rPr>
                <w:sz w:val="19"/>
                <w:szCs w:val="19"/>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13,800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1,146</w:t>
            </w:r>
          </w:p>
        </w:tc>
        <w:tc>
          <w:tcPr>
            <w:tcW w:w="660" w:type="dxa"/>
            <w:vAlign w:val="bottom"/>
          </w:tcPr>
          <w:p>
            <w:pPr>
              <w:spacing w:after="0"/>
              <w:rPr>
                <w:sz w:val="19"/>
                <w:szCs w:val="19"/>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Subscription</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983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3,940</w:t>
            </w:r>
          </w:p>
        </w:tc>
        <w:tc>
          <w:tcPr>
            <w:tcW w:w="660" w:type="dxa"/>
            <w:vAlign w:val="bottom"/>
          </w:tcPr>
          <w:p>
            <w:pPr>
              <w:spacing w:after="0"/>
              <w:rPr>
                <w:sz w:val="22"/>
                <w:szCs w:val="22"/>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4,069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w:t>
            </w:r>
          </w:p>
        </w:tc>
        <w:tc>
          <w:tcPr>
            <w:tcW w:w="660" w:type="dxa"/>
            <w:vAlign w:val="bottom"/>
          </w:tcPr>
          <w:p>
            <w:pPr>
              <w:spacing w:after="0"/>
              <w:rPr>
                <w:sz w:val="22"/>
                <w:szCs w:val="22"/>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Direct-to-Consumer</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1,284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5,087</w:t>
            </w:r>
          </w:p>
        </w:tc>
        <w:tc>
          <w:tcPr>
            <w:tcW w:w="660" w:type="dxa"/>
            <w:vAlign w:val="bottom"/>
          </w:tcPr>
          <w:p>
            <w:pPr>
              <w:spacing w:after="0"/>
              <w:rPr>
                <w:sz w:val="19"/>
                <w:szCs w:val="19"/>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Theatrical</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475</w:t>
            </w:r>
          </w:p>
        </w:tc>
        <w:tc>
          <w:tcPr>
            <w:tcW w:w="660" w:type="dxa"/>
            <w:vAlign w:val="bottom"/>
          </w:tcPr>
          <w:p>
            <w:pPr>
              <w:spacing w:after="0"/>
              <w:rPr>
                <w:sz w:val="19"/>
                <w:szCs w:val="19"/>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Licensing and other</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440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1,112</w:t>
            </w:r>
          </w:p>
        </w:tc>
        <w:tc>
          <w:tcPr>
            <w:tcW w:w="660" w:type="dxa"/>
            <w:vAlign w:val="bottom"/>
          </w:tcPr>
          <w:p>
            <w:pPr>
              <w:spacing w:after="0"/>
              <w:rPr>
                <w:sz w:val="22"/>
                <w:szCs w:val="22"/>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1,465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w:t>
            </w:r>
          </w:p>
        </w:tc>
        <w:tc>
          <w:tcPr>
            <w:tcW w:w="660" w:type="dxa"/>
            <w:vAlign w:val="bottom"/>
          </w:tcPr>
          <w:p>
            <w:pPr>
              <w:spacing w:after="0"/>
              <w:rPr>
                <w:sz w:val="22"/>
                <w:szCs w:val="22"/>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Filmed Entertainment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480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1,593</w:t>
            </w:r>
          </w:p>
        </w:tc>
        <w:tc>
          <w:tcPr>
            <w:tcW w:w="660" w:type="dxa"/>
            <w:vAlign w:val="bottom"/>
          </w:tcPr>
          <w:p>
            <w:pPr>
              <w:spacing w:after="0"/>
              <w:rPr>
                <w:sz w:val="19"/>
                <w:szCs w:val="19"/>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Eliminations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right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(35)</w:t>
            </w:r>
          </w:p>
        </w:tc>
        <w:tc>
          <w:tcPr>
            <w:tcW w:w="660" w:type="dxa"/>
            <w:vAlign w:val="bottom"/>
          </w:tcPr>
          <w:p>
            <w:pPr>
              <w:spacing w:after="0"/>
              <w:rPr>
                <w:sz w:val="19"/>
                <w:szCs w:val="19"/>
                <w:color w:val="auto"/>
              </w:rPr>
            </w:pP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40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4,121</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16,622</w:t>
            </w: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21,229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00" w:type="dxa"/>
            <w:vAlign w:val="bottom"/>
            <w:tcBorders>
              <w:bottom w:val="single" w:sz="8" w:color="auto"/>
            </w:tcBorders>
          </w:tcPr>
          <w:p>
            <w:pPr>
              <w:spacing w:after="0"/>
              <w:rPr>
                <w:sz w:val="22"/>
                <w:szCs w:val="22"/>
                <w:color w:val="auto"/>
              </w:rPr>
            </w:pPr>
          </w:p>
        </w:tc>
        <w:tc>
          <w:tcPr>
            <w:tcW w:w="4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80" w:type="dxa"/>
            <w:vAlign w:val="bottom"/>
            <w:tcBorders>
              <w:right w:val="single" w:sz="8" w:color="auto"/>
            </w:tcBorders>
          </w:tcPr>
          <w:p>
            <w:pPr>
              <w:spacing w:after="0"/>
              <w:rPr>
                <w:sz w:val="17"/>
                <w:szCs w:val="17"/>
                <w:color w:val="auto"/>
              </w:rPr>
            </w:pPr>
          </w:p>
        </w:tc>
        <w:tc>
          <w:tcPr>
            <w:tcW w:w="13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680" w:type="dxa"/>
            <w:vAlign w:val="bottom"/>
            <w:gridSpan w:val="3"/>
            <w:vMerge w:val="restart"/>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80" w:type="dxa"/>
            <w:vAlign w:val="bottom"/>
            <w:tcBorders>
              <w:right w:val="single" w:sz="8" w:color="auto"/>
            </w:tcBorders>
          </w:tcPr>
          <w:p>
            <w:pPr>
              <w:spacing w:after="0"/>
              <w:rPr>
                <w:sz w:val="15"/>
                <w:szCs w:val="15"/>
                <w:color w:val="auto"/>
              </w:rPr>
            </w:pPr>
          </w:p>
        </w:tc>
        <w:tc>
          <w:tcPr>
            <w:tcW w:w="13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680" w:type="dxa"/>
            <w:vAlign w:val="bottom"/>
            <w:tcBorders>
              <w:bottom w:val="single" w:sz="8" w:color="auto"/>
            </w:tcBorders>
            <w:gridSpan w:val="3"/>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229"/>
        </w:trPr>
        <w:tc>
          <w:tcPr>
            <w:tcW w:w="10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5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OIBDA:</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TV Media</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540</w:t>
            </w:r>
          </w:p>
        </w:tc>
        <w:tc>
          <w:tcPr>
            <w:tcW w:w="80" w:type="dxa"/>
            <w:vAlign w:val="bottom"/>
            <w:tcBorders>
              <w:right w:val="single" w:sz="8" w:color="auto"/>
            </w:tcBorders>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2,067</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3,399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Direct-to-Consumer</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153</w:t>
            </w:r>
          </w:p>
        </w:tc>
        <w:tc>
          <w:tcPr>
            <w:tcW w:w="660" w:type="dxa"/>
            <w:vAlign w:val="bottom"/>
          </w:tcPr>
          <w:p>
            <w:pPr>
              <w:spacing w:after="0"/>
              <w:rPr>
                <w:sz w:val="22"/>
                <w:szCs w:val="22"/>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Filmed Entertainment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(100)</w:t>
            </w:r>
          </w:p>
        </w:tc>
        <w:tc>
          <w:tcPr>
            <w:tcW w:w="660" w:type="dxa"/>
            <w:vAlign w:val="bottom"/>
          </w:tcPr>
          <w:p>
            <w:pPr>
              <w:spacing w:after="0"/>
              <w:rPr>
                <w:sz w:val="22"/>
                <w:szCs w:val="22"/>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Corporate/Eliminations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(212)</w:t>
            </w:r>
          </w:p>
        </w:tc>
        <w:tc>
          <w:tcPr>
            <w:tcW w:w="660" w:type="dxa"/>
            <w:vAlign w:val="bottom"/>
          </w:tcPr>
          <w:p>
            <w:pPr>
              <w:spacing w:after="0"/>
              <w:rPr>
                <w:sz w:val="22"/>
                <w:szCs w:val="22"/>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4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(99)</w:t>
            </w: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Total Adjusted OIBDA</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655</w:t>
            </w:r>
          </w:p>
        </w:tc>
        <w:tc>
          <w:tcPr>
            <w:tcW w:w="8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1,809</w:t>
            </w:r>
          </w:p>
        </w:tc>
        <w:tc>
          <w:tcPr>
            <w:tcW w:w="660" w:type="dxa"/>
            <w:vAlign w:val="bottom"/>
          </w:tcPr>
          <w:p>
            <w:pPr>
              <w:spacing w:after="0"/>
              <w:rPr>
                <w:sz w:val="19"/>
                <w:szCs w:val="19"/>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(226)</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(204)</w:t>
            </w:r>
          </w:p>
        </w:tc>
        <w:tc>
          <w:tcPr>
            <w:tcW w:w="660" w:type="dxa"/>
            <w:vAlign w:val="bottom"/>
          </w:tcPr>
          <w:p>
            <w:pPr>
              <w:spacing w:after="0"/>
              <w:rPr>
                <w:sz w:val="22"/>
                <w:szCs w:val="22"/>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Programming charges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22"/>
                <w:szCs w:val="22"/>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(157)</w:t>
            </w:r>
          </w:p>
        </w:tc>
        <w:tc>
          <w:tcPr>
            <w:tcW w:w="660" w:type="dxa"/>
            <w:vAlign w:val="bottom"/>
          </w:tcPr>
          <w:p>
            <w:pPr>
              <w:spacing w:after="0"/>
              <w:rPr>
                <w:sz w:val="22"/>
                <w:szCs w:val="22"/>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(6,100)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Restructuring and transaction-related items </w:t>
            </w:r>
            <w:r>
              <w:rPr>
                <w:rFonts w:ascii="Times New Roman" w:cs="Times New Roman" w:eastAsia="Times New Roman" w:hAnsi="Times New Roman"/>
                <w:sz w:val="22"/>
                <w:szCs w:val="22"/>
                <w:color w:val="auto"/>
                <w:vertAlign w:val="superscript"/>
              </w:rPr>
              <w:t>(a)</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(454)</w:t>
            </w:r>
          </w:p>
        </w:tc>
        <w:tc>
          <w:tcPr>
            <w:tcW w:w="660" w:type="dxa"/>
            <w:vAlign w:val="bottom"/>
          </w:tcPr>
          <w:p>
            <w:pPr>
              <w:spacing w:after="0"/>
              <w:rPr>
                <w:sz w:val="24"/>
                <w:szCs w:val="24"/>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 on dispositions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w:t>
            </w:r>
          </w:p>
        </w:tc>
        <w:tc>
          <w:tcPr>
            <w:tcW w:w="6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Total Operating Income (Loss)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1,029</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1100" w:hanging="230"/>
        <w:spacing w:after="0" w:line="262" w:lineRule="auto"/>
        <w:tabs>
          <w:tab w:leader="none" w:pos="107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Successor and Predecessor periods in 2025, stock-based compensation expense of $30 million and $14 million, respectively, is included in “Restructuring and transaction-related items.” For the Predecessor period in 2024, stock-based compensation expense of $34 million is included in “Restructuring and transaction-related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340"/>
          </w:cols>
          <w:pgMar w:left="320" w:top="587" w:right="1239" w:bottom="1440" w:gutter="0" w:footer="0" w:header="0"/>
        </w:sectPr>
      </w:pPr>
    </w:p>
    <w:bookmarkStart w:id="70" w:name="page71"/>
    <w:bookmarkEnd w:id="70"/>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500" w:type="dxa"/>
            <w:vAlign w:val="bottom"/>
            <w:tcBorders>
              <w:top w:val="single" w:sz="8" w:color="auto"/>
              <w:bottom w:val="single" w:sz="8" w:color="auto"/>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2360" w:type="dxa"/>
            <w:vAlign w:val="bottom"/>
            <w:tcBorders>
              <w:top w:val="single" w:sz="8" w:color="auto"/>
              <w:bottom w:val="single" w:sz="8" w:color="auto"/>
            </w:tcBorders>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33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6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20" w:type="dxa"/>
            <w:vAlign w:val="bottom"/>
            <w:gridSpan w:val="3"/>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92"/>
        </w:trPr>
        <w:tc>
          <w:tcPr>
            <w:tcW w:w="2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500" w:type="dxa"/>
            <w:vAlign w:val="bottom"/>
            <w:tcBorders>
              <w:right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320" w:type="dxa"/>
            <w:vAlign w:val="bottom"/>
            <w:gridSpan w:val="2"/>
            <w:vMerge w:val="continue"/>
          </w:tcPr>
          <w:p>
            <w:pPr>
              <w:spacing w:after="0"/>
              <w:rPr>
                <w:sz w:val="7"/>
                <w:szCs w:val="7"/>
                <w:color w:val="auto"/>
              </w:rPr>
            </w:pPr>
          </w:p>
        </w:tc>
        <w:tc>
          <w:tcPr>
            <w:tcW w:w="1420" w:type="dxa"/>
            <w:vAlign w:val="bottom"/>
            <w:gridSpan w:val="3"/>
            <w:vMerge w:val="restart"/>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Ended September</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500" w:type="dxa"/>
            <w:vAlign w:val="bottom"/>
            <w:tcBorders>
              <w:right w:val="single" w:sz="8" w:color="auto"/>
            </w:tcBorders>
            <w:gridSpan w:val="3"/>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tcBorders>
              <w:right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July 1 - August 6,</w:t>
            </w:r>
          </w:p>
        </w:tc>
        <w:tc>
          <w:tcPr>
            <w:tcW w:w="480" w:type="dxa"/>
            <w:vAlign w:val="bottom"/>
          </w:tcPr>
          <w:p>
            <w:pPr>
              <w:spacing w:after="0"/>
              <w:rPr>
                <w:sz w:val="10"/>
                <w:szCs w:val="10"/>
                <w:color w:val="auto"/>
              </w:rPr>
            </w:pPr>
          </w:p>
        </w:tc>
        <w:tc>
          <w:tcPr>
            <w:tcW w:w="84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tcBorders>
              <w:bottom w:val="single" w:sz="8" w:color="auto"/>
              <w:right w:val="single" w:sz="8" w:color="auto"/>
            </w:tcBorders>
            <w:gridSpan w:val="3"/>
            <w:vMerge w:val="continue"/>
          </w:tcPr>
          <w:p>
            <w:pPr>
              <w:spacing w:after="0"/>
              <w:rPr>
                <w:sz w:val="8"/>
                <w:szCs w:val="8"/>
                <w:color w:val="auto"/>
              </w:rPr>
            </w:pPr>
          </w:p>
        </w:tc>
        <w:tc>
          <w:tcPr>
            <w:tcW w:w="1320" w:type="dxa"/>
            <w:vAlign w:val="bottom"/>
            <w:tcBorders>
              <w:bottom w:val="single" w:sz="8" w:color="auto"/>
            </w:tcBorders>
            <w:gridSpan w:val="2"/>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gridSpan w:val="4"/>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TV Media</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Advertising</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tcBorders>
              <w:right w:val="single" w:sz="8" w:color="auto"/>
            </w:tcBorders>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485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1,465</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1,666</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(201)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6"/>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Affiliate and subscription</w:t>
            </w:r>
          </w:p>
        </w:tc>
        <w:tc>
          <w:tcPr>
            <w:tcW w:w="440" w:type="dxa"/>
            <w:vAlign w:val="bottom"/>
          </w:tcPr>
          <w:p>
            <w:pPr>
              <w:spacing w:after="0"/>
              <w:rPr>
                <w:sz w:val="20"/>
                <w:szCs w:val="20"/>
                <w:color w:val="auto"/>
              </w:rPr>
            </w:pPr>
          </w:p>
        </w:tc>
        <w:tc>
          <w:tcPr>
            <w:tcW w:w="9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1,044</w:t>
            </w:r>
          </w:p>
        </w:tc>
        <w:tc>
          <w:tcPr>
            <w:tcW w:w="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696</w:t>
            </w:r>
          </w:p>
        </w:tc>
        <w:tc>
          <w:tcPr>
            <w:tcW w:w="48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1,872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1,740</w:t>
            </w:r>
          </w:p>
        </w:tc>
        <w:tc>
          <w:tcPr>
            <w:tcW w:w="52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1,872</w:t>
            </w:r>
          </w:p>
        </w:tc>
        <w:tc>
          <w:tcPr>
            <w:tcW w:w="340" w:type="dxa"/>
            <w:vAlign w:val="bottom"/>
          </w:tcPr>
          <w:p>
            <w:pPr>
              <w:spacing w:after="0"/>
              <w:rPr>
                <w:sz w:val="20"/>
                <w:szCs w:val="20"/>
                <w:color w:val="auto"/>
              </w:rPr>
            </w:pP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(132)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7"/>
        </w:trPr>
        <w:tc>
          <w:tcPr>
            <w:tcW w:w="2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Licensing and other</w:t>
            </w: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247</w:t>
            </w: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591</w:t>
            </w: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760</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(169)</w:t>
            </w:r>
          </w:p>
        </w:tc>
        <w:tc>
          <w:tcPr>
            <w:tcW w:w="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40" w:type="dxa"/>
            <w:vAlign w:val="bottom"/>
          </w:tcPr>
          <w:p>
            <w:pPr>
              <w:spacing w:after="0"/>
              <w:rPr>
                <w:sz w:val="18"/>
                <w:szCs w:val="18"/>
                <w:color w:val="auto"/>
              </w:rPr>
            </w:pPr>
          </w:p>
        </w:tc>
        <w:tc>
          <w:tcPr>
            <w:tcW w:w="9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2,368</w:t>
            </w:r>
          </w:p>
        </w:tc>
        <w:tc>
          <w:tcPr>
            <w:tcW w:w="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1,428</w:t>
            </w:r>
          </w:p>
        </w:tc>
        <w:tc>
          <w:tcPr>
            <w:tcW w:w="480" w:type="dxa"/>
            <w:vAlign w:val="bottom"/>
          </w:tcPr>
          <w:p>
            <w:pPr>
              <w:spacing w:after="0"/>
              <w:rPr>
                <w:sz w:val="18"/>
                <w:szCs w:val="18"/>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3,796</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4,298</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(502)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28"/>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Content costs</w:t>
            </w:r>
          </w:p>
        </w:tc>
        <w:tc>
          <w:tcPr>
            <w:tcW w:w="440" w:type="dxa"/>
            <w:vAlign w:val="bottom"/>
          </w:tcPr>
          <w:p>
            <w:pPr>
              <w:spacing w:after="0"/>
              <w:rPr>
                <w:sz w:val="24"/>
                <w:szCs w:val="24"/>
                <w:color w:val="auto"/>
              </w:rPr>
            </w:pPr>
          </w:p>
        </w:tc>
        <w:tc>
          <w:tcPr>
            <w:tcW w:w="9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1,109</w:t>
            </w:r>
          </w:p>
        </w:tc>
        <w:tc>
          <w:tcPr>
            <w:tcW w:w="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657</w:t>
            </w:r>
          </w:p>
        </w:tc>
        <w:tc>
          <w:tcPr>
            <w:tcW w:w="480" w:type="dxa"/>
            <w:vAlign w:val="bottom"/>
          </w:tcPr>
          <w:p>
            <w:pPr>
              <w:spacing w:after="0"/>
              <w:rPr>
                <w:sz w:val="24"/>
                <w:szCs w:val="24"/>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2,066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440" w:type="dxa"/>
            <w:vAlign w:val="bottom"/>
          </w:tcPr>
          <w:p>
            <w:pPr>
              <w:spacing w:after="0"/>
              <w:rPr>
                <w:sz w:val="20"/>
                <w:szCs w:val="20"/>
                <w:color w:val="auto"/>
              </w:rPr>
            </w:pPr>
          </w:p>
        </w:tc>
        <w:tc>
          <w:tcPr>
            <w:tcW w:w="9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59</w:t>
            </w:r>
          </w:p>
        </w:tc>
        <w:tc>
          <w:tcPr>
            <w:tcW w:w="48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(b)</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430</w:t>
            </w: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440" w:type="dxa"/>
            <w:vAlign w:val="bottom"/>
          </w:tcPr>
          <w:p>
            <w:pPr>
              <w:spacing w:after="0"/>
              <w:rPr>
                <w:sz w:val="18"/>
                <w:szCs w:val="18"/>
                <w:color w:val="auto"/>
              </w:rPr>
            </w:pPr>
          </w:p>
        </w:tc>
        <w:tc>
          <w:tcPr>
            <w:tcW w:w="9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1,828</w:t>
            </w:r>
          </w:p>
        </w:tc>
        <w:tc>
          <w:tcPr>
            <w:tcW w:w="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1,146</w:t>
            </w:r>
          </w:p>
        </w:tc>
        <w:tc>
          <w:tcPr>
            <w:tcW w:w="480" w:type="dxa"/>
            <w:vAlign w:val="bottom"/>
          </w:tcPr>
          <w:p>
            <w:pPr>
              <w:spacing w:after="0"/>
              <w:rPr>
                <w:sz w:val="18"/>
                <w:szCs w:val="18"/>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3,362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Adjusted OIBDA</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282</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5"/>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20" w:type="dxa"/>
            <w:vAlign w:val="bottom"/>
            <w:tcBorders>
              <w:bottom w:val="single" w:sz="8" w:color="auto"/>
              <w:right w:val="single" w:sz="8" w:color="auto"/>
            </w:tcBorders>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5"/>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6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81"/>
              <w:spacing w:after="0" w:line="180" w:lineRule="exact"/>
              <w:rPr>
                <w:sz w:val="20"/>
                <w:szCs w:val="20"/>
                <w:color w:val="auto"/>
              </w:rPr>
            </w:pPr>
            <w:r>
              <w:rPr>
                <w:rFonts w:ascii="Times New Roman" w:cs="Times New Roman" w:eastAsia="Times New Roman" w:hAnsi="Times New Roman"/>
                <w:sz w:val="16"/>
                <w:szCs w:val="16"/>
                <w:b w:val="1"/>
                <w:bCs w:val="1"/>
                <w:color w:val="auto"/>
                <w:w w:val="98"/>
              </w:rPr>
              <w:t>Period From</w:t>
            </w:r>
          </w:p>
        </w:tc>
        <w:tc>
          <w:tcPr>
            <w:tcW w:w="80" w:type="dxa"/>
            <w:vAlign w:val="bottom"/>
          </w:tcPr>
          <w:p>
            <w:pPr>
              <w:spacing w:after="0"/>
              <w:rPr>
                <w:sz w:val="15"/>
                <w:szCs w:val="15"/>
                <w:color w:val="auto"/>
              </w:rPr>
            </w:pPr>
          </w:p>
        </w:tc>
        <w:tc>
          <w:tcPr>
            <w:tcW w:w="1320" w:type="dxa"/>
            <w:vAlign w:val="bottom"/>
            <w:gridSpan w:val="2"/>
          </w:tcPr>
          <w:p>
            <w:pPr>
              <w:jc w:val="center"/>
              <w:ind w:right="101"/>
              <w:spacing w:after="0" w:line="180" w:lineRule="exact"/>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20" w:type="dxa"/>
            <w:vAlign w:val="bottom"/>
            <w:gridSpan w:val="3"/>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Three Months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92"/>
        </w:trPr>
        <w:tc>
          <w:tcPr>
            <w:tcW w:w="2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20" w:type="dxa"/>
            <w:vAlign w:val="bottom"/>
            <w:tcBorders>
              <w:right w:val="single" w:sz="8" w:color="auto"/>
            </w:tcBorders>
            <w:gridSpan w:val="2"/>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80" w:type="dxa"/>
            <w:vAlign w:val="bottom"/>
          </w:tcPr>
          <w:p>
            <w:pPr>
              <w:spacing w:after="0"/>
              <w:rPr>
                <w:sz w:val="7"/>
                <w:szCs w:val="7"/>
                <w:color w:val="auto"/>
              </w:rPr>
            </w:pPr>
          </w:p>
        </w:tc>
        <w:tc>
          <w:tcPr>
            <w:tcW w:w="132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July 1 - August</w:t>
            </w:r>
          </w:p>
        </w:tc>
        <w:tc>
          <w:tcPr>
            <w:tcW w:w="14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Ended September</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2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tcBorders>
              <w:right w:val="single" w:sz="8" w:color="auto"/>
            </w:tcBorders>
            <w:gridSpan w:val="2"/>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6,</w:t>
            </w:r>
          </w:p>
        </w:tc>
        <w:tc>
          <w:tcPr>
            <w:tcW w:w="480" w:type="dxa"/>
            <w:vAlign w:val="bottom"/>
          </w:tcPr>
          <w:p>
            <w:pPr>
              <w:spacing w:after="0"/>
              <w:rPr>
                <w:sz w:val="10"/>
                <w:szCs w:val="10"/>
                <w:color w:val="auto"/>
              </w:rPr>
            </w:pPr>
          </w:p>
        </w:tc>
        <w:tc>
          <w:tcPr>
            <w:tcW w:w="840" w:type="dxa"/>
            <w:vAlign w:val="bottom"/>
            <w:vMerge w:val="restart"/>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0"/>
                <w:szCs w:val="10"/>
                <w:color w:val="auto"/>
              </w:rPr>
            </w:pPr>
          </w:p>
        </w:tc>
        <w:tc>
          <w:tcPr>
            <w:tcW w:w="2700" w:type="dxa"/>
            <w:vAlign w:val="bottom"/>
            <w:gridSpan w:val="6"/>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20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1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gridSpan w:val="2"/>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gridSpan w:val="6"/>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Advertising revenues</w:t>
            </w: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50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46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360" w:type="dxa"/>
            <w:vAlign w:val="bottom"/>
            <w:tcBorders>
              <w:bottom w:val="single" w:sz="8" w:color="auto"/>
            </w:tcBorders>
            <w:gridSpan w:val="2"/>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gridSpan w:val="2"/>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Domestic</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821</w:t>
            </w:r>
          </w:p>
        </w:tc>
        <w:tc>
          <w:tcPr>
            <w:tcW w:w="80" w:type="dxa"/>
            <w:vAlign w:val="bottom"/>
          </w:tcPr>
          <w:p>
            <w:pPr>
              <w:spacing w:after="0"/>
              <w:rPr>
                <w:sz w:val="18"/>
                <w:szCs w:val="18"/>
                <w:color w:val="auto"/>
              </w:rPr>
            </w:pP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395</w:t>
            </w: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Pr>
          <w:p>
            <w:pPr>
              <w:spacing w:after="0"/>
              <w:rPr>
                <w:sz w:val="18"/>
                <w:szCs w:val="18"/>
                <w:color w:val="auto"/>
              </w:rPr>
            </w:pPr>
          </w:p>
        </w:tc>
        <w:tc>
          <w:tcPr>
            <w:tcW w:w="44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1,216</w:t>
            </w:r>
          </w:p>
        </w:tc>
        <w:tc>
          <w:tcPr>
            <w:tcW w:w="5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1,327</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2"/>
              </w:rPr>
              <w:t>(111)</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90</w:t>
            </w: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249</w:t>
            </w: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339</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(90)</w:t>
            </w:r>
          </w:p>
        </w:tc>
        <w:tc>
          <w:tcPr>
            <w:tcW w:w="6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(27)</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485</w:t>
            </w:r>
          </w:p>
        </w:tc>
        <w:tc>
          <w:tcPr>
            <w:tcW w:w="4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1,465</w:t>
            </w:r>
          </w:p>
        </w:tc>
        <w:tc>
          <w:tcPr>
            <w:tcW w:w="5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1,666</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2"/>
              </w:rPr>
              <w:t>(201)</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right="540" w:hanging="236"/>
        <w:spacing w:after="0" w:line="288" w:lineRule="auto"/>
        <w:tabs>
          <w:tab w:leader="none" w:pos="298"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Supplemental Pro Forma Revenues for the three months ended September 30, 2025 reflect the combination of the Successor period and the Predecessor period from July 1 - August 6, 2025. While the Successor and Predecessor periods are distinct reporting periods, revenues were not impacted by the pushdown of the Ultimate Parent’s basis and are supplementally presented on a combined basis to help investors view these amounts in a manner consistent with our management.</w:t>
      </w:r>
    </w:p>
    <w:p>
      <w:pPr>
        <w:spacing w:after="0" w:line="32" w:lineRule="exact"/>
        <w:rPr>
          <w:rFonts w:ascii="Times New Roman" w:cs="Times New Roman" w:eastAsia="Times New Roman" w:hAnsi="Times New Roman"/>
          <w:sz w:val="15"/>
          <w:szCs w:val="15"/>
          <w:color w:val="auto"/>
        </w:rPr>
      </w:pPr>
    </w:p>
    <w:p>
      <w:pPr>
        <w:ind w:left="320" w:right="600" w:hanging="236"/>
        <w:spacing w:after="0" w:line="255" w:lineRule="auto"/>
        <w:tabs>
          <w:tab w:leader="none" w:pos="30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7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Advertising revenues during the Successor and Predecessor periods in 2025 and 2024 were impacted by declines in the linear advertising market. The 2024 Predecessor period benefited from amounts recognized relating to the underreporting of revenue by an international sales partner in previous periods and political advertising revenue associated with the 2024 U.S. Presidential election.</w:t>
      </w:r>
    </w:p>
    <w:p>
      <w:pPr>
        <w:spacing w:after="0" w:line="18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9"/>
          <w:szCs w:val="19"/>
          <w:color w:val="auto"/>
        </w:rPr>
        <w:t>On a pro forma basis, the 12% decrease in advertising revenues includes a negative impact of 5% from the comparison to amounts recognized in 2024 relating to the underreporting of revenue by an international sales partner and a 3% decrease from lower political advertising. Pro forma domestic advertising revenues decreased 8% and pro forma international advertising revenues decreased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87" w:right="399" w:bottom="1440" w:gutter="0" w:footer="0" w:header="0"/>
        </w:sectPr>
      </w:pPr>
    </w:p>
    <w:bookmarkStart w:id="71" w:name="page72"/>
    <w:bookmarkEnd w:id="71"/>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Affiliate and subscription revenues during the Successor and Predecessor periods in 2025 and 2024 were impacted by linear subscriber declines.</w:t>
      </w:r>
    </w:p>
    <w:p>
      <w:pPr>
        <w:spacing w:after="0" w:line="254"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9"/>
          <w:szCs w:val="19"/>
          <w:color w:val="auto"/>
        </w:rPr>
        <w:t>On a pro forma basis, affiliate and subscription revenues decreased 7% for the three months ended September 30, 2025, reflecting the impact from linear subscriber declines.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4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 xml:space="preserve">Licensing and other revenues in the Predecessor period in 2024 included revenues from the licensing of </w:t>
      </w:r>
      <w:r>
        <w:rPr>
          <w:rFonts w:ascii="Times New Roman" w:cs="Times New Roman" w:eastAsia="Times New Roman" w:hAnsi="Times New Roman"/>
          <w:sz w:val="19"/>
          <w:szCs w:val="19"/>
          <w:i w:val="1"/>
          <w:iCs w:val="1"/>
          <w:color w:val="auto"/>
        </w:rPr>
        <w:t>Before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Emily in Paris</w:t>
      </w:r>
      <w:r>
        <w:rPr>
          <w:rFonts w:ascii="Times New Roman" w:cs="Times New Roman" w:eastAsia="Times New Roman" w:hAnsi="Times New Roman"/>
          <w:sz w:val="19"/>
          <w:szCs w:val="19"/>
          <w:color w:val="auto"/>
        </w:rPr>
        <w:t>. On a pro forma basis, licensing and other revenues decreased 22%, driven by lower revenues from content produced for third parties, partly due to timing, and licensing in the secondary market.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Content costs for the Successor period reflect a net reduction in programming assets resulting from the pushdown of the Ultimate Parent’s basis.</w:t>
      </w:r>
    </w:p>
    <w:p>
      <w:pPr>
        <w:spacing w:after="0" w:line="162" w:lineRule="exact"/>
        <w:rPr>
          <w:sz w:val="20"/>
          <w:szCs w:val="20"/>
          <w:color w:val="auto"/>
        </w:rPr>
      </w:pPr>
    </w:p>
    <w:p>
      <w:pPr>
        <w:ind w:right="740"/>
        <w:spacing w:after="0" w:line="280" w:lineRule="auto"/>
        <w:rPr>
          <w:sz w:val="20"/>
          <w:szCs w:val="20"/>
          <w:color w:val="auto"/>
        </w:rPr>
      </w:pPr>
      <w:r>
        <w:rPr>
          <w:rFonts w:ascii="Times New Roman" w:cs="Times New Roman" w:eastAsia="Times New Roman" w:hAnsi="Times New Roman"/>
          <w:sz w:val="19"/>
          <w:szCs w:val="19"/>
          <w:color w:val="auto"/>
        </w:rPr>
        <w:t>Advertising and marketing, and other expenses for the Successor and Predecessor periods in 2025, reflect the impact from cost-savings initiatives.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9"/>
          <w:szCs w:val="19"/>
          <w:color w:val="auto"/>
        </w:rPr>
        <w:t>Adjusted OIBDA in each of the periods reflects the impact of declines in the linear advertising and affiliate markets, and during the Successor period also reflects the pushdown of the Ultimate Parent’s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587" w:right="439" w:bottom="1440" w:gutter="0" w:footer="0" w:header="0"/>
        </w:sectPr>
      </w:pPr>
    </w:p>
    <w:bookmarkStart w:id="72" w:name="page73"/>
    <w:bookmarkEnd w:id="72"/>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80" w:lineRule="exact"/>
        <w:rPr>
          <w:sz w:val="20"/>
          <w:szCs w:val="20"/>
          <w:color w:val="auto"/>
        </w:rPr>
      </w:pPr>
    </w:p>
    <w:tbl>
      <w:tblPr>
        <w:tblLayout w:type="fixed"/>
        <w:tblInd w:w="700" w:type="dxa"/>
        <w:tblCellMar>
          <w:top w:w="0" w:type="dxa"/>
          <w:left w:w="0" w:type="dxa"/>
          <w:bottom w:w="0" w:type="dxa"/>
          <w:right w:w="0" w:type="dxa"/>
        </w:tblCellMar>
      </w:tblPr>
      <w:tr>
        <w:trPr>
          <w:trHeight w:val="262"/>
        </w:trPr>
        <w:tc>
          <w:tcPr>
            <w:tcW w:w="20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right w:val="single" w:sz="8" w:color="auto"/>
            </w:tcBorders>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2120" w:type="dxa"/>
            <w:vAlign w:val="bottom"/>
            <w:tcBorders>
              <w:top w:val="single" w:sz="8" w:color="auto"/>
              <w:bottom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3840" w:type="dxa"/>
            <w:vAlign w:val="bottom"/>
            <w:tcBorders>
              <w:top w:val="single" w:sz="8" w:color="auto"/>
              <w:bottom w:val="single" w:sz="8" w:color="auto"/>
            </w:tcBorders>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right w:val="single" w:sz="8" w:color="auto"/>
            </w:tcBorders>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20" w:type="dxa"/>
            <w:vAlign w:val="bottom"/>
            <w:gridSpan w:val="4"/>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7"/>
                <w:szCs w:val="17"/>
                <w:color w:val="auto"/>
              </w:rPr>
            </w:pPr>
          </w:p>
        </w:tc>
        <w:tc>
          <w:tcPr>
            <w:tcW w:w="22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w:t>
            </w:r>
          </w:p>
        </w:tc>
        <w:tc>
          <w:tcPr>
            <w:tcW w:w="300" w:type="dxa"/>
            <w:vAlign w:val="bottom"/>
          </w:tcPr>
          <w:p>
            <w:pPr>
              <w:spacing w:after="0"/>
              <w:rPr>
                <w:sz w:val="17"/>
                <w:szCs w:val="17"/>
                <w:color w:val="auto"/>
              </w:rPr>
            </w:pPr>
          </w:p>
        </w:tc>
        <w:tc>
          <w:tcPr>
            <w:tcW w:w="15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Pro forma</w:t>
            </w:r>
          </w:p>
        </w:tc>
        <w:tc>
          <w:tcPr>
            <w:tcW w:w="0" w:type="dxa"/>
            <w:vAlign w:val="bottom"/>
          </w:tcPr>
          <w:p>
            <w:pPr>
              <w:spacing w:after="0"/>
              <w:rPr>
                <w:sz w:val="1"/>
                <w:szCs w:val="1"/>
                <w:color w:val="auto"/>
              </w:rPr>
            </w:pPr>
          </w:p>
        </w:tc>
      </w:tr>
      <w:tr>
        <w:trPr>
          <w:trHeight w:val="92"/>
        </w:trPr>
        <w:tc>
          <w:tcPr>
            <w:tcW w:w="2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right w:val="single" w:sz="8" w:color="auto"/>
            </w:tcBorders>
            <w:gridSpan w:val="2"/>
            <w:vMerge w:val="restart"/>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40" w:type="dxa"/>
            <w:vAlign w:val="bottom"/>
          </w:tcPr>
          <w:p>
            <w:pPr>
              <w:spacing w:after="0"/>
              <w:rPr>
                <w:sz w:val="7"/>
                <w:szCs w:val="7"/>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460" w:type="dxa"/>
            <w:vAlign w:val="bottom"/>
          </w:tcPr>
          <w:p>
            <w:pPr>
              <w:spacing w:after="0"/>
              <w:rPr>
                <w:sz w:val="7"/>
                <w:szCs w:val="7"/>
                <w:color w:val="auto"/>
              </w:rPr>
            </w:pPr>
          </w:p>
        </w:tc>
        <w:tc>
          <w:tcPr>
            <w:tcW w:w="8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right w:val="single" w:sz="8" w:color="auto"/>
            </w:tcBorders>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Increase/(Decrease)</w:t>
            </w: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Borders>
              <w:right w:val="single" w:sz="8" w:color="auto"/>
            </w:tcBorders>
            <w:gridSpan w:val="2"/>
            <w:vMerge w:val="restart"/>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Pr>
          <w:p>
            <w:pPr>
              <w:spacing w:after="0"/>
              <w:rPr>
                <w:sz w:val="10"/>
                <w:szCs w:val="1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August 6,</w:t>
            </w:r>
          </w:p>
        </w:tc>
        <w:tc>
          <w:tcPr>
            <w:tcW w:w="1320" w:type="dxa"/>
            <w:vAlign w:val="bottom"/>
            <w:gridSpan w:val="4"/>
            <w:vMerge w:val="restart"/>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gridSpan w:val="2"/>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vMerge w:val="continue"/>
          </w:tcPr>
          <w:p>
            <w:pPr>
              <w:spacing w:after="0"/>
              <w:rPr>
                <w:sz w:val="8"/>
                <w:szCs w:val="8"/>
                <w:color w:val="auto"/>
              </w:rPr>
            </w:pPr>
          </w:p>
        </w:tc>
        <w:tc>
          <w:tcPr>
            <w:tcW w:w="1320" w:type="dxa"/>
            <w:vAlign w:val="bottom"/>
            <w:tcBorders>
              <w:bottom w:val="single" w:sz="8" w:color="auto"/>
            </w:tcBorders>
            <w:gridSpan w:val="4"/>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TV Media</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ind w:right="46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Advertising</w:t>
            </w:r>
          </w:p>
        </w:tc>
        <w:tc>
          <w:tcPr>
            <w:tcW w:w="4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980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4,180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5,981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5,160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120" w:type="dxa"/>
            <w:vAlign w:val="bottom"/>
          </w:tcPr>
          <w:p>
            <w:pPr>
              <w:spacing w:after="0"/>
              <w:rPr>
                <w:sz w:val="18"/>
                <w:szCs w:val="18"/>
                <w:color w:val="auto"/>
              </w:rPr>
            </w:pPr>
          </w:p>
        </w:tc>
        <w:tc>
          <w:tcPr>
            <w:tcW w:w="3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6"/>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Affiliate and subscription</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1,044</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4,302</w:t>
            </w:r>
          </w:p>
        </w:tc>
        <w:tc>
          <w:tcPr>
            <w:tcW w:w="460" w:type="dxa"/>
            <w:vAlign w:val="bottom"/>
          </w:tcPr>
          <w:p>
            <w:pPr>
              <w:spacing w:after="0"/>
              <w:rPr>
                <w:sz w:val="20"/>
                <w:szCs w:val="20"/>
                <w:color w:val="auto"/>
              </w:rPr>
            </w:pPr>
          </w:p>
        </w:tc>
        <w:tc>
          <w:tcPr>
            <w:tcW w:w="7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5,778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5,346</w:t>
            </w: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7"/>
        </w:trPr>
        <w:tc>
          <w:tcPr>
            <w:tcW w:w="18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Licensing and other</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344</w:t>
            </w: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1,495</w:t>
            </w:r>
          </w:p>
        </w:tc>
        <w:tc>
          <w:tcPr>
            <w:tcW w:w="4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1,839</w:t>
            </w:r>
          </w:p>
        </w:tc>
        <w:tc>
          <w:tcPr>
            <w:tcW w:w="4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9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8"/>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2,368</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9,977</w:t>
            </w:r>
          </w:p>
        </w:tc>
        <w:tc>
          <w:tcPr>
            <w:tcW w:w="460" w:type="dxa"/>
            <w:vAlign w:val="bottom"/>
          </w:tcPr>
          <w:p>
            <w:pPr>
              <w:spacing w:after="0"/>
              <w:rPr>
                <w:sz w:val="18"/>
                <w:szCs w:val="18"/>
                <w:color w:val="auto"/>
              </w:rPr>
            </w:pPr>
          </w:p>
        </w:tc>
        <w:tc>
          <w:tcPr>
            <w:tcW w:w="7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13,800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12,345</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20" w:type="dxa"/>
            <w:vAlign w:val="bottom"/>
          </w:tcPr>
          <w:p>
            <w:pPr>
              <w:spacing w:after="0"/>
              <w:rPr>
                <w:sz w:val="18"/>
                <w:szCs w:val="18"/>
                <w:color w:val="auto"/>
              </w:rPr>
            </w:pPr>
          </w:p>
        </w:tc>
        <w:tc>
          <w:tcPr>
            <w:tcW w:w="3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88"/>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Content costs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1,109</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4,956</w:t>
            </w:r>
          </w:p>
        </w:tc>
        <w:tc>
          <w:tcPr>
            <w:tcW w:w="460" w:type="dxa"/>
            <w:vAlign w:val="bottom"/>
          </w:tcPr>
          <w:p>
            <w:pPr>
              <w:spacing w:after="0"/>
              <w:rPr>
                <w:sz w:val="24"/>
                <w:szCs w:val="24"/>
                <w:color w:val="auto"/>
              </w:rPr>
            </w:pPr>
          </w:p>
        </w:tc>
        <w:tc>
          <w:tcPr>
            <w:tcW w:w="7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6,528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Advertising and</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marketing</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328</w:t>
            </w:r>
          </w:p>
        </w:tc>
        <w:tc>
          <w:tcPr>
            <w:tcW w:w="46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8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(b)</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657</w:t>
            </w: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2,626</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3,429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1,828</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7,910</w:t>
            </w:r>
          </w:p>
        </w:tc>
        <w:tc>
          <w:tcPr>
            <w:tcW w:w="460" w:type="dxa"/>
            <w:vAlign w:val="bottom"/>
          </w:tcPr>
          <w:p>
            <w:pPr>
              <w:spacing w:after="0"/>
              <w:rPr>
                <w:sz w:val="18"/>
                <w:szCs w:val="18"/>
                <w:color w:val="auto"/>
              </w:rPr>
            </w:pPr>
          </w:p>
        </w:tc>
        <w:tc>
          <w:tcPr>
            <w:tcW w:w="7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10,401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1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Adjusted OIBDA</w:t>
            </w:r>
          </w:p>
        </w:tc>
        <w:tc>
          <w:tcPr>
            <w:tcW w:w="46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540</w:t>
            </w: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2,067</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3,399</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0" w:type="dxa"/>
            <w:vAlign w:val="bottom"/>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6"/>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4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0" w:type="dxa"/>
            <w:vAlign w:val="bottom"/>
            <w:tcBorders>
              <w:right w:val="single" w:sz="8" w:color="auto"/>
            </w:tcBorders>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3"/>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vMerge w:val="restart"/>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w w:val="96"/>
              </w:rPr>
              <w:t>Pro forma</w:t>
            </w:r>
          </w:p>
        </w:tc>
        <w:tc>
          <w:tcPr>
            <w:tcW w:w="0" w:type="dxa"/>
            <w:vAlign w:val="bottom"/>
          </w:tcPr>
          <w:p>
            <w:pPr>
              <w:spacing w:after="0"/>
              <w:rPr>
                <w:sz w:val="1"/>
                <w:szCs w:val="1"/>
                <w:color w:val="auto"/>
              </w:rPr>
            </w:pPr>
          </w:p>
        </w:tc>
      </w:tr>
      <w:tr>
        <w:trPr>
          <w:trHeight w:val="92"/>
        </w:trPr>
        <w:tc>
          <w:tcPr>
            <w:tcW w:w="2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40" w:type="dxa"/>
            <w:vAlign w:val="bottom"/>
            <w:tcBorders>
              <w:right w:val="single" w:sz="8" w:color="auto"/>
            </w:tcBorders>
          </w:tcPr>
          <w:p>
            <w:pPr>
              <w:spacing w:after="0"/>
              <w:rPr>
                <w:sz w:val="7"/>
                <w:szCs w:val="7"/>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3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Borders>
              <w:right w:val="single" w:sz="8" w:color="auto"/>
            </w:tcBorders>
          </w:tcPr>
          <w:p>
            <w:pPr>
              <w:spacing w:after="0"/>
              <w:rPr>
                <w:sz w:val="10"/>
                <w:szCs w:val="1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3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Borders>
              <w:bottom w:val="single" w:sz="8" w:color="auto"/>
            </w:tcBorders>
            <w:gridSpan w:val="2"/>
            <w:vMerge w:val="continue"/>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gridSpan w:val="2"/>
            <w:vMerge w:val="continue"/>
          </w:tcPr>
          <w:p>
            <w:pPr>
              <w:spacing w:after="0"/>
              <w:rPr>
                <w:sz w:val="8"/>
                <w:szCs w:val="8"/>
                <w:color w:val="auto"/>
              </w:rPr>
            </w:pPr>
          </w:p>
        </w:tc>
        <w:tc>
          <w:tcPr>
            <w:tcW w:w="1320" w:type="dxa"/>
            <w:vAlign w:val="bottom"/>
            <w:tcBorders>
              <w:bottom w:val="single" w:sz="8" w:color="auto"/>
            </w:tcBorders>
            <w:gridSpan w:val="4"/>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vMerge w:val="continue"/>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Advertising revenues</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40" w:type="dxa"/>
            <w:vAlign w:val="bottom"/>
            <w:tcBorders>
              <w:bottom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Domestic</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821</w:t>
            </w:r>
          </w:p>
        </w:tc>
        <w:tc>
          <w:tcPr>
            <w:tcW w:w="40" w:type="dxa"/>
            <w:vAlign w:val="bottom"/>
            <w:tcBorders>
              <w:right w:val="single" w:sz="8" w:color="auto"/>
            </w:tcBorders>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3,585</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5,069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4,406</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4"/>
              </w:rPr>
              <w:t>5,069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(663)</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(13)%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1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159</w:t>
            </w:r>
          </w:p>
        </w:tc>
        <w:tc>
          <w:tcPr>
            <w:tcW w:w="4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595</w:t>
            </w:r>
          </w:p>
        </w:tc>
        <w:tc>
          <w:tcPr>
            <w:tcW w:w="4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754</w:t>
            </w:r>
          </w:p>
        </w:tc>
        <w:tc>
          <w:tcPr>
            <w:tcW w:w="4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(158)</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0" w:type="dxa"/>
            <w:vAlign w:val="bottom"/>
          </w:tcPr>
          <w:p>
            <w:pPr>
              <w:spacing w:after="0"/>
              <w:rPr>
                <w:sz w:val="21"/>
                <w:szCs w:val="21"/>
                <w:color w:val="auto"/>
              </w:rPr>
            </w:pPr>
          </w:p>
        </w:tc>
        <w:tc>
          <w:tcPr>
            <w:tcW w:w="1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980</w:t>
            </w:r>
          </w:p>
        </w:tc>
        <w:tc>
          <w:tcPr>
            <w:tcW w:w="4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4,180</w:t>
            </w: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5,981</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5,160</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4"/>
              </w:rPr>
              <w:t>5,981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(821)</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(14)%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0" w:right="380" w:hanging="238"/>
        <w:spacing w:after="0" w:line="262" w:lineRule="auto"/>
        <w:tabs>
          <w:tab w:leader="none" w:pos="37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Supplemental Pro Forma Revenues for the nine months ended September 30, 2025 reflect the combination of the Successor period and the Predecessor period from January 1 - August 6, 2025. While the Successor and Predecessor periods are distinct reporting periods, revenues were not impacted by the pushdown of the Ultimate Parent’s basis and are supplementally presented on a combined basis to help investors view these revenues in a manner consistent with our management.</w:t>
      </w:r>
    </w:p>
    <w:p>
      <w:pPr>
        <w:spacing w:after="0" w:line="51" w:lineRule="exact"/>
        <w:rPr>
          <w:rFonts w:ascii="Times New Roman" w:cs="Times New Roman" w:eastAsia="Times New Roman" w:hAnsi="Times New Roman"/>
          <w:sz w:val="16"/>
          <w:szCs w:val="16"/>
          <w:color w:val="auto"/>
        </w:rPr>
      </w:pPr>
    </w:p>
    <w:p>
      <w:pPr>
        <w:ind w:left="400" w:right="560" w:hanging="238"/>
        <w:spacing w:after="0" w:line="255" w:lineRule="auto"/>
        <w:tabs>
          <w:tab w:leader="none" w:pos="38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Advertising revenues during the Successor and Predecessor periods in 2025 and 2024 were impacted by declines in the linear advertising market. The Predecessor period for the nine months ended September 30, 2024 benefited from CBS’s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 amounts recognized relating to the underreporting of revenue by an international sales partner in previous periods, and political advertising associated with the 2024 U.S. Presidential election. We have the rights to broadcast the Super Bowl on a rotational basis with other networks, and therefore did not have a comparable broadcast in 2025.</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On a pro forma basis, advertising revenues decreased 14%, which includes decreases from the comparisons to the Super Bowl and amounts recognized in 2024 relating to the underreporting of revenue by an international sales partner in previous periods of 9% and 2%, respectively. Pro forma domestic advertising revenues decreased 13% and pro forma international advertising revenues decreased 17%.</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73" w:name="page74"/>
    <w:bookmarkEnd w:id="73"/>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1" w:lineRule="exact"/>
        <w:rPr>
          <w:sz w:val="20"/>
          <w:szCs w:val="20"/>
          <w:color w:val="auto"/>
        </w:rPr>
      </w:pPr>
    </w:p>
    <w:p>
      <w:pPr>
        <w:ind w:right="760"/>
        <w:spacing w:after="0" w:line="295" w:lineRule="auto"/>
        <w:rPr>
          <w:sz w:val="20"/>
          <w:szCs w:val="20"/>
          <w:color w:val="auto"/>
        </w:rPr>
      </w:pPr>
      <w:r>
        <w:rPr>
          <w:rFonts w:ascii="Times New Roman" w:cs="Times New Roman" w:eastAsia="Times New Roman" w:hAnsi="Times New Roman"/>
          <w:sz w:val="19"/>
          <w:szCs w:val="19"/>
          <w:color w:val="auto"/>
        </w:rPr>
        <w:t>Affiliate and subscription revenues during the Successor and Predecessor periods in 2025 and 2024 were impacted by declines in linear subscribers.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a pro forma basis, affiliate and subscription revenues decreased 7%, reflecting the impact from linear subscriber declines.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4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9"/>
          <w:szCs w:val="19"/>
          <w:color w:val="auto"/>
        </w:rPr>
        <w:t xml:space="preserve">Licensing and other revenues in the Predecessor period in 2025 included the licensing of </w:t>
      </w:r>
      <w:r>
        <w:rPr>
          <w:rFonts w:ascii="Times New Roman" w:cs="Times New Roman" w:eastAsia="Times New Roman" w:hAnsi="Times New Roman"/>
          <w:sz w:val="19"/>
          <w:szCs w:val="19"/>
          <w:i w:val="1"/>
          <w:iCs w:val="1"/>
          <w:color w:val="auto"/>
        </w:rPr>
        <w:t>Murderbots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Cross</w:t>
      </w:r>
      <w:r>
        <w:rPr>
          <w:rFonts w:ascii="Times New Roman" w:cs="Times New Roman" w:eastAsia="Times New Roman" w:hAnsi="Times New Roman"/>
          <w:sz w:val="19"/>
          <w:szCs w:val="19"/>
          <w:color w:val="auto"/>
        </w:rPr>
        <w:t xml:space="preserve"> and in 2024 included </w:t>
      </w:r>
      <w:r>
        <w:rPr>
          <w:rFonts w:ascii="Times New Roman" w:cs="Times New Roman" w:eastAsia="Times New Roman" w:hAnsi="Times New Roman"/>
          <w:sz w:val="19"/>
          <w:szCs w:val="19"/>
          <w:i w:val="1"/>
          <w:iCs w:val="1"/>
          <w:color w:val="auto"/>
        </w:rPr>
        <w:t>Time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Bandits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Before</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Emily in Paris</w:t>
      </w:r>
      <w:r>
        <w:rPr>
          <w:rFonts w:ascii="Times New Roman" w:cs="Times New Roman" w:eastAsia="Times New Roman" w:hAnsi="Times New Roman"/>
          <w:sz w:val="19"/>
          <w:szCs w:val="19"/>
          <w:color w:val="auto"/>
        </w:rPr>
        <w:t>. On a pro forma basis, licensing and other revenues decreased 10%, driven by lower revenues from content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produced for third parties, partly due to timing, and licensing in the secondary market.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Content costs for the Successor period reflect a net reduction in programming assets resulting from the pushdown of the Ultimate Parent’s basis.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Content costs for the nine months ended September 30, 2024 include costs associated with the Super Bowl broadcast in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and other expenses for the Successor and Predecessor periods in 2025 reflect the impact from cost savings initiatives.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Predecessor period in 2024 also included advertising and marketing costs related to the Super Bowl broadcast.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9"/>
          <w:szCs w:val="19"/>
          <w:color w:val="auto"/>
        </w:rPr>
        <w:t>Adjusted OIBDA in each of the periods reflects the impact of declines in the linear advertising and affiliate markets and during the Successor period also reflects the pushdown of the Ultimate Parent’s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87" w:right="399" w:bottom="1440" w:gutter="0" w:footer="0" w:header="0"/>
        </w:sectPr>
      </w:pPr>
    </w:p>
    <w:bookmarkStart w:id="74" w:name="page75"/>
    <w:bookmarkEnd w:id="74"/>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right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8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3360" w:type="dxa"/>
            <w:vAlign w:val="bottom"/>
            <w:tcBorders>
              <w:top w:val="single" w:sz="8" w:color="auto"/>
              <w:bottom w:val="single" w:sz="8" w:color="auto"/>
            </w:tcBorders>
            <w:gridSpan w:val="5"/>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74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Borders>
              <w:right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80" w:type="dxa"/>
            <w:vAlign w:val="bottom"/>
          </w:tcPr>
          <w:p>
            <w:pPr>
              <w:spacing w:after="0"/>
              <w:rPr>
                <w:sz w:val="17"/>
                <w:szCs w:val="17"/>
                <w:color w:val="auto"/>
              </w:rPr>
            </w:pPr>
          </w:p>
        </w:tc>
        <w:tc>
          <w:tcPr>
            <w:tcW w:w="136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Borders>
              <w:right w:val="single" w:sz="8" w:color="auto"/>
            </w:tcBorders>
            <w:gridSpan w:val="2"/>
            <w:vMerge w:val="restart"/>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80" w:type="dxa"/>
            <w:vAlign w:val="bottom"/>
          </w:tcPr>
          <w:p>
            <w:pPr>
              <w:spacing w:after="0"/>
              <w:rPr>
                <w:sz w:val="7"/>
                <w:szCs w:val="7"/>
                <w:color w:val="auto"/>
              </w:rPr>
            </w:pPr>
          </w:p>
        </w:tc>
        <w:tc>
          <w:tcPr>
            <w:tcW w:w="136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July 1 - August</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Ended September</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Borders>
              <w:right w:val="single" w:sz="8" w:color="auto"/>
            </w:tcBorders>
            <w:gridSpan w:val="2"/>
            <w:vMerge w:val="restart"/>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vMerge w:val="restart"/>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6,</w:t>
            </w:r>
          </w:p>
        </w:tc>
        <w:tc>
          <w:tcPr>
            <w:tcW w:w="520" w:type="dxa"/>
            <w:vAlign w:val="bottom"/>
          </w:tcPr>
          <w:p>
            <w:pPr>
              <w:spacing w:after="0"/>
              <w:rPr>
                <w:sz w:val="10"/>
                <w:szCs w:val="10"/>
                <w:color w:val="auto"/>
              </w:rPr>
            </w:pPr>
          </w:p>
        </w:tc>
        <w:tc>
          <w:tcPr>
            <w:tcW w:w="860" w:type="dxa"/>
            <w:vAlign w:val="bottom"/>
            <w:vMerge w:val="restart"/>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gridSpan w:val="5"/>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18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gridSpan w:val="2"/>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gridSpan w:val="5"/>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Direct-to-Consumer</w:t>
            </w: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52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Advertising</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300</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179</w:t>
            </w: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420" w:type="dxa"/>
            <w:vAlign w:val="bottom"/>
            <w:gridSpan w:val="3"/>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479</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507</w:t>
            </w: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Subscription</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704</w:t>
            </w:r>
          </w:p>
        </w:tc>
        <w:tc>
          <w:tcPr>
            <w:tcW w:w="520" w:type="dxa"/>
            <w:vAlign w:val="bottom"/>
          </w:tcPr>
          <w:p>
            <w:pPr>
              <w:spacing w:after="0"/>
              <w:rPr>
                <w:sz w:val="20"/>
                <w:szCs w:val="20"/>
                <w:color w:val="auto"/>
              </w:rPr>
            </w:pPr>
          </w:p>
        </w:tc>
        <w:tc>
          <w:tcPr>
            <w:tcW w:w="8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1,687</w:t>
            </w:r>
          </w:p>
        </w:tc>
        <w:tc>
          <w:tcPr>
            <w:tcW w:w="460" w:type="dxa"/>
            <w:vAlign w:val="bottom"/>
          </w:tcPr>
          <w:p>
            <w:pPr>
              <w:spacing w:after="0"/>
              <w:rPr>
                <w:sz w:val="20"/>
                <w:szCs w:val="20"/>
                <w:color w:val="auto"/>
              </w:rPr>
            </w:pPr>
          </w:p>
        </w:tc>
        <w:tc>
          <w:tcPr>
            <w:tcW w:w="9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1,343</w:t>
            </w:r>
          </w:p>
        </w:tc>
        <w:tc>
          <w:tcPr>
            <w:tcW w:w="360" w:type="dxa"/>
            <w:vAlign w:val="bottom"/>
          </w:tcPr>
          <w:p>
            <w:pPr>
              <w:spacing w:after="0"/>
              <w:rPr>
                <w:sz w:val="20"/>
                <w:szCs w:val="20"/>
                <w:color w:val="auto"/>
              </w:rPr>
            </w:pPr>
          </w:p>
        </w:tc>
        <w:tc>
          <w:tcPr>
            <w:tcW w:w="7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344</w:t>
            </w:r>
          </w:p>
        </w:tc>
        <w:tc>
          <w:tcPr>
            <w:tcW w:w="7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Licensing </w:t>
            </w:r>
            <w:r>
              <w:rPr>
                <w:rFonts w:ascii="Times New Roman" w:cs="Times New Roman" w:eastAsia="Times New Roman" w:hAnsi="Times New Roman"/>
                <w:sz w:val="20"/>
                <w:szCs w:val="20"/>
                <w:color w:val="auto"/>
                <w:vertAlign w:val="superscript"/>
              </w:rPr>
              <w:t>(b)</w:t>
            </w: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(9)</w:t>
            </w:r>
          </w:p>
        </w:tc>
        <w:tc>
          <w:tcPr>
            <w:tcW w:w="7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1,284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883</w:t>
            </w:r>
          </w:p>
        </w:tc>
        <w:tc>
          <w:tcPr>
            <w:tcW w:w="520" w:type="dxa"/>
            <w:vAlign w:val="bottom"/>
          </w:tcPr>
          <w:p>
            <w:pPr>
              <w:spacing w:after="0"/>
              <w:rPr>
                <w:sz w:val="18"/>
                <w:szCs w:val="18"/>
                <w:color w:val="auto"/>
              </w:rPr>
            </w:pPr>
          </w:p>
        </w:tc>
        <w:tc>
          <w:tcPr>
            <w:tcW w:w="8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Pr>
          <w:p>
            <w:pPr>
              <w:spacing w:after="0"/>
              <w:rPr>
                <w:sz w:val="18"/>
                <w:szCs w:val="18"/>
                <w:color w:val="auto"/>
              </w:rPr>
            </w:pPr>
          </w:p>
        </w:tc>
        <w:tc>
          <w:tcPr>
            <w:tcW w:w="420" w:type="dxa"/>
            <w:vAlign w:val="bottom"/>
            <w:gridSpan w:val="3"/>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2,167</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1,860</w:t>
            </w: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307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Content costs</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412</w:t>
            </w:r>
          </w:p>
        </w:tc>
        <w:tc>
          <w:tcPr>
            <w:tcW w:w="520" w:type="dxa"/>
            <w:vAlign w:val="bottom"/>
          </w:tcPr>
          <w:p>
            <w:pPr>
              <w:spacing w:after="0"/>
              <w:rPr>
                <w:sz w:val="24"/>
                <w:szCs w:val="24"/>
                <w:color w:val="auto"/>
              </w:rPr>
            </w:pPr>
          </w:p>
        </w:tc>
        <w:tc>
          <w:tcPr>
            <w:tcW w:w="8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114</w:t>
            </w:r>
          </w:p>
        </w:tc>
        <w:tc>
          <w:tcPr>
            <w:tcW w:w="520" w:type="dxa"/>
            <w:vAlign w:val="bottom"/>
          </w:tcPr>
          <w:p>
            <w:pPr>
              <w:spacing w:after="0"/>
              <w:rPr>
                <w:sz w:val="20"/>
                <w:szCs w:val="20"/>
                <w:color w:val="auto"/>
              </w:rPr>
            </w:pPr>
          </w:p>
        </w:tc>
        <w:tc>
          <w:tcPr>
            <w:tcW w:w="8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1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(c)</w:t>
            </w: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252</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1,049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778</w:t>
            </w:r>
          </w:p>
        </w:tc>
        <w:tc>
          <w:tcPr>
            <w:tcW w:w="520" w:type="dxa"/>
            <w:vAlign w:val="bottom"/>
          </w:tcPr>
          <w:p>
            <w:pPr>
              <w:spacing w:after="0"/>
              <w:rPr>
                <w:sz w:val="18"/>
                <w:szCs w:val="18"/>
                <w:color w:val="auto"/>
              </w:rPr>
            </w:pPr>
          </w:p>
        </w:tc>
        <w:tc>
          <w:tcPr>
            <w:tcW w:w="8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Adjusted OIBDA</w:t>
            </w:r>
          </w:p>
        </w:tc>
        <w:tc>
          <w:tcPr>
            <w:tcW w:w="48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235</w:t>
            </w:r>
          </w:p>
        </w:tc>
        <w:tc>
          <w:tcPr>
            <w:tcW w:w="48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105</w:t>
            </w:r>
          </w:p>
        </w:tc>
        <w:tc>
          <w:tcPr>
            <w:tcW w:w="5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5"/>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8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80" w:type="dxa"/>
            <w:vAlign w:val="bottom"/>
            <w:tcBorders>
              <w:right w:val="single" w:sz="8" w:color="auto"/>
            </w:tcBorders>
          </w:tcPr>
          <w:p>
            <w:pPr>
              <w:spacing w:after="0"/>
              <w:rPr>
                <w:sz w:val="17"/>
                <w:szCs w:val="17"/>
                <w:color w:val="auto"/>
              </w:rPr>
            </w:pPr>
          </w:p>
        </w:tc>
        <w:tc>
          <w:tcPr>
            <w:tcW w:w="136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8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80" w:type="dxa"/>
            <w:vAlign w:val="bottom"/>
            <w:tcBorders>
              <w:right w:val="single" w:sz="8" w:color="auto"/>
            </w:tcBorders>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Ended September</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6"/>
              </w:rPr>
              <w:t>Increase/(Decrease)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Borders>
              <w:right w:val="single" w:sz="8" w:color="auto"/>
            </w:tcBorders>
          </w:tcPr>
          <w:p>
            <w:pPr>
              <w:spacing w:after="0"/>
              <w:rPr>
                <w:sz w:val="10"/>
                <w:szCs w:val="10"/>
                <w:color w:val="auto"/>
              </w:rPr>
            </w:pPr>
          </w:p>
        </w:tc>
        <w:tc>
          <w:tcPr>
            <w:tcW w:w="13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July 1 - August 6,</w:t>
            </w:r>
          </w:p>
        </w:tc>
        <w:tc>
          <w:tcPr>
            <w:tcW w:w="520" w:type="dxa"/>
            <w:vAlign w:val="bottom"/>
          </w:tcPr>
          <w:p>
            <w:pPr>
              <w:spacing w:after="0"/>
              <w:rPr>
                <w:sz w:val="10"/>
                <w:szCs w:val="10"/>
                <w:color w:val="auto"/>
              </w:rPr>
            </w:pPr>
          </w:p>
        </w:tc>
        <w:tc>
          <w:tcPr>
            <w:tcW w:w="860" w:type="dxa"/>
            <w:vAlign w:val="bottom"/>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Borders>
              <w:bottom w:val="single" w:sz="8" w:color="auto"/>
            </w:tcBorders>
            <w:gridSpan w:val="2"/>
            <w:vMerge w:val="continue"/>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tcBorders>
            <w:gridSpan w:val="2"/>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gridSpan w:val="4"/>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Paramount+ (Global)</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5"/>
                <w:szCs w:val="15"/>
                <w:color w:val="auto"/>
              </w:rPr>
            </w:pPr>
          </w:p>
        </w:tc>
        <w:tc>
          <w:tcPr>
            <w:tcW w:w="86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5"/>
                <w:szCs w:val="15"/>
                <w:color w:val="auto"/>
              </w:rPr>
            </w:pPr>
          </w:p>
        </w:tc>
        <w:tc>
          <w:tcPr>
            <w:tcW w:w="9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5"/>
                <w:szCs w:val="15"/>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Revenues</w:t>
            </w: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1,060</w:t>
            </w:r>
          </w:p>
        </w:tc>
        <w:tc>
          <w:tcPr>
            <w:tcW w:w="8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709</w:t>
            </w: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1,769</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1,428</w:t>
            </w:r>
          </w:p>
        </w:tc>
        <w:tc>
          <w:tcPr>
            <w:tcW w:w="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341</w:t>
            </w:r>
          </w:p>
        </w:tc>
        <w:tc>
          <w:tcPr>
            <w:tcW w:w="7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0" w:right="480" w:hanging="238"/>
        <w:spacing w:after="0" w:line="288" w:lineRule="auto"/>
        <w:tabs>
          <w:tab w:leader="none" w:pos="378"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Supplemental Pro Forma Revenues for the three months ended September 30, 2025 reflect the combination of the Successor period and the Predecessor period from July 1 - August 6, 2025. While the Successor and Predecessor periods are distinct reporting periods, revenues were not impacted by the pushdown of the Ultimate Parent’s basis and are supplementally presented on a combined basis to help investors view these amounts in a manner consistent with our management.</w:t>
      </w:r>
    </w:p>
    <w:p>
      <w:pPr>
        <w:spacing w:after="0" w:line="34" w:lineRule="exact"/>
        <w:rPr>
          <w:rFonts w:ascii="Times New Roman" w:cs="Times New Roman" w:eastAsia="Times New Roman" w:hAnsi="Times New Roman"/>
          <w:sz w:val="15"/>
          <w:szCs w:val="15"/>
          <w:color w:val="auto"/>
        </w:rPr>
      </w:pPr>
    </w:p>
    <w:p>
      <w:pPr>
        <w:ind w:left="380" w:hanging="218"/>
        <w:spacing w:after="0"/>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revenues from the licensing of content rights acquired by BET+.</w:t>
      </w:r>
    </w:p>
    <w:p>
      <w:pPr>
        <w:spacing w:after="0" w:line="89" w:lineRule="exact"/>
        <w:rPr>
          <w:rFonts w:ascii="Times New Roman" w:cs="Times New Roman" w:eastAsia="Times New Roman" w:hAnsi="Times New Roman"/>
          <w:sz w:val="16"/>
          <w:szCs w:val="16"/>
          <w:color w:val="auto"/>
        </w:rPr>
      </w:pPr>
    </w:p>
    <w:p>
      <w:pPr>
        <w:ind w:left="400" w:right="440" w:hanging="238"/>
        <w:spacing w:after="0" w:line="271" w:lineRule="auto"/>
        <w:tabs>
          <w:tab w:leader="none" w:pos="37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spacing w:after="0" w:line="105" w:lineRule="exact"/>
        <w:rPr>
          <w:sz w:val="20"/>
          <w:szCs w:val="20"/>
          <w:color w:val="auto"/>
        </w:rPr>
      </w:pPr>
    </w:p>
    <w:tbl>
      <w:tblPr>
        <w:tblLayout w:type="fixed"/>
        <w:tblInd w:w="1740" w:type="dxa"/>
        <w:tblCellMar>
          <w:top w:w="0" w:type="dxa"/>
          <w:left w:w="0" w:type="dxa"/>
          <w:bottom w:w="0" w:type="dxa"/>
          <w:right w:w="0" w:type="dxa"/>
        </w:tblCellMar>
      </w:tblPr>
      <w:tr>
        <w:trPr>
          <w:trHeight w:val="255"/>
        </w:trPr>
        <w:tc>
          <w:tcPr>
            <w:tcW w:w="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480" w:type="dxa"/>
            <w:vAlign w:val="bottom"/>
            <w:tcBorders>
              <w:top w:val="single" w:sz="8" w:color="auto"/>
              <w:bottom w:val="single" w:sz="8" w:color="auto"/>
              <w:right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13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19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8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Ended September</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Ended September</w:t>
            </w:r>
          </w:p>
        </w:tc>
        <w:tc>
          <w:tcPr>
            <w:tcW w:w="1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80" w:type="dxa"/>
            <w:vAlign w:val="bottom"/>
            <w:tcBorders>
              <w:bottom w:val="single" w:sz="8" w:color="auto"/>
              <w:right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30,</w:t>
            </w:r>
          </w:p>
        </w:tc>
        <w:tc>
          <w:tcPr>
            <w:tcW w:w="13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30,</w:t>
            </w: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80" w:type="dxa"/>
            <w:vAlign w:val="bottom"/>
            <w:tcBorders>
              <w:bottom w:val="single" w:sz="8" w:color="auto"/>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20" w:type="dxa"/>
            <w:vAlign w:val="bottom"/>
            <w:tcBorders>
              <w:bottom w:val="single" w:sz="8" w:color="auto"/>
            </w:tcBorders>
            <w:gridSpan w:val="2"/>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Increase/(Decrease)</w:t>
            </w:r>
          </w:p>
        </w:tc>
      </w:tr>
      <w:tr>
        <w:trPr>
          <w:trHeight w:val="184"/>
        </w:trPr>
        <w:tc>
          <w:tcPr>
            <w:tcW w:w="20" w:type="dxa"/>
            <w:vAlign w:val="bottom"/>
          </w:tcPr>
          <w:p>
            <w:pPr>
              <w:spacing w:after="0"/>
              <w:rPr>
                <w:sz w:val="15"/>
                <w:szCs w:val="15"/>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Paramount+ (Global)</w:t>
            </w:r>
          </w:p>
        </w:tc>
        <w:tc>
          <w:tcPr>
            <w:tcW w:w="148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75"/>
        </w:trPr>
        <w:tc>
          <w:tcPr>
            <w:tcW w:w="20" w:type="dxa"/>
            <w:vAlign w:val="bottom"/>
            <w:tcBorders>
              <w:bottom w:val="single" w:sz="8" w:color="auto"/>
            </w:tcBorders>
          </w:tcPr>
          <w:p>
            <w:pPr>
              <w:spacing w:after="0"/>
              <w:rPr>
                <w:sz w:val="23"/>
                <w:szCs w:val="23"/>
                <w:color w:val="auto"/>
              </w:rPr>
            </w:pPr>
          </w:p>
        </w:tc>
        <w:tc>
          <w:tcPr>
            <w:tcW w:w="1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Subscribers </w:t>
            </w:r>
            <w:r>
              <w:rPr>
                <w:rFonts w:ascii="Times New Roman" w:cs="Times New Roman" w:eastAsia="Times New Roman" w:hAnsi="Times New Roman"/>
                <w:sz w:val="20"/>
                <w:szCs w:val="20"/>
                <w:color w:val="auto"/>
                <w:vertAlign w:val="superscript"/>
              </w:rPr>
              <w:t>(a)</w:t>
            </w:r>
          </w:p>
        </w:tc>
        <w:tc>
          <w:tcPr>
            <w:tcW w:w="1280" w:type="dxa"/>
            <w:vAlign w:val="bottom"/>
            <w:tcBorders>
              <w:bottom w:val="single" w:sz="8" w:color="auto"/>
            </w:tcBorders>
          </w:tcPr>
          <w:p>
            <w:pPr>
              <w:spacing w:after="0"/>
              <w:rPr>
                <w:sz w:val="23"/>
                <w:szCs w:val="23"/>
                <w:color w:val="auto"/>
              </w:rPr>
            </w:pPr>
          </w:p>
        </w:tc>
        <w:tc>
          <w:tcPr>
            <w:tcW w:w="1480" w:type="dxa"/>
            <w:vAlign w:val="bottom"/>
            <w:tcBorders>
              <w:bottom w:val="single" w:sz="8" w:color="auto"/>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79.1</w:t>
            </w:r>
          </w:p>
        </w:tc>
        <w:tc>
          <w:tcPr>
            <w:tcW w:w="13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71.9</w:t>
            </w:r>
          </w:p>
        </w:tc>
        <w:tc>
          <w:tcPr>
            <w:tcW w:w="13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7.2</w:t>
            </w: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10 %</w:t>
            </w:r>
          </w:p>
        </w:tc>
      </w:tr>
    </w:tbl>
    <w:p>
      <w:pPr>
        <w:spacing w:after="0" w:line="157" w:lineRule="exact"/>
        <w:rPr>
          <w:sz w:val="20"/>
          <w:szCs w:val="20"/>
          <w:color w:val="auto"/>
        </w:rPr>
      </w:pPr>
    </w:p>
    <w:p>
      <w:pPr>
        <w:ind w:left="1180" w:right="800" w:hanging="231"/>
        <w:spacing w:after="0" w:line="252" w:lineRule="auto"/>
        <w:tabs>
          <w:tab w:leader="none" w:pos="115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Subscribers include customers who are registered for Paramount+, either directly through our owned and operated apps and websites, or through third-party distributors. Subscribers also include customers who are provided with access through a subscription bundle with a domestic linear video streaming service (vMVPD) or an international third-party distributor. Our subscribers include paid subscriptions and those customers registered in a free trial. For the periods above, subscriber counts reflect the number of subscribers as of the applicable period-end date. Beginning in the fourth quarter of 2025, the subscriber numbers we report for Paramount+ will no longer include customers registered in a free trial. Such subscribers totaled 1.2 million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Advertising revenues during the 2025 periods include the impact from new digital advertising entrants in the marketplace and in 2024 benefited from political revenues associated with the 2024 U.S. Presidential election. On a pro forma basis, the 6% decrease in advertising revenues reflects these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Subscription</w:t>
      </w:r>
    </w:p>
    <w:p>
      <w:pPr>
        <w:spacing w:after="0" w:line="151"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9"/>
          <w:szCs w:val="19"/>
          <w:color w:val="auto"/>
        </w:rPr>
        <w:t>Subscription revenues during the Successor and Predecessor periods in 2025 and 2024 benefited from growth in Paramount+ subscribers and pricing.</w:t>
      </w:r>
    </w:p>
    <w:p>
      <w:pPr>
        <w:spacing w:after="0" w:line="15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9"/>
          <w:szCs w:val="19"/>
          <w:color w:val="auto"/>
        </w:rPr>
        <w:t>On a pro forma basis, the 26% increase in subscription revenues was driven by growth in Paramount+ subscribers and pricing increases. Paramount+ subscribers increased 7.2 million, or 10%, compared with September 30, 2024, reflecting growth in both domestic and international subscribers.</w:t>
      </w:r>
    </w:p>
    <w:p>
      <w:pPr>
        <w:spacing w:after="0" w:line="175"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9"/>
          <w:szCs w:val="19"/>
          <w:color w:val="auto"/>
        </w:rPr>
        <w:t>During the third quarter of 2025, global Paramount+ subscribers increased 1.4 million, or 2%, to 79.1 million, compared with 77.7 million at June 30,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51"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9"/>
          <w:szCs w:val="19"/>
          <w:color w:val="auto"/>
        </w:rPr>
        <w:t>Content costs for the Successor period reflect a net reduction in programming assets resulting from the pushdown of the Ultimate Parent’s basis and ongoing investment in original programming.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during the 2025 periods benefited from the pro forma revenue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76" w:name="page77"/>
    <w:bookmarkEnd w:id="76"/>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2"/>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60" w:type="dxa"/>
            <w:vAlign w:val="bottom"/>
            <w:tcBorders>
              <w:top w:val="single" w:sz="8" w:color="auto"/>
              <w:bottom w:val="single" w:sz="8" w:color="auto"/>
              <w:right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3520" w:type="dxa"/>
            <w:vAlign w:val="bottom"/>
            <w:tcBorders>
              <w:top w:val="single" w:sz="8" w:color="auto"/>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2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2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3"/>
            <w:vMerge w:val="restart"/>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2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Ended September</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128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3"/>
            <w:vMerge w:val="restart"/>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20" w:type="dxa"/>
            <w:vAlign w:val="bottom"/>
          </w:tcPr>
          <w:p>
            <w:pPr>
              <w:spacing w:after="0"/>
              <w:rPr>
                <w:sz w:val="10"/>
                <w:szCs w:val="10"/>
                <w:color w:val="auto"/>
              </w:rPr>
            </w:pPr>
          </w:p>
        </w:tc>
        <w:tc>
          <w:tcPr>
            <w:tcW w:w="4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60" w:type="dxa"/>
            <w:vAlign w:val="bottom"/>
            <w:gridSpan w:val="5"/>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16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Borders>
              <w:bottom w:val="single" w:sz="8" w:color="auto"/>
            </w:tcBorders>
            <w:gridSpan w:val="2"/>
            <w:vMerge w:val="continue"/>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3"/>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60" w:type="dxa"/>
            <w:vAlign w:val="bottom"/>
            <w:tcBorders>
              <w:bottom w:val="single" w:sz="8" w:color="auto"/>
            </w:tcBorders>
            <w:gridSpan w:val="5"/>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Direct-to-Consumer</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Advertising</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01"/>
              <w:spacing w:after="0"/>
              <w:rPr>
                <w:sz w:val="20"/>
                <w:szCs w:val="20"/>
                <w:color w:val="auto"/>
              </w:rPr>
            </w:pPr>
            <w:r>
              <w:rPr>
                <w:rFonts w:ascii="Times New Roman" w:cs="Times New Roman" w:eastAsia="Times New Roman" w:hAnsi="Times New Roman"/>
                <w:sz w:val="16"/>
                <w:szCs w:val="16"/>
                <w:color w:val="auto"/>
                <w:w w:val="88"/>
              </w:rPr>
              <w:t>1,146</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1,446</w:t>
            </w: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8"/>
              </w:rPr>
              <w:t>1,540</w:t>
            </w:r>
          </w:p>
        </w:tc>
        <w:tc>
          <w:tcPr>
            <w:tcW w:w="240" w:type="dxa"/>
            <w:vAlign w:val="bottom"/>
          </w:tcPr>
          <w:p>
            <w:pPr>
              <w:spacing w:after="0"/>
              <w:rPr>
                <w:sz w:val="18"/>
                <w:szCs w:val="18"/>
                <w:color w:val="auto"/>
              </w:rPr>
            </w:pPr>
          </w:p>
        </w:tc>
        <w:tc>
          <w:tcPr>
            <w:tcW w:w="4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Subscription</w:t>
            </w:r>
          </w:p>
        </w:tc>
        <w:tc>
          <w:tcPr>
            <w:tcW w:w="420" w:type="dxa"/>
            <w:vAlign w:val="bottom"/>
          </w:tcPr>
          <w:p>
            <w:pPr>
              <w:spacing w:after="0"/>
              <w:rPr>
                <w:sz w:val="20"/>
                <w:szCs w:val="20"/>
                <w:color w:val="auto"/>
              </w:rPr>
            </w:pP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983</w:t>
            </w:r>
          </w:p>
        </w:tc>
        <w:tc>
          <w:tcPr>
            <w:tcW w:w="2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gridSpan w:val="2"/>
          </w:tcPr>
          <w:p>
            <w:pPr>
              <w:jc w:val="right"/>
              <w:ind w:right="401"/>
              <w:spacing w:after="0"/>
              <w:rPr>
                <w:sz w:val="20"/>
                <w:szCs w:val="20"/>
                <w:color w:val="auto"/>
              </w:rPr>
            </w:pPr>
            <w:r>
              <w:rPr>
                <w:rFonts w:ascii="Times New Roman" w:cs="Times New Roman" w:eastAsia="Times New Roman" w:hAnsi="Times New Roman"/>
                <w:sz w:val="16"/>
                <w:szCs w:val="16"/>
                <w:color w:val="auto"/>
                <w:w w:val="88"/>
              </w:rPr>
              <w:t>3,940</w:t>
            </w:r>
          </w:p>
        </w:tc>
        <w:tc>
          <w:tcPr>
            <w:tcW w:w="4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4,923</w:t>
            </w:r>
          </w:p>
        </w:tc>
        <w:tc>
          <w:tcPr>
            <w:tcW w:w="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8"/>
              </w:rPr>
              <w:t>4,069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854</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 xml:space="preserve">Licensing </w:t>
            </w:r>
            <w:r>
              <w:rPr>
                <w:rFonts w:ascii="Times New Roman" w:cs="Times New Roman" w:eastAsia="Times New Roman" w:hAnsi="Times New Roman"/>
                <w:sz w:val="20"/>
                <w:szCs w:val="20"/>
                <w:color w:val="auto"/>
                <w:vertAlign w:val="superscript"/>
              </w:rPr>
              <w:t>(b)</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2</w:t>
            </w:r>
          </w:p>
        </w:tc>
        <w:tc>
          <w:tcPr>
            <w:tcW w:w="6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20" w:type="dxa"/>
            <w:vAlign w:val="bottom"/>
          </w:tcPr>
          <w:p>
            <w:pPr>
              <w:spacing w:after="0"/>
              <w:rPr>
                <w:sz w:val="18"/>
                <w:szCs w:val="18"/>
                <w:color w:val="auto"/>
              </w:rPr>
            </w:pP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1,284</w:t>
            </w:r>
          </w:p>
        </w:tc>
        <w:tc>
          <w:tcPr>
            <w:tcW w:w="2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2"/>
          </w:tcPr>
          <w:p>
            <w:pPr>
              <w:jc w:val="right"/>
              <w:ind w:right="401"/>
              <w:spacing w:after="0"/>
              <w:rPr>
                <w:sz w:val="20"/>
                <w:szCs w:val="20"/>
                <w:color w:val="auto"/>
              </w:rPr>
            </w:pPr>
            <w:r>
              <w:rPr>
                <w:rFonts w:ascii="Times New Roman" w:cs="Times New Roman" w:eastAsia="Times New Roman" w:hAnsi="Times New Roman"/>
                <w:sz w:val="16"/>
                <w:szCs w:val="16"/>
                <w:color w:val="auto"/>
                <w:w w:val="88"/>
              </w:rPr>
              <w:t>5,087</w:t>
            </w:r>
          </w:p>
        </w:tc>
        <w:tc>
          <w:tcPr>
            <w:tcW w:w="4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6,371</w:t>
            </w: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8"/>
              </w:rPr>
              <w:t>5,619</w:t>
            </w:r>
          </w:p>
        </w:tc>
        <w:tc>
          <w:tcPr>
            <w:tcW w:w="240" w:type="dxa"/>
            <w:vAlign w:val="bottom"/>
          </w:tcPr>
          <w:p>
            <w:pPr>
              <w:spacing w:after="0"/>
              <w:rPr>
                <w:sz w:val="18"/>
                <w:szCs w:val="18"/>
                <w:color w:val="auto"/>
              </w:rPr>
            </w:pPr>
          </w:p>
        </w:tc>
        <w:tc>
          <w:tcPr>
            <w:tcW w:w="4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Content costs</w:t>
            </w:r>
          </w:p>
        </w:tc>
        <w:tc>
          <w:tcPr>
            <w:tcW w:w="420" w:type="dxa"/>
            <w:vAlign w:val="bottom"/>
          </w:tcPr>
          <w:p>
            <w:pPr>
              <w:spacing w:after="0"/>
              <w:rPr>
                <w:sz w:val="24"/>
                <w:szCs w:val="24"/>
                <w:color w:val="auto"/>
              </w:rPr>
            </w:pP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545</w:t>
            </w:r>
          </w:p>
        </w:tc>
        <w:tc>
          <w:tcPr>
            <w:tcW w:w="2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ind w:right="401"/>
              <w:spacing w:after="0"/>
              <w:rPr>
                <w:sz w:val="20"/>
                <w:szCs w:val="20"/>
                <w:color w:val="auto"/>
              </w:rPr>
            </w:pPr>
            <w:r>
              <w:rPr>
                <w:rFonts w:ascii="Times New Roman" w:cs="Times New Roman" w:eastAsia="Times New Roman" w:hAnsi="Times New Roman"/>
                <w:sz w:val="16"/>
                <w:szCs w:val="16"/>
                <w:color w:val="auto"/>
                <w:w w:val="88"/>
              </w:rPr>
              <w:t>2,712</w:t>
            </w:r>
          </w:p>
        </w:tc>
        <w:tc>
          <w:tcPr>
            <w:tcW w:w="4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420" w:type="dxa"/>
            <w:vAlign w:val="bottom"/>
          </w:tcPr>
          <w:p>
            <w:pPr>
              <w:spacing w:after="0"/>
              <w:rPr>
                <w:sz w:val="20"/>
                <w:szCs w:val="20"/>
                <w:color w:val="auto"/>
              </w:rPr>
            </w:pP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91"/>
              </w:rPr>
              <w:t>749</w:t>
            </w:r>
          </w:p>
        </w:tc>
        <w:tc>
          <w:tcPr>
            <w:tcW w:w="4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(c)</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351</w:t>
            </w:r>
          </w:p>
        </w:tc>
        <w:tc>
          <w:tcPr>
            <w:tcW w:w="26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6"/>
                <w:szCs w:val="16"/>
                <w:color w:val="auto"/>
                <w:w w:val="88"/>
              </w:rPr>
              <w:t>1,473</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420" w:type="dxa"/>
            <w:vAlign w:val="bottom"/>
          </w:tcPr>
          <w:p>
            <w:pPr>
              <w:spacing w:after="0"/>
              <w:rPr>
                <w:sz w:val="18"/>
                <w:szCs w:val="18"/>
                <w:color w:val="auto"/>
              </w:rPr>
            </w:pP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1,049</w:t>
            </w:r>
          </w:p>
        </w:tc>
        <w:tc>
          <w:tcPr>
            <w:tcW w:w="2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2"/>
          </w:tcPr>
          <w:p>
            <w:pPr>
              <w:jc w:val="right"/>
              <w:ind w:right="401"/>
              <w:spacing w:after="0"/>
              <w:rPr>
                <w:sz w:val="20"/>
                <w:szCs w:val="20"/>
                <w:color w:val="auto"/>
              </w:rPr>
            </w:pPr>
            <w:r>
              <w:rPr>
                <w:rFonts w:ascii="Times New Roman" w:cs="Times New Roman" w:eastAsia="Times New Roman" w:hAnsi="Times New Roman"/>
                <w:sz w:val="16"/>
                <w:szCs w:val="16"/>
                <w:color w:val="auto"/>
                <w:w w:val="88"/>
              </w:rPr>
              <w:t>4,934</w:t>
            </w:r>
          </w:p>
        </w:tc>
        <w:tc>
          <w:tcPr>
            <w:tcW w:w="4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Adjusted OIBDA</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235</w:t>
            </w:r>
          </w:p>
        </w:tc>
        <w:tc>
          <w:tcPr>
            <w:tcW w:w="2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91"/>
              </w:rPr>
              <w:t>153</w:t>
            </w:r>
          </w:p>
        </w:tc>
        <w:tc>
          <w:tcPr>
            <w:tcW w:w="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(211)</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7"/>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gridSpan w:val="2"/>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Predecessor</w:t>
            </w:r>
          </w:p>
        </w:tc>
        <w:tc>
          <w:tcPr>
            <w:tcW w:w="4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4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080" w:type="dxa"/>
            <w:vAlign w:val="bottom"/>
            <w:gridSpan w:val="4"/>
          </w:tcPr>
          <w:p>
            <w:pPr>
              <w:jc w:val="center"/>
              <w:ind w:left="14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740" w:type="dxa"/>
            <w:vAlign w:val="bottom"/>
            <w:gridSpan w:val="5"/>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Borders>
              <w:right w:val="single" w:sz="8" w:color="auto"/>
            </w:tcBorders>
            <w:gridSpan w:val="2"/>
            <w:vMerge w:val="restart"/>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260" w:type="dxa"/>
            <w:vAlign w:val="bottom"/>
          </w:tcPr>
          <w:p>
            <w:pPr>
              <w:spacing w:after="0"/>
              <w:rPr>
                <w:sz w:val="7"/>
                <w:szCs w:val="7"/>
                <w:color w:val="auto"/>
              </w:rPr>
            </w:pP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740" w:type="dxa"/>
            <w:vAlign w:val="bottom"/>
            <w:gridSpan w:val="5"/>
            <w:vMerge w:val="restart"/>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8"/>
              </w:rPr>
              <w:t>Ended September</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80" w:type="dxa"/>
            <w:vAlign w:val="bottom"/>
            <w:gridSpan w:val="5"/>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right w:val="single" w:sz="8" w:color="auto"/>
            </w:tcBorders>
            <w:gridSpan w:val="2"/>
            <w:vMerge w:val="restart"/>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0"/>
                <w:szCs w:val="10"/>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30,</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0" w:type="dxa"/>
            <w:vAlign w:val="bottom"/>
            <w:gridSpan w:val="6"/>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18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gridSpan w:val="2"/>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gridSpan w:val="6"/>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Paramount+ (Global)</w:t>
            </w:r>
          </w:p>
        </w:tc>
        <w:tc>
          <w:tcPr>
            <w:tcW w:w="1260" w:type="dxa"/>
            <w:vAlign w:val="bottom"/>
            <w:tcBorders>
              <w:right w:val="single" w:sz="8" w:color="auto"/>
            </w:tcBorders>
            <w:gridSpan w:val="2"/>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5"/>
                <w:szCs w:val="15"/>
                <w:color w:val="auto"/>
              </w:rPr>
            </w:pPr>
          </w:p>
        </w:tc>
        <w:tc>
          <w:tcPr>
            <w:tcW w:w="46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1,060</w:t>
            </w:r>
          </w:p>
        </w:tc>
        <w:tc>
          <w:tcPr>
            <w:tcW w:w="4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rPr>
              <w:t>4,332</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w w:val="91"/>
              </w:rPr>
              <w:t>894</w:t>
            </w:r>
          </w:p>
        </w:tc>
        <w:tc>
          <w:tcPr>
            <w:tcW w:w="86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0" w:right="240" w:hanging="238"/>
        <w:spacing w:after="0" w:line="262" w:lineRule="auto"/>
        <w:tabs>
          <w:tab w:leader="none" w:pos="37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Supplemental Pro Forma Revenues for the nine months ended September 30, 2025 reflect the combination of the Successor period and the Predecessor period from January 1 - August 6, 2025. While the Successor and Predecessor periods are distinct reporting periods, revenues were not impacted by the pushdown of the Ultimate Parent’s basis and are supplementally presented on a combined basis to help investors view these revenues in a manner consistent with our management.</w:t>
      </w:r>
    </w:p>
    <w:p>
      <w:pPr>
        <w:spacing w:after="0" w:line="53" w:lineRule="exact"/>
        <w:rPr>
          <w:rFonts w:ascii="Times New Roman" w:cs="Times New Roman" w:eastAsia="Times New Roman" w:hAnsi="Times New Roman"/>
          <w:sz w:val="16"/>
          <w:szCs w:val="16"/>
          <w:color w:val="auto"/>
        </w:rPr>
      </w:pPr>
    </w:p>
    <w:p>
      <w:pPr>
        <w:ind w:left="380" w:hanging="218"/>
        <w:spacing w:after="0"/>
        <w:tabs>
          <w:tab w:leader="none" w:pos="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revenues from the licensing of content rights acquired by BET+.</w:t>
      </w:r>
    </w:p>
    <w:p>
      <w:pPr>
        <w:spacing w:after="0" w:line="89" w:lineRule="exact"/>
        <w:rPr>
          <w:rFonts w:ascii="Times New Roman" w:cs="Times New Roman" w:eastAsia="Times New Roman" w:hAnsi="Times New Roman"/>
          <w:sz w:val="16"/>
          <w:szCs w:val="16"/>
          <w:color w:val="auto"/>
        </w:rPr>
      </w:pPr>
    </w:p>
    <w:p>
      <w:pPr>
        <w:ind w:left="400" w:right="300" w:hanging="238"/>
        <w:spacing w:after="0" w:line="271" w:lineRule="auto"/>
        <w:tabs>
          <w:tab w:leader="none" w:pos="37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6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 xml:space="preserve">Advertising revenues during the 2025 periods include the impact from new digital advertising entrants in the marketplace and in 2024 benefited from the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w:t>
      </w:r>
    </w:p>
    <w:p>
      <w:pPr>
        <w:spacing w:after="0" w:line="8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 xml:space="preserve">On a pro forma basis, the 6% decrease in advertising revenues includes the impact from new entrants to the digital market and a decrease of 3% from the comparison against revenues from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Subscription</w:t>
      </w:r>
    </w:p>
    <w:p>
      <w:pPr>
        <w:spacing w:after="0" w:line="151"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9"/>
          <w:szCs w:val="19"/>
          <w:color w:val="auto"/>
        </w:rPr>
        <w:t>Subscription revenues during the Successor and Predecessor periods in 2025 and 2024 benefited from growth in subscribers and pricing for Paramount+. The 21% growth on a pro forma basis reflects these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587" w:right="519" w:bottom="1440" w:gutter="0" w:footer="0" w:header="0"/>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 xml:space="preserve">Content costs for the Successor period reflect ongoing investment in original programming and a net reduction in programming assets resulting from the pushdown of the Ultimate Parent’s basis. The 2024 Predecessor period includes costs associated with our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 and Marketing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expenses for the Successor and Predecessor periods in 2025 include costs to promote Paramount+ original series.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9"/>
          <w:szCs w:val="19"/>
          <w:color w:val="auto"/>
        </w:rPr>
        <w:t>Other expenses for the Successor and Predecessor periods in 2025 include revenue sharing costs related to revenues for our streaming services, which increased on a pro forma basis.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during the 2025 periods benefited from the pro forma revenue growth.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228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right w:val="single" w:sz="8" w:color="auto"/>
            </w:tcBorders>
          </w:tcPr>
          <w:p>
            <w:pPr>
              <w:jc w:val="center"/>
              <w:ind w:right="421"/>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6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3120" w:type="dxa"/>
            <w:vAlign w:val="bottom"/>
            <w:tcBorders>
              <w:top w:val="single" w:sz="8" w:color="auto"/>
              <w:bottom w:val="single" w:sz="8" w:color="auto"/>
            </w:tcBorders>
            <w:gridSpan w:val="5"/>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660" w:type="dxa"/>
            <w:vAlign w:val="bottom"/>
            <w:tcBorders>
              <w:top w:val="single" w:sz="8" w:color="auto"/>
              <w:bottom w:val="single" w:sz="8" w:color="auto"/>
            </w:tcBorders>
          </w:tcPr>
          <w:p>
            <w:pPr>
              <w:spacing w:after="0"/>
              <w:rPr>
                <w:sz w:val="22"/>
                <w:szCs w:val="22"/>
                <w:color w:val="auto"/>
              </w:rPr>
            </w:pPr>
          </w:p>
        </w:tc>
      </w:tr>
      <w:tr>
        <w:trPr>
          <w:trHeight w:val="187"/>
        </w:trPr>
        <w:tc>
          <w:tcPr>
            <w:tcW w:w="2280" w:type="dxa"/>
            <w:vAlign w:val="bottom"/>
          </w:tcPr>
          <w:p>
            <w:pPr>
              <w:spacing w:after="0"/>
              <w:rPr>
                <w:sz w:val="16"/>
                <w:szCs w:val="16"/>
                <w:color w:val="auto"/>
              </w:rPr>
            </w:pPr>
          </w:p>
        </w:tc>
        <w:tc>
          <w:tcPr>
            <w:tcW w:w="1600" w:type="dxa"/>
            <w:vAlign w:val="bottom"/>
            <w:tcBorders>
              <w:right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6"/>
              </w:rPr>
              <w:t>Period From August</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 From July</w:t>
            </w:r>
          </w:p>
        </w:tc>
        <w:tc>
          <w:tcPr>
            <w:tcW w:w="160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00" w:type="dxa"/>
            <w:vAlign w:val="bottom"/>
          </w:tcPr>
          <w:p>
            <w:pPr>
              <w:spacing w:after="0"/>
              <w:rPr>
                <w:sz w:val="16"/>
                <w:szCs w:val="16"/>
                <w:color w:val="auto"/>
              </w:rPr>
            </w:pPr>
          </w:p>
        </w:tc>
        <w:tc>
          <w:tcPr>
            <w:tcW w:w="2420" w:type="dxa"/>
            <w:vAlign w:val="bottom"/>
            <w:gridSpan w:val="4"/>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40" w:type="dxa"/>
            <w:vAlign w:val="bottom"/>
          </w:tcPr>
          <w:p>
            <w:pPr>
              <w:spacing w:after="0"/>
              <w:rPr>
                <w:sz w:val="16"/>
                <w:szCs w:val="16"/>
                <w:color w:val="auto"/>
              </w:rPr>
            </w:pP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08"/>
        </w:trPr>
        <w:tc>
          <w:tcPr>
            <w:tcW w:w="2280" w:type="dxa"/>
            <w:vAlign w:val="bottom"/>
          </w:tcPr>
          <w:p>
            <w:pPr>
              <w:spacing w:after="0"/>
              <w:rPr>
                <w:sz w:val="18"/>
                <w:szCs w:val="18"/>
                <w:color w:val="auto"/>
              </w:rPr>
            </w:pPr>
          </w:p>
        </w:tc>
        <w:tc>
          <w:tcPr>
            <w:tcW w:w="1600" w:type="dxa"/>
            <w:vAlign w:val="bottom"/>
            <w:tcBorders>
              <w:right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7"/>
              </w:rPr>
              <w:t>7 - September 30,</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1 - August 6,</w:t>
            </w:r>
          </w:p>
        </w:tc>
        <w:tc>
          <w:tcPr>
            <w:tcW w:w="160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6"/>
              </w:rPr>
              <w:t>Increase/(Decrease)</w:t>
            </w:r>
          </w:p>
        </w:tc>
      </w:tr>
      <w:tr>
        <w:trPr>
          <w:trHeight w:val="31"/>
        </w:trPr>
        <w:tc>
          <w:tcPr>
            <w:tcW w:w="2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Filmed Entertainment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ind w:right="42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0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8"/>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Theatrical</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39</w:t>
            </w:r>
          </w:p>
        </w:tc>
        <w:tc>
          <w:tcPr>
            <w:tcW w:w="4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73</w:t>
            </w:r>
          </w:p>
        </w:tc>
        <w:tc>
          <w:tcPr>
            <w:tcW w:w="6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108</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108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36"/>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Licensing and other</w:t>
            </w:r>
          </w:p>
        </w:tc>
        <w:tc>
          <w:tcPr>
            <w:tcW w:w="380" w:type="dxa"/>
            <w:vAlign w:val="bottom"/>
          </w:tcPr>
          <w:p>
            <w:pPr>
              <w:spacing w:after="0"/>
              <w:rPr>
                <w:sz w:val="20"/>
                <w:szCs w:val="20"/>
                <w:color w:val="auto"/>
              </w:rPr>
            </w:pPr>
          </w:p>
        </w:tc>
        <w:tc>
          <w:tcPr>
            <w:tcW w:w="122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440</w:t>
            </w:r>
          </w:p>
        </w:tc>
        <w:tc>
          <w:tcPr>
            <w:tcW w:w="46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202</w:t>
            </w:r>
          </w:p>
        </w:tc>
        <w:tc>
          <w:tcPr>
            <w:tcW w:w="600" w:type="dxa"/>
            <w:vAlign w:val="bottom"/>
          </w:tcPr>
          <w:p>
            <w:pPr>
              <w:spacing w:after="0"/>
              <w:rPr>
                <w:sz w:val="20"/>
                <w:szCs w:val="20"/>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654</w:t>
            </w:r>
          </w:p>
        </w:tc>
        <w:tc>
          <w:tcPr>
            <w:tcW w:w="580" w:type="dxa"/>
            <w:vAlign w:val="bottom"/>
          </w:tcPr>
          <w:p>
            <w:pPr>
              <w:spacing w:after="0"/>
              <w:rPr>
                <w:sz w:val="20"/>
                <w:szCs w:val="20"/>
                <w:color w:val="auto"/>
              </w:rPr>
            </w:pP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689</w:t>
            </w:r>
          </w:p>
        </w:tc>
        <w:tc>
          <w:tcPr>
            <w:tcW w:w="240" w:type="dxa"/>
            <w:vAlign w:val="bottom"/>
          </w:tcPr>
          <w:p>
            <w:pPr>
              <w:spacing w:after="0"/>
              <w:rPr>
                <w:sz w:val="20"/>
                <w:szCs w:val="20"/>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(35)</w:t>
            </w:r>
          </w:p>
        </w:tc>
        <w:tc>
          <w:tcPr>
            <w:tcW w:w="6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w:t>
            </w:r>
          </w:p>
        </w:tc>
      </w:tr>
      <w:tr>
        <w:trPr>
          <w:trHeight w:val="254"/>
        </w:trPr>
        <w:tc>
          <w:tcPr>
            <w:tcW w:w="2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Advertising </w:t>
            </w:r>
            <w:r>
              <w:rPr>
                <w:rFonts w:ascii="Times New Roman" w:cs="Times New Roman" w:eastAsia="Times New Roman" w:hAnsi="Times New Roman"/>
                <w:sz w:val="20"/>
                <w:szCs w:val="20"/>
                <w:color w:val="auto"/>
                <w:vertAlign w:val="superscript"/>
              </w:rPr>
              <w:t>(b)</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5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tcPr>
          <w:p>
            <w:pPr>
              <w:spacing w:after="0"/>
              <w:rPr>
                <w:sz w:val="18"/>
                <w:szCs w:val="18"/>
                <w:color w:val="auto"/>
              </w:rPr>
            </w:pPr>
          </w:p>
        </w:tc>
        <w:tc>
          <w:tcPr>
            <w:tcW w:w="122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480</w:t>
            </w:r>
          </w:p>
        </w:tc>
        <w:tc>
          <w:tcPr>
            <w:tcW w:w="460" w:type="dxa"/>
            <w:vAlign w:val="bottom"/>
          </w:tcPr>
          <w:p>
            <w:pPr>
              <w:spacing w:after="0"/>
              <w:rPr>
                <w:sz w:val="18"/>
                <w:szCs w:val="18"/>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276</w:t>
            </w:r>
          </w:p>
        </w:tc>
        <w:tc>
          <w:tcPr>
            <w:tcW w:w="600" w:type="dxa"/>
            <w:vAlign w:val="bottom"/>
          </w:tcPr>
          <w:p>
            <w:pPr>
              <w:spacing w:after="0"/>
              <w:rPr>
                <w:sz w:val="18"/>
                <w:szCs w:val="18"/>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590</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768</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799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(31)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41"/>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Content costs</w:t>
            </w:r>
          </w:p>
        </w:tc>
        <w:tc>
          <w:tcPr>
            <w:tcW w:w="380" w:type="dxa"/>
            <w:vAlign w:val="bottom"/>
          </w:tcPr>
          <w:p>
            <w:pPr>
              <w:spacing w:after="0"/>
              <w:rPr>
                <w:sz w:val="24"/>
                <w:szCs w:val="24"/>
                <w:color w:val="auto"/>
              </w:rPr>
            </w:pPr>
          </w:p>
        </w:tc>
        <w:tc>
          <w:tcPr>
            <w:tcW w:w="122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337</w:t>
            </w:r>
          </w:p>
        </w:tc>
        <w:tc>
          <w:tcPr>
            <w:tcW w:w="460" w:type="dxa"/>
            <w:vAlign w:val="bottom"/>
          </w:tcPr>
          <w:p>
            <w:pPr>
              <w:spacing w:after="0"/>
              <w:rPr>
                <w:sz w:val="24"/>
                <w:szCs w:val="24"/>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131</w:t>
            </w:r>
          </w:p>
        </w:tc>
        <w:tc>
          <w:tcPr>
            <w:tcW w:w="600" w:type="dxa"/>
            <w:vAlign w:val="bottom"/>
          </w:tcPr>
          <w:p>
            <w:pPr>
              <w:spacing w:after="0"/>
              <w:rPr>
                <w:sz w:val="24"/>
                <w:szCs w:val="24"/>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6"/>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380" w:type="dxa"/>
            <w:vAlign w:val="bottom"/>
          </w:tcPr>
          <w:p>
            <w:pPr>
              <w:spacing w:after="0"/>
              <w:rPr>
                <w:sz w:val="20"/>
                <w:szCs w:val="20"/>
                <w:color w:val="auto"/>
              </w:rPr>
            </w:pPr>
          </w:p>
        </w:tc>
        <w:tc>
          <w:tcPr>
            <w:tcW w:w="122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54</w:t>
            </w:r>
          </w:p>
        </w:tc>
        <w:tc>
          <w:tcPr>
            <w:tcW w:w="46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106</w:t>
            </w:r>
          </w:p>
        </w:tc>
        <w:tc>
          <w:tcPr>
            <w:tcW w:w="600" w:type="dxa"/>
            <w:vAlign w:val="bottom"/>
          </w:tcPr>
          <w:p>
            <w:pPr>
              <w:spacing w:after="0"/>
              <w:rPr>
                <w:sz w:val="20"/>
                <w:szCs w:val="20"/>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4"/>
        </w:trPr>
        <w:tc>
          <w:tcPr>
            <w:tcW w:w="2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(c)</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102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75</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1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380" w:type="dxa"/>
            <w:vAlign w:val="bottom"/>
          </w:tcPr>
          <w:p>
            <w:pPr>
              <w:spacing w:after="0"/>
              <w:rPr>
                <w:sz w:val="18"/>
                <w:szCs w:val="18"/>
                <w:color w:val="auto"/>
              </w:rPr>
            </w:pPr>
          </w:p>
        </w:tc>
        <w:tc>
          <w:tcPr>
            <w:tcW w:w="122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493</w:t>
            </w:r>
          </w:p>
        </w:tc>
        <w:tc>
          <w:tcPr>
            <w:tcW w:w="460" w:type="dxa"/>
            <w:vAlign w:val="bottom"/>
          </w:tcPr>
          <w:p>
            <w:pPr>
              <w:spacing w:after="0"/>
              <w:rPr>
                <w:sz w:val="18"/>
                <w:szCs w:val="18"/>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312</w:t>
            </w:r>
          </w:p>
        </w:tc>
        <w:tc>
          <w:tcPr>
            <w:tcW w:w="600" w:type="dxa"/>
            <w:vAlign w:val="bottom"/>
          </w:tcPr>
          <w:p>
            <w:pPr>
              <w:spacing w:after="0"/>
              <w:rPr>
                <w:sz w:val="18"/>
                <w:szCs w:val="18"/>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12"/>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Adjusted OIBDA</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right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(13)</w:t>
            </w:r>
          </w:p>
        </w:tc>
        <w:tc>
          <w:tcPr>
            <w:tcW w:w="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(36)</w:t>
            </w:r>
          </w:p>
        </w:tc>
        <w:tc>
          <w:tcPr>
            <w:tcW w:w="6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pacing w:after="0" w:line="157" w:lineRule="exact"/>
        <w:rPr>
          <w:sz w:val="20"/>
          <w:szCs w:val="20"/>
          <w:color w:val="auto"/>
        </w:rPr>
      </w:pPr>
    </w:p>
    <w:p>
      <w:pPr>
        <w:ind w:left="400" w:right="320" w:hanging="238"/>
        <w:spacing w:after="0" w:line="271" w:lineRule="auto"/>
        <w:tabs>
          <w:tab w:leader="none" w:pos="378"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Supplemental Pro Forma Revenues for the three months ended September 30, 2025 reflect the combination of the Successor period with the Predecessor period from July 1 - August 6, 2025, and for Licensing and other and total Revenues also include pro forma adjustments to include Skydance revenues after the elimination of intercompany revenues from Paramount Global during the Predecessor period. While the Successor and Predecessor periods are distinct reporting periods, revenues were not impacted by the pushdown of the Ultimate Parent’s basis and are supplementally presented on a pro forma combined basis to help investors view revenues in a manner consistent with our management. See </w:t>
      </w:r>
      <w:r>
        <w:rPr>
          <w:rFonts w:ascii="Times New Roman" w:cs="Times New Roman" w:eastAsia="Times New Roman" w:hAnsi="Times New Roman"/>
          <w:sz w:val="15"/>
          <w:szCs w:val="15"/>
          <w:i w:val="1"/>
          <w:iCs w:val="1"/>
          <w:color w:val="auto"/>
        </w:rPr>
        <w:t>Supplemental Pro Forma Revenues</w:t>
      </w:r>
      <w:r>
        <w:rPr>
          <w:rFonts w:ascii="Times New Roman" w:cs="Times New Roman" w:eastAsia="Times New Roman" w:hAnsi="Times New Roman"/>
          <w:sz w:val="15"/>
          <w:szCs w:val="15"/>
          <w:color w:val="auto"/>
        </w:rPr>
        <w:t xml:space="preserve"> for calculations of these pro forma revenue amounts.</w:t>
      </w:r>
    </w:p>
    <w:p>
      <w:pPr>
        <w:spacing w:after="0" w:line="46" w:lineRule="exact"/>
        <w:rPr>
          <w:rFonts w:ascii="Times New Roman" w:cs="Times New Roman" w:eastAsia="Times New Roman" w:hAnsi="Times New Roman"/>
          <w:sz w:val="15"/>
          <w:szCs w:val="15"/>
          <w:color w:val="auto"/>
        </w:rPr>
      </w:pPr>
    </w:p>
    <w:p>
      <w:pPr>
        <w:ind w:left="380" w:hanging="218"/>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Primarily reflects advertising revenues earned from the use of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content on third-party digital platforms.</w:t>
      </w:r>
    </w:p>
    <w:p>
      <w:pPr>
        <w:spacing w:after="0" w:line="104" w:lineRule="exact"/>
        <w:rPr>
          <w:rFonts w:ascii="Times New Roman" w:cs="Times New Roman" w:eastAsia="Times New Roman" w:hAnsi="Times New Roman"/>
          <w:sz w:val="16"/>
          <w:szCs w:val="16"/>
          <w:color w:val="auto"/>
        </w:rPr>
      </w:pPr>
    </w:p>
    <w:p>
      <w:pPr>
        <w:ind w:left="400" w:right="400" w:hanging="238"/>
        <w:spacing w:after="0" w:line="271" w:lineRule="auto"/>
        <w:tabs>
          <w:tab w:leader="none" w:pos="37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4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9"/>
          <w:szCs w:val="19"/>
          <w:color w:val="auto"/>
        </w:rPr>
        <w:t xml:space="preserve">Theatrical revenues in the 2025 periods benefited from the third quarter 2025 releases of </w:t>
      </w:r>
      <w:r>
        <w:rPr>
          <w:rFonts w:ascii="Times New Roman" w:cs="Times New Roman" w:eastAsia="Times New Roman" w:hAnsi="Times New Roman"/>
          <w:sz w:val="19"/>
          <w:szCs w:val="19"/>
          <w:i w:val="1"/>
          <w:iCs w:val="1"/>
          <w:color w:val="auto"/>
        </w:rPr>
        <w:t>The Naked Gun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Smurfs</w:t>
      </w:r>
      <w:r>
        <w:rPr>
          <w:rFonts w:ascii="Times New Roman" w:cs="Times New Roman" w:eastAsia="Times New Roman" w:hAnsi="Times New Roman"/>
          <w:sz w:val="19"/>
          <w:szCs w:val="19"/>
          <w:color w:val="auto"/>
        </w:rPr>
        <w:t xml:space="preserve">, and for the 2025 Predecessor period also benefited from the second quarter 2025 release of </w:t>
      </w:r>
      <w:r>
        <w:rPr>
          <w:rFonts w:ascii="Times New Roman" w:cs="Times New Roman" w:eastAsia="Times New Roman" w:hAnsi="Times New Roman"/>
          <w:sz w:val="19"/>
          <w:szCs w:val="19"/>
          <w:i w:val="1"/>
          <w:iCs w:val="1"/>
          <w:color w:val="auto"/>
        </w:rPr>
        <w:t>Mission: Impossible-The Final Reckoning</w:t>
      </w:r>
      <w:r>
        <w:rPr>
          <w:rFonts w:ascii="Times New Roman" w:cs="Times New Roman" w:eastAsia="Times New Roman" w:hAnsi="Times New Roman"/>
          <w:sz w:val="19"/>
          <w:szCs w:val="19"/>
          <w:color w:val="auto"/>
        </w:rPr>
        <w:t xml:space="preserve">. Theatrical revenues during the three months ended September 30, 2024 included revenues from the releases of </w:t>
      </w:r>
      <w:r>
        <w:rPr>
          <w:rFonts w:ascii="Times New Roman" w:cs="Times New Roman" w:eastAsia="Times New Roman" w:hAnsi="Times New Roman"/>
          <w:sz w:val="19"/>
          <w:szCs w:val="19"/>
          <w:i w:val="1"/>
          <w:iCs w:val="1"/>
          <w:color w:val="auto"/>
        </w:rPr>
        <w:t>A Quiet Place: Day One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Transformers One.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Licensing and other revenues during the Successor period include Skydance revenues.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51"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Content costs for the Successor period include costs associated with Skydance’s content and reflect the pushdown of the Ultimate Parent’s basis, which resulted in an increase in the value of library content.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 and Marketing</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 xml:space="preserve">Advertising and marketing expenses for the 2025 Successor period primarily reflects marketing costs for fourth quarter releases, and for the 2025 Predecessor period primarily reflect marketing costs associated with the releases of </w:t>
      </w:r>
      <w:r>
        <w:rPr>
          <w:rFonts w:ascii="Times New Roman" w:cs="Times New Roman" w:eastAsia="Times New Roman" w:hAnsi="Times New Roman"/>
          <w:sz w:val="19"/>
          <w:szCs w:val="19"/>
          <w:i w:val="1"/>
          <w:iCs w:val="1"/>
          <w:color w:val="auto"/>
        </w:rPr>
        <w:t>Smurfs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The Naked Gun</w:t>
      </w:r>
      <w:r>
        <w:rPr>
          <w:rFonts w:ascii="Times New Roman" w:cs="Times New Roman" w:eastAsia="Times New Roman" w:hAnsi="Times New Roman"/>
          <w:sz w:val="19"/>
          <w:szCs w:val="19"/>
          <w:color w:val="auto"/>
        </w:rPr>
        <w:t xml:space="preserve"> in 2025. Advertising and marketing expenses for the three months ended September 30, 2024 primarily reflected costs associated with the third quarter release of </w:t>
      </w:r>
      <w:r>
        <w:rPr>
          <w:rFonts w:ascii="Times New Roman" w:cs="Times New Roman" w:eastAsia="Times New Roman" w:hAnsi="Times New Roman"/>
          <w:sz w:val="19"/>
          <w:szCs w:val="19"/>
          <w:i w:val="1"/>
          <w:iCs w:val="1"/>
          <w:color w:val="auto"/>
        </w:rPr>
        <w:t xml:space="preserve">Transformers One </w:t>
      </w:r>
      <w:r>
        <w:rPr>
          <w:rFonts w:ascii="Times New Roman" w:cs="Times New Roman" w:eastAsia="Times New Roman" w:hAnsi="Times New Roman"/>
          <w:sz w:val="19"/>
          <w:szCs w:val="19"/>
          <w:color w:val="auto"/>
        </w:rPr>
        <w:t>and for fourth quarter 2024 releases.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9"/>
          <w:szCs w:val="19"/>
          <w:color w:val="auto"/>
        </w:rPr>
        <w:t>Adjusted OIBDA for the Successor period reflects the impacts from the addition of Skydance and the pushdown of the Ultimate Parent’s basis, and for the Predecessor period in 2025 reflects the impact from recent theatrical releases</w:t>
      </w:r>
      <w:r>
        <w:rPr>
          <w:rFonts w:ascii="Times New Roman" w:cs="Times New Roman" w:eastAsia="Times New Roman" w:hAnsi="Times New Roman"/>
          <w:sz w:val="19"/>
          <w:szCs w:val="19"/>
          <w:i w:val="1"/>
          <w:iCs w:val="1"/>
          <w:color w:val="auto"/>
        </w:rPr>
        <w:t>.</w:t>
      </w:r>
    </w:p>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 xml:space="preserve">Fluctuations in results for the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may occur as a result of the timing of the recognition of distribution costs, including marketing costs, which are generally incurred before and throughout the theatrical release of a film, while the revenues for the respective film are recognized as earned through the film’s theatrical exhibition and distribution to other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2920" w:type="dxa"/>
            <w:vAlign w:val="bottom"/>
            <w:tcBorders>
              <w:top w:val="single" w:sz="8" w:color="auto"/>
            </w:tcBorders>
          </w:tcPr>
          <w:p>
            <w:pPr>
              <w:spacing w:after="0"/>
              <w:rPr>
                <w:sz w:val="22"/>
                <w:szCs w:val="22"/>
                <w:color w:val="auto"/>
              </w:rPr>
            </w:pPr>
          </w:p>
        </w:tc>
        <w:tc>
          <w:tcPr>
            <w:tcW w:w="1420" w:type="dxa"/>
            <w:vAlign w:val="bottom"/>
            <w:tcBorders>
              <w:top w:val="single" w:sz="8" w:color="auto"/>
              <w:bottom w:val="single" w:sz="8" w:color="auto"/>
              <w:right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4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980" w:type="dxa"/>
            <w:vAlign w:val="bottom"/>
            <w:tcBorders>
              <w:top w:val="single" w:sz="8" w:color="auto"/>
              <w:bottom w:val="single" w:sz="8" w:color="auto"/>
            </w:tcBorders>
            <w:gridSpan w:val="5"/>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Revenues </w:t>
            </w:r>
            <w:r>
              <w:rPr>
                <w:rFonts w:ascii="Times New Roman" w:cs="Times New Roman" w:eastAsia="Times New Roman" w:hAnsi="Times New Roman"/>
                <w:sz w:val="20"/>
                <w:szCs w:val="20"/>
                <w:b w:val="1"/>
                <w:bCs w:val="1"/>
                <w:color w:val="auto"/>
                <w:vertAlign w:val="superscript"/>
              </w:rPr>
              <w:t>(a)</w:t>
            </w:r>
          </w:p>
        </w:tc>
        <w:tc>
          <w:tcPr>
            <w:tcW w:w="5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920" w:type="dxa"/>
            <w:vAlign w:val="bottom"/>
          </w:tcPr>
          <w:p>
            <w:pPr>
              <w:spacing w:after="0"/>
              <w:rPr>
                <w:sz w:val="17"/>
                <w:szCs w:val="17"/>
                <w:color w:val="auto"/>
              </w:rPr>
            </w:pPr>
          </w:p>
        </w:tc>
        <w:tc>
          <w:tcPr>
            <w:tcW w:w="1420" w:type="dxa"/>
            <w:vAlign w:val="bottom"/>
            <w:tcBorders>
              <w:right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7"/>
                <w:szCs w:val="17"/>
                <w:color w:val="auto"/>
              </w:rPr>
            </w:pPr>
          </w:p>
        </w:tc>
        <w:tc>
          <w:tcPr>
            <w:tcW w:w="2240" w:type="dxa"/>
            <w:vAlign w:val="bottom"/>
            <w:gridSpan w:val="4"/>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w:t>
            </w:r>
          </w:p>
        </w:tc>
        <w:tc>
          <w:tcPr>
            <w:tcW w:w="280" w:type="dxa"/>
            <w:vAlign w:val="bottom"/>
          </w:tcPr>
          <w:p>
            <w:pPr>
              <w:spacing w:after="0"/>
              <w:rPr>
                <w:sz w:val="17"/>
                <w:szCs w:val="17"/>
                <w:color w:val="auto"/>
              </w:rPr>
            </w:pPr>
          </w:p>
        </w:tc>
        <w:tc>
          <w:tcPr>
            <w:tcW w:w="130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92"/>
        </w:trPr>
        <w:tc>
          <w:tcPr>
            <w:tcW w:w="2920" w:type="dxa"/>
            <w:vAlign w:val="bottom"/>
          </w:tcPr>
          <w:p>
            <w:pPr>
              <w:spacing w:after="0"/>
              <w:rPr>
                <w:sz w:val="7"/>
                <w:szCs w:val="7"/>
                <w:color w:val="auto"/>
              </w:rPr>
            </w:pPr>
          </w:p>
        </w:tc>
        <w:tc>
          <w:tcPr>
            <w:tcW w:w="1420" w:type="dxa"/>
            <w:vAlign w:val="bottom"/>
            <w:tcBorders>
              <w:right w:val="single" w:sz="8" w:color="auto"/>
            </w:tcBorders>
            <w:gridSpan w:val="2"/>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Ended September</w:t>
            </w:r>
          </w:p>
        </w:tc>
        <w:tc>
          <w:tcPr>
            <w:tcW w:w="100" w:type="dxa"/>
            <w:vAlign w:val="bottom"/>
          </w:tcPr>
          <w:p>
            <w:pPr>
              <w:spacing w:after="0"/>
              <w:rPr>
                <w:sz w:val="7"/>
                <w:szCs w:val="7"/>
                <w:color w:val="auto"/>
              </w:rPr>
            </w:pPr>
          </w:p>
        </w:tc>
        <w:tc>
          <w:tcPr>
            <w:tcW w:w="224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920" w:type="dxa"/>
            <w:vAlign w:val="bottom"/>
          </w:tcPr>
          <w:p>
            <w:pPr>
              <w:spacing w:after="0"/>
              <w:rPr>
                <w:sz w:val="7"/>
                <w:szCs w:val="7"/>
                <w:color w:val="auto"/>
              </w:rPr>
            </w:pPr>
          </w:p>
        </w:tc>
        <w:tc>
          <w:tcPr>
            <w:tcW w:w="1420" w:type="dxa"/>
            <w:vAlign w:val="bottom"/>
            <w:tcBorders>
              <w:right w:val="single" w:sz="8" w:color="auto"/>
            </w:tcBorders>
            <w:gridSpan w:val="2"/>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240" w:type="dxa"/>
            <w:vAlign w:val="bottom"/>
            <w:gridSpan w:val="4"/>
            <w:vMerge w:val="continue"/>
          </w:tcPr>
          <w:p>
            <w:pPr>
              <w:spacing w:after="0"/>
              <w:rPr>
                <w:sz w:val="7"/>
                <w:szCs w:val="7"/>
                <w:color w:val="auto"/>
              </w:rPr>
            </w:pPr>
          </w:p>
        </w:tc>
        <w:tc>
          <w:tcPr>
            <w:tcW w:w="158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16"/>
        </w:trPr>
        <w:tc>
          <w:tcPr>
            <w:tcW w:w="2920" w:type="dxa"/>
            <w:vAlign w:val="bottom"/>
          </w:tcPr>
          <w:p>
            <w:pPr>
              <w:spacing w:after="0"/>
              <w:rPr>
                <w:sz w:val="10"/>
                <w:szCs w:val="10"/>
                <w:color w:val="auto"/>
              </w:rPr>
            </w:pPr>
          </w:p>
        </w:tc>
        <w:tc>
          <w:tcPr>
            <w:tcW w:w="1420" w:type="dxa"/>
            <w:vAlign w:val="bottom"/>
            <w:tcBorders>
              <w:right w:val="single" w:sz="8" w:color="auto"/>
            </w:tcBorders>
            <w:gridSpan w:val="2"/>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560" w:type="dxa"/>
            <w:vAlign w:val="bottom"/>
          </w:tcPr>
          <w:p>
            <w:pPr>
              <w:spacing w:after="0"/>
              <w:rPr>
                <w:sz w:val="10"/>
                <w:szCs w:val="10"/>
                <w:color w:val="auto"/>
              </w:rPr>
            </w:pPr>
          </w:p>
        </w:tc>
        <w:tc>
          <w:tcPr>
            <w:tcW w:w="88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30,</w:t>
            </w:r>
          </w:p>
        </w:tc>
        <w:tc>
          <w:tcPr>
            <w:tcW w:w="80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1420" w:type="dxa"/>
            <w:vAlign w:val="bottom"/>
            <w:tcBorders>
              <w:bottom w:val="single" w:sz="8" w:color="auto"/>
              <w:right w:val="single" w:sz="8" w:color="auto"/>
            </w:tcBorders>
            <w:gridSpan w:val="2"/>
            <w:vMerge w:val="continue"/>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Filmed Entertainment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44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Theatrical</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39</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475</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399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514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399</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115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36"/>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Licensing and other</w:t>
            </w:r>
          </w:p>
        </w:tc>
        <w:tc>
          <w:tcPr>
            <w:tcW w:w="420" w:type="dxa"/>
            <w:vAlign w:val="bottom"/>
          </w:tcPr>
          <w:p>
            <w:pPr>
              <w:spacing w:after="0"/>
              <w:rPr>
                <w:sz w:val="20"/>
                <w:szCs w:val="20"/>
                <w:color w:val="auto"/>
              </w:rPr>
            </w:pPr>
          </w:p>
        </w:tc>
        <w:tc>
          <w:tcPr>
            <w:tcW w:w="1000" w:type="dxa"/>
            <w:vAlign w:val="bottom"/>
            <w:tcBorders>
              <w:right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440</w:t>
            </w:r>
          </w:p>
        </w:tc>
        <w:tc>
          <w:tcPr>
            <w:tcW w:w="440" w:type="dxa"/>
            <w:vAlign w:val="bottom"/>
          </w:tcPr>
          <w:p>
            <w:pPr>
              <w:spacing w:after="0"/>
              <w:rPr>
                <w:sz w:val="20"/>
                <w:szCs w:val="20"/>
                <w:color w:val="auto"/>
              </w:rPr>
            </w:pPr>
          </w:p>
        </w:tc>
        <w:tc>
          <w:tcPr>
            <w:tcW w:w="8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1,112</w:t>
            </w:r>
          </w:p>
        </w:tc>
        <w:tc>
          <w:tcPr>
            <w:tcW w:w="560" w:type="dxa"/>
            <w:vAlign w:val="bottom"/>
          </w:tcPr>
          <w:p>
            <w:pPr>
              <w:spacing w:after="0"/>
              <w:rPr>
                <w:sz w:val="20"/>
                <w:szCs w:val="20"/>
                <w:color w:val="auto"/>
              </w:rPr>
            </w:pPr>
          </w:p>
        </w:tc>
        <w:tc>
          <w:tcPr>
            <w:tcW w:w="8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2,055</w:t>
            </w:r>
          </w:p>
        </w:tc>
        <w:tc>
          <w:tcPr>
            <w:tcW w:w="540" w:type="dxa"/>
            <w:vAlign w:val="bottom"/>
          </w:tcPr>
          <w:p>
            <w:pPr>
              <w:spacing w:after="0"/>
              <w:rPr>
                <w:sz w:val="20"/>
                <w:szCs w:val="20"/>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1,920</w:t>
            </w:r>
          </w:p>
        </w:tc>
        <w:tc>
          <w:tcPr>
            <w:tcW w:w="280" w:type="dxa"/>
            <w:vAlign w:val="bottom"/>
          </w:tcPr>
          <w:p>
            <w:pPr>
              <w:spacing w:after="0"/>
              <w:rPr>
                <w:sz w:val="20"/>
                <w:szCs w:val="20"/>
                <w:color w:val="auto"/>
              </w:rPr>
            </w:pPr>
          </w:p>
        </w:tc>
        <w:tc>
          <w:tcPr>
            <w:tcW w:w="7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135</w:t>
            </w:r>
          </w:p>
        </w:tc>
        <w:tc>
          <w:tcPr>
            <w:tcW w:w="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4"/>
        </w:trPr>
        <w:tc>
          <w:tcPr>
            <w:tcW w:w="2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Advertising </w:t>
            </w:r>
            <w:r>
              <w:rPr>
                <w:rFonts w:ascii="Times New Roman" w:cs="Times New Roman" w:eastAsia="Times New Roman" w:hAnsi="Times New Roman"/>
                <w:sz w:val="20"/>
                <w:szCs w:val="20"/>
                <w:color w:val="auto"/>
                <w:vertAlign w:val="superscript"/>
              </w:rPr>
              <w:t>(b)</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6</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20" w:type="dxa"/>
            <w:vAlign w:val="bottom"/>
          </w:tcPr>
          <w:p>
            <w:pPr>
              <w:spacing w:after="0"/>
              <w:rPr>
                <w:sz w:val="18"/>
                <w:szCs w:val="18"/>
                <w:color w:val="auto"/>
              </w:rPr>
            </w:pPr>
          </w:p>
        </w:tc>
        <w:tc>
          <w:tcPr>
            <w:tcW w:w="1000" w:type="dxa"/>
            <w:vAlign w:val="bottom"/>
            <w:tcBorders>
              <w:right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480</w:t>
            </w:r>
          </w:p>
        </w:tc>
        <w:tc>
          <w:tcPr>
            <w:tcW w:w="440" w:type="dxa"/>
            <w:vAlign w:val="bottom"/>
          </w:tcPr>
          <w:p>
            <w:pPr>
              <w:spacing w:after="0"/>
              <w:rPr>
                <w:sz w:val="18"/>
                <w:szCs w:val="18"/>
                <w:color w:val="auto"/>
              </w:rPr>
            </w:pPr>
          </w:p>
        </w:tc>
        <w:tc>
          <w:tcPr>
            <w:tcW w:w="8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1,593</w:t>
            </w:r>
          </w:p>
        </w:tc>
        <w:tc>
          <w:tcPr>
            <w:tcW w:w="560" w:type="dxa"/>
            <w:vAlign w:val="bottom"/>
          </w:tcPr>
          <w:p>
            <w:pPr>
              <w:spacing w:after="0"/>
              <w:rPr>
                <w:sz w:val="18"/>
                <w:szCs w:val="18"/>
                <w:color w:val="auto"/>
              </w:rPr>
            </w:pPr>
          </w:p>
        </w:tc>
        <w:tc>
          <w:tcPr>
            <w:tcW w:w="8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1,874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2,576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2,329</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247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328"/>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Content costs</w:t>
            </w:r>
          </w:p>
        </w:tc>
        <w:tc>
          <w:tcPr>
            <w:tcW w:w="420" w:type="dxa"/>
            <w:vAlign w:val="bottom"/>
          </w:tcPr>
          <w:p>
            <w:pPr>
              <w:spacing w:after="0"/>
              <w:rPr>
                <w:sz w:val="24"/>
                <w:szCs w:val="24"/>
                <w:color w:val="auto"/>
              </w:rPr>
            </w:pPr>
          </w:p>
        </w:tc>
        <w:tc>
          <w:tcPr>
            <w:tcW w:w="1000" w:type="dxa"/>
            <w:vAlign w:val="bottom"/>
            <w:tcBorders>
              <w:right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337</w:t>
            </w:r>
          </w:p>
        </w:tc>
        <w:tc>
          <w:tcPr>
            <w:tcW w:w="440" w:type="dxa"/>
            <w:vAlign w:val="bottom"/>
          </w:tcPr>
          <w:p>
            <w:pPr>
              <w:spacing w:after="0"/>
              <w:rPr>
                <w:sz w:val="24"/>
                <w:szCs w:val="24"/>
                <w:color w:val="auto"/>
              </w:rPr>
            </w:pPr>
          </w:p>
        </w:tc>
        <w:tc>
          <w:tcPr>
            <w:tcW w:w="8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846</w:t>
            </w:r>
          </w:p>
        </w:tc>
        <w:tc>
          <w:tcPr>
            <w:tcW w:w="560" w:type="dxa"/>
            <w:vAlign w:val="bottom"/>
          </w:tcPr>
          <w:p>
            <w:pPr>
              <w:spacing w:after="0"/>
              <w:rPr>
                <w:sz w:val="24"/>
                <w:szCs w:val="24"/>
                <w:color w:val="auto"/>
              </w:rPr>
            </w:pPr>
          </w:p>
        </w:tc>
        <w:tc>
          <w:tcPr>
            <w:tcW w:w="8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420" w:type="dxa"/>
            <w:vAlign w:val="bottom"/>
          </w:tcPr>
          <w:p>
            <w:pPr>
              <w:spacing w:after="0"/>
              <w:rPr>
                <w:sz w:val="20"/>
                <w:szCs w:val="20"/>
                <w:color w:val="auto"/>
              </w:rPr>
            </w:pPr>
          </w:p>
        </w:tc>
        <w:tc>
          <w:tcPr>
            <w:tcW w:w="1000" w:type="dxa"/>
            <w:vAlign w:val="bottom"/>
            <w:tcBorders>
              <w:right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54</w:t>
            </w:r>
          </w:p>
        </w:tc>
        <w:tc>
          <w:tcPr>
            <w:tcW w:w="440" w:type="dxa"/>
            <w:vAlign w:val="bottom"/>
          </w:tcPr>
          <w:p>
            <w:pPr>
              <w:spacing w:after="0"/>
              <w:rPr>
                <w:sz w:val="20"/>
                <w:szCs w:val="20"/>
                <w:color w:val="auto"/>
              </w:rPr>
            </w:pPr>
          </w:p>
        </w:tc>
        <w:tc>
          <w:tcPr>
            <w:tcW w:w="8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417</w:t>
            </w:r>
          </w:p>
        </w:tc>
        <w:tc>
          <w:tcPr>
            <w:tcW w:w="560" w:type="dxa"/>
            <w:vAlign w:val="bottom"/>
          </w:tcPr>
          <w:p>
            <w:pPr>
              <w:spacing w:after="0"/>
              <w:rPr>
                <w:sz w:val="20"/>
                <w:szCs w:val="20"/>
                <w:color w:val="auto"/>
              </w:rPr>
            </w:pPr>
          </w:p>
        </w:tc>
        <w:tc>
          <w:tcPr>
            <w:tcW w:w="8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(c)</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102</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430</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420" w:type="dxa"/>
            <w:vAlign w:val="bottom"/>
          </w:tcPr>
          <w:p>
            <w:pPr>
              <w:spacing w:after="0"/>
              <w:rPr>
                <w:sz w:val="18"/>
                <w:szCs w:val="18"/>
                <w:color w:val="auto"/>
              </w:rPr>
            </w:pPr>
          </w:p>
        </w:tc>
        <w:tc>
          <w:tcPr>
            <w:tcW w:w="1000" w:type="dxa"/>
            <w:vAlign w:val="bottom"/>
            <w:tcBorders>
              <w:right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493</w:t>
            </w:r>
          </w:p>
        </w:tc>
        <w:tc>
          <w:tcPr>
            <w:tcW w:w="440" w:type="dxa"/>
            <w:vAlign w:val="bottom"/>
          </w:tcPr>
          <w:p>
            <w:pPr>
              <w:spacing w:after="0"/>
              <w:rPr>
                <w:sz w:val="18"/>
                <w:szCs w:val="18"/>
                <w:color w:val="auto"/>
              </w:rPr>
            </w:pPr>
          </w:p>
        </w:tc>
        <w:tc>
          <w:tcPr>
            <w:tcW w:w="8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1,693</w:t>
            </w:r>
          </w:p>
        </w:tc>
        <w:tc>
          <w:tcPr>
            <w:tcW w:w="560" w:type="dxa"/>
            <w:vAlign w:val="bottom"/>
          </w:tcPr>
          <w:p>
            <w:pPr>
              <w:spacing w:after="0"/>
              <w:rPr>
                <w:sz w:val="18"/>
                <w:szCs w:val="18"/>
                <w:color w:val="auto"/>
              </w:rPr>
            </w:pPr>
          </w:p>
        </w:tc>
        <w:tc>
          <w:tcPr>
            <w:tcW w:w="8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OIBDA</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right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(13)</w:t>
            </w: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(100)</w:t>
            </w: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20" w:right="420" w:hanging="236"/>
        <w:spacing w:after="0" w:line="276" w:lineRule="auto"/>
        <w:tabs>
          <w:tab w:leader="none" w:pos="298"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Supplemental Pro Forma Revenues for the nine months ended September 30, 2025 reflect the combination of the Successor period with the Predecessor period from January 1 - August 6, 2025, and for Licensing and other and total Revenues also include pro forma adjustments to include Skydance revenues after the elimination of intercompany revenues from Paramount Global during the Predecessor period. While the Successor and Predecessor periods are distinct reporting periods, revenues were not impacted by the pushdown of the Ultimate Parent’s basis and are supplementally presented on a pro forma combined basis to help investors view revenues in a manner consistent with our management. See </w:t>
      </w:r>
      <w:r>
        <w:rPr>
          <w:rFonts w:ascii="Times New Roman" w:cs="Times New Roman" w:eastAsia="Times New Roman" w:hAnsi="Times New Roman"/>
          <w:sz w:val="15"/>
          <w:szCs w:val="15"/>
          <w:i w:val="1"/>
          <w:iCs w:val="1"/>
          <w:color w:val="auto"/>
        </w:rPr>
        <w:t>Supplemental Pro Forma Revenues-Filmed Entertainment</w:t>
      </w:r>
      <w:r>
        <w:rPr>
          <w:rFonts w:ascii="Times New Roman" w:cs="Times New Roman" w:eastAsia="Times New Roman" w:hAnsi="Times New Roman"/>
          <w:sz w:val="15"/>
          <w:szCs w:val="15"/>
          <w:color w:val="auto"/>
        </w:rPr>
        <w:t xml:space="preserve"> for calculations of these pro forma revenue amounts.</w:t>
      </w:r>
    </w:p>
    <w:p>
      <w:pPr>
        <w:spacing w:after="0" w:line="42" w:lineRule="exact"/>
        <w:rPr>
          <w:rFonts w:ascii="Times New Roman" w:cs="Times New Roman" w:eastAsia="Times New Roman" w:hAnsi="Times New Roman"/>
          <w:sz w:val="15"/>
          <w:szCs w:val="15"/>
          <w:color w:val="auto"/>
        </w:rPr>
      </w:pPr>
    </w:p>
    <w:p>
      <w:pPr>
        <w:ind w:left="300" w:hanging="216"/>
        <w:spacing w:after="0"/>
        <w:tabs>
          <w:tab w:leader="none" w:pos="3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Primarily reflects advertising revenues earned from the use of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content on third-party digital platforms.</w:t>
      </w:r>
    </w:p>
    <w:p>
      <w:pPr>
        <w:spacing w:after="0" w:line="91" w:lineRule="exact"/>
        <w:rPr>
          <w:rFonts w:ascii="Times New Roman" w:cs="Times New Roman" w:eastAsia="Times New Roman" w:hAnsi="Times New Roman"/>
          <w:sz w:val="16"/>
          <w:szCs w:val="16"/>
          <w:color w:val="auto"/>
        </w:rPr>
      </w:pPr>
    </w:p>
    <w:p>
      <w:pPr>
        <w:ind w:left="320" w:right="500" w:hanging="236"/>
        <w:spacing w:after="0" w:line="288" w:lineRule="auto"/>
        <w:tabs>
          <w:tab w:leader="none" w:pos="298"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5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9"/>
          <w:szCs w:val="19"/>
          <w:color w:val="auto"/>
        </w:rPr>
        <w:t xml:space="preserve">Theatrical revenues in 2025 benefited from the third quarter 2025 releases discussed above, and during the Predecessor period from January 1, 2025 - August 6, 2025 also benefited from the second quarter 2025 release of </w:t>
      </w:r>
      <w:r>
        <w:rPr>
          <w:rFonts w:ascii="Times New Roman" w:cs="Times New Roman" w:eastAsia="Times New Roman" w:hAnsi="Times New Roman"/>
          <w:sz w:val="19"/>
          <w:szCs w:val="19"/>
          <w:i w:val="1"/>
          <w:iCs w:val="1"/>
          <w:color w:val="auto"/>
        </w:rPr>
        <w:t>Mission: Impossible-The Final Reckoning</w:t>
      </w:r>
      <w:r>
        <w:rPr>
          <w:rFonts w:ascii="Times New Roman" w:cs="Times New Roman" w:eastAsia="Times New Roman" w:hAnsi="Times New Roman"/>
          <w:sz w:val="19"/>
          <w:szCs w:val="19"/>
          <w:color w:val="auto"/>
        </w:rPr>
        <w:t xml:space="preserve"> and the fourth quarter 2024 release of </w:t>
      </w:r>
      <w:r>
        <w:rPr>
          <w:rFonts w:ascii="Times New Roman" w:cs="Times New Roman" w:eastAsia="Times New Roman" w:hAnsi="Times New Roman"/>
          <w:sz w:val="19"/>
          <w:szCs w:val="19"/>
          <w:i w:val="1"/>
          <w:iCs w:val="1"/>
          <w:color w:val="auto"/>
        </w:rPr>
        <w:t>Sonic the Hedgehog 3</w:t>
      </w:r>
      <w:r>
        <w:rPr>
          <w:rFonts w:ascii="Times New Roman" w:cs="Times New Roman" w:eastAsia="Times New Roman" w:hAnsi="Times New Roman"/>
          <w:sz w:val="19"/>
          <w:szCs w:val="19"/>
          <w:color w:val="auto"/>
        </w:rPr>
        <w:t xml:space="preserve">. Theatrical revenues during the 2024 Predecessor period primarily benefited from the releases of </w:t>
      </w:r>
      <w:r>
        <w:rPr>
          <w:rFonts w:ascii="Times New Roman" w:cs="Times New Roman" w:eastAsia="Times New Roman" w:hAnsi="Times New Roman"/>
          <w:sz w:val="19"/>
          <w:szCs w:val="19"/>
          <w:i w:val="1"/>
          <w:iCs w:val="1"/>
          <w:color w:val="auto"/>
        </w:rPr>
        <w:t>A Quiet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Place: Day One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IF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Bob Marley: One Love</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 xml:space="preserve">Licensing and other revenues during the Successor period include Skydance revenues. On a pro forma basis the 7% increase primarily reflects the licensing of Skydance’s </w:t>
      </w:r>
      <w:r>
        <w:rPr>
          <w:rFonts w:ascii="Times New Roman" w:cs="Times New Roman" w:eastAsia="Times New Roman" w:hAnsi="Times New Roman"/>
          <w:sz w:val="19"/>
          <w:szCs w:val="19"/>
          <w:i w:val="1"/>
          <w:iCs w:val="1"/>
          <w:color w:val="auto"/>
        </w:rPr>
        <w:t>The Family Plan 2</w:t>
      </w:r>
      <w:r>
        <w:rPr>
          <w:rFonts w:ascii="Times New Roman" w:cs="Times New Roman" w:eastAsia="Times New Roman" w:hAnsi="Times New Roman"/>
          <w:sz w:val="19"/>
          <w:szCs w:val="19"/>
          <w:color w:val="auto"/>
        </w:rPr>
        <w:t xml:space="preserve"> during the Successor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6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9"/>
          <w:szCs w:val="19"/>
          <w:color w:val="auto"/>
        </w:rPr>
        <w:t>Content costs for the Successor period include costs associated with Skydance’s content and reflect the pushdown of the Ultimate Parent’s basis, which resulted in an increase in the value of library content.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80" w:name="page81"/>
    <w:bookmarkEnd w:id="80"/>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expenses for the Successor and Predecessor periods in 2025 reflect the impact from cost savings initiatives.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for the Predecessor period in 2025 primarily reflects the impact from recent theatrical releases.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Supplemental Pro Forma Revenues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Filmed Entertainment</w:t>
      </w:r>
    </w:p>
    <w:p>
      <w:pPr>
        <w:spacing w:after="0" w:line="15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9"/>
          <w:szCs w:val="19"/>
          <w:color w:val="auto"/>
        </w:rPr>
        <w:t>Supplemental Pro Forma Revenues for the three and nine months ended September 30, 2025 reflect the combination of the Successor period with the Predecessor period from July 1-August 6, 2025 and January 1-August 6, 2025, respectively, and for Licensing and other and Total Revenues also include pro forma adjustments to include Skydance revenues after the elimination of intercompany revenues from Paramount Global during the Predecessor period. While the Successor and Predecessor periods are distinct reporting periods, revenues were not impacted by the pushdown of the Ultimate Parent’s basis and are supplementally presented on a pro forma combined basis to help investors view these revenues in a manner consistent with our management.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tables below present the calculations of Supplemental Pro Forma Revenues for the Filmed Entertainment segment.</w:t>
      </w:r>
    </w:p>
    <w:p>
      <w:pPr>
        <w:spacing w:after="0" w:line="383" w:lineRule="exact"/>
        <w:rPr>
          <w:sz w:val="20"/>
          <w:szCs w:val="20"/>
          <w:color w:val="auto"/>
        </w:rPr>
      </w:pPr>
    </w:p>
    <w:p>
      <w:pPr>
        <w:ind w:right="1980"/>
        <w:spacing w:after="0" w:line="438" w:lineRule="auto"/>
        <w:rPr>
          <w:sz w:val="20"/>
          <w:szCs w:val="20"/>
          <w:color w:val="auto"/>
        </w:rPr>
      </w:pPr>
      <w:r>
        <w:rPr>
          <w:rFonts w:ascii="Times New Roman" w:cs="Times New Roman" w:eastAsia="Times New Roman" w:hAnsi="Times New Roman"/>
          <w:sz w:val="19"/>
          <w:szCs w:val="19"/>
          <w:b w:val="1"/>
          <w:bCs w:val="1"/>
          <w:color w:val="auto"/>
        </w:rPr>
        <w:t>Three and Nine Months Ended September 30, 2025 versus Three and Nine Months Ended September 30, 2024 Filmed Entertainment</w:t>
      </w:r>
    </w:p>
    <w:tbl>
      <w:tblPr>
        <w:tblLayout w:type="fixed"/>
        <w:tblInd w:w="0" w:type="dxa"/>
        <w:tblCellMar>
          <w:top w:w="0" w:type="dxa"/>
          <w:left w:w="0" w:type="dxa"/>
          <w:bottom w:w="0" w:type="dxa"/>
          <w:right w:w="0" w:type="dxa"/>
        </w:tblCellMar>
      </w:tblPr>
      <w:tr>
        <w:trPr>
          <w:trHeight w:val="194"/>
        </w:trPr>
        <w:tc>
          <w:tcPr>
            <w:tcW w:w="1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4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1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7"/>
              </w:rPr>
              <w:t>August 7 -</w:t>
            </w:r>
          </w:p>
        </w:tc>
        <w:tc>
          <w:tcPr>
            <w:tcW w:w="1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tcBorders>
              <w:right w:val="single" w:sz="8" w:color="auto"/>
            </w:tcBorders>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Period From July 1 - August 6</w:t>
            </w:r>
          </w:p>
        </w:tc>
        <w:tc>
          <w:tcPr>
            <w:tcW w:w="4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8"/>
              </w:rPr>
              <w:t>Increase/(Decrease)</w:t>
            </w:r>
          </w:p>
        </w:tc>
        <w:tc>
          <w:tcPr>
            <w:tcW w:w="0" w:type="dxa"/>
            <w:vAlign w:val="bottom"/>
          </w:tcPr>
          <w:p>
            <w:pPr>
              <w:spacing w:after="0"/>
              <w:rPr>
                <w:sz w:val="1"/>
                <w:szCs w:val="1"/>
                <w:color w:val="auto"/>
              </w:rPr>
            </w:pPr>
          </w:p>
        </w:tc>
      </w:tr>
      <w:tr>
        <w:trPr>
          <w:trHeight w:val="80"/>
        </w:trPr>
        <w:tc>
          <w:tcPr>
            <w:tcW w:w="1180" w:type="dxa"/>
            <w:vAlign w:val="bottom"/>
          </w:tcPr>
          <w:p>
            <w:pPr>
              <w:spacing w:after="0"/>
              <w:rPr>
                <w:sz w:val="6"/>
                <w:szCs w:val="6"/>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September 30</w:t>
            </w:r>
          </w:p>
        </w:tc>
        <w:tc>
          <w:tcPr>
            <w:tcW w:w="1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20" w:type="dxa"/>
            <w:vAlign w:val="bottom"/>
            <w:tcBorders>
              <w:right w:val="single" w:sz="8" w:color="auto"/>
            </w:tcBorders>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tcBorders>
              <w:right w:val="single" w:sz="8" w:color="auto"/>
            </w:tcBorders>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40" w:type="dxa"/>
            <w:vAlign w:val="bottom"/>
            <w:tcBorders>
              <w:right w:val="single" w:sz="8" w:color="auto"/>
            </w:tcBorders>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120" w:type="dxa"/>
            <w:vAlign w:val="bottom"/>
          </w:tcPr>
          <w:p>
            <w:pPr>
              <w:spacing w:after="0"/>
              <w:rPr>
                <w:sz w:val="2"/>
                <w:szCs w:val="2"/>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80" w:type="dxa"/>
            <w:vAlign w:val="bottom"/>
            <w:tcBorders>
              <w:right w:val="single" w:sz="8" w:color="auto"/>
            </w:tcBorders>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20" w:type="dxa"/>
            <w:vAlign w:val="bottom"/>
            <w:tcBorders>
              <w:right w:val="single" w:sz="8" w:color="auto"/>
            </w:tcBorders>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380" w:type="dxa"/>
            <w:vAlign w:val="bottom"/>
            <w:tcBorders>
              <w:bottom w:val="single" w:sz="8" w:color="auto"/>
              <w:right w:val="single" w:sz="8" w:color="auto"/>
            </w:tcBorders>
            <w:gridSpan w:val="2"/>
            <w:vMerge w:val="continue"/>
          </w:tcPr>
          <w:p>
            <w:pPr>
              <w:spacing w:after="0"/>
              <w:rPr>
                <w:sz w:val="18"/>
                <w:szCs w:val="18"/>
                <w:color w:val="auto"/>
              </w:rPr>
            </w:pPr>
          </w:p>
        </w:tc>
        <w:tc>
          <w:tcPr>
            <w:tcW w:w="1020" w:type="dxa"/>
            <w:vAlign w:val="bottom"/>
            <w:tcBorders>
              <w:bottom w:val="single" w:sz="8" w:color="auto"/>
              <w:right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5"/>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by</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Theatrical</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right w:val="single" w:sz="8" w:color="auto"/>
            </w:tcBorders>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73</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112</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108</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11"/>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Licensing and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5"/>
                <w:szCs w:val="15"/>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202</w:t>
            </w:r>
          </w:p>
        </w:tc>
        <w:tc>
          <w:tcPr>
            <w:tcW w:w="540" w:type="dxa"/>
            <w:vAlign w:val="bottom"/>
          </w:tcPr>
          <w:p>
            <w:pPr>
              <w:spacing w:after="0"/>
              <w:rPr>
                <w:sz w:val="15"/>
                <w:szCs w:val="15"/>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480</w:t>
            </w:r>
          </w:p>
        </w:tc>
        <w:tc>
          <w:tcPr>
            <w:tcW w:w="560" w:type="dxa"/>
            <w:vAlign w:val="bottom"/>
          </w:tcPr>
          <w:p>
            <w:pPr>
              <w:spacing w:after="0"/>
              <w:rPr>
                <w:sz w:val="15"/>
                <w:szCs w:val="15"/>
                <w:color w:val="auto"/>
              </w:rPr>
            </w:pPr>
          </w:p>
        </w:tc>
        <w:tc>
          <w:tcPr>
            <w:tcW w:w="82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209</w:t>
            </w:r>
          </w:p>
        </w:tc>
        <w:tc>
          <w:tcPr>
            <w:tcW w:w="560" w:type="dxa"/>
            <w:vAlign w:val="bottom"/>
          </w:tcPr>
          <w:p>
            <w:pPr>
              <w:spacing w:after="0"/>
              <w:rPr>
                <w:sz w:val="15"/>
                <w:szCs w:val="15"/>
                <w:color w:val="auto"/>
              </w:rPr>
            </w:pPr>
          </w:p>
        </w:tc>
        <w:tc>
          <w:tcPr>
            <w:tcW w:w="4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(35)</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3"/>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Advertising</w:t>
            </w:r>
          </w:p>
        </w:tc>
        <w:tc>
          <w:tcPr>
            <w:tcW w:w="2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Pr>
          <w:p>
            <w:pPr>
              <w:spacing w:after="0"/>
              <w:rPr>
                <w:sz w:val="19"/>
                <w:szCs w:val="19"/>
                <w:color w:val="auto"/>
              </w:rPr>
            </w:pPr>
          </w:p>
        </w:tc>
        <w:tc>
          <w:tcPr>
            <w:tcW w:w="7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6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2</w:t>
            </w:r>
          </w:p>
        </w:tc>
        <w:tc>
          <w:tcPr>
            <w:tcW w:w="560" w:type="dxa"/>
            <w:vAlign w:val="bottom"/>
          </w:tcPr>
          <w:p>
            <w:pPr>
              <w:spacing w:after="0"/>
              <w:rPr>
                <w:sz w:val="19"/>
                <w:szCs w:val="19"/>
                <w:color w:val="auto"/>
              </w:rPr>
            </w:pPr>
          </w:p>
        </w:tc>
        <w:tc>
          <w:tcPr>
            <w:tcW w:w="82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9"/>
                <w:szCs w:val="19"/>
                <w:color w:val="auto"/>
              </w:rPr>
            </w:pPr>
          </w:p>
        </w:tc>
        <w:tc>
          <w:tcPr>
            <w:tcW w:w="4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right w:val="single" w:sz="8" w:color="auto"/>
            </w:tcBorders>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276</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right w:val="single" w:sz="8" w:color="auto"/>
            </w:tcBorders>
          </w:tcPr>
          <w:p>
            <w:pPr>
              <w:spacing w:after="0"/>
              <w:rPr>
                <w:sz w:val="16"/>
                <w:szCs w:val="16"/>
                <w:color w:val="auto"/>
              </w:rPr>
            </w:pP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768</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590</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209</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43"/>
        </w:trPr>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320" w:top="587" w:right="59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1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1180" w:type="dxa"/>
            <w:vAlign w:val="bottom"/>
            <w:tcBorders>
              <w:right w:val="single" w:sz="8" w:color="auto"/>
            </w:tcBorders>
            <w:gridSpan w:val="3"/>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Period From</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Borders>
              <w:right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August 7 -</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8"/>
              </w:rPr>
              <w:t>Increase/(Decrease)</w:t>
            </w:r>
          </w:p>
        </w:tc>
        <w:tc>
          <w:tcPr>
            <w:tcW w:w="0" w:type="dxa"/>
            <w:vAlign w:val="bottom"/>
          </w:tcPr>
          <w:p>
            <w:pPr>
              <w:spacing w:after="0"/>
              <w:rPr>
                <w:sz w:val="1"/>
                <w:szCs w:val="1"/>
                <w:color w:val="auto"/>
              </w:rPr>
            </w:pPr>
          </w:p>
        </w:tc>
      </w:tr>
      <w:tr>
        <w:trPr>
          <w:trHeight w:val="80"/>
        </w:trPr>
        <w:tc>
          <w:tcPr>
            <w:tcW w:w="1180" w:type="dxa"/>
            <w:vAlign w:val="bottom"/>
          </w:tcPr>
          <w:p>
            <w:pPr>
              <w:spacing w:after="0"/>
              <w:rPr>
                <w:sz w:val="6"/>
                <w:szCs w:val="6"/>
                <w:color w:val="auto"/>
              </w:rPr>
            </w:pPr>
          </w:p>
        </w:tc>
        <w:tc>
          <w:tcPr>
            <w:tcW w:w="1180" w:type="dxa"/>
            <w:vAlign w:val="bottom"/>
            <w:tcBorders>
              <w:right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September 30</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Borders>
              <w:right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From January 1 - August 6</w:t>
            </w:r>
          </w:p>
        </w:tc>
        <w:tc>
          <w:tcPr>
            <w:tcW w:w="38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1180" w:type="dxa"/>
            <w:vAlign w:val="bottom"/>
            <w:tcBorders>
              <w:right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00" w:type="dxa"/>
            <w:vAlign w:val="bottom"/>
            <w:tcBorders>
              <w:right w:val="single" w:sz="8" w:color="auto"/>
            </w:tcBorders>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1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80" w:type="dxa"/>
            <w:vAlign w:val="bottom"/>
            <w:tcBorders>
              <w:right w:val="single" w:sz="8" w:color="auto"/>
            </w:tcBorders>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120" w:type="dxa"/>
            <w:vAlign w:val="bottom"/>
          </w:tcPr>
          <w:p>
            <w:pPr>
              <w:spacing w:after="0"/>
              <w:rPr>
                <w:sz w:val="3"/>
                <w:szCs w:val="3"/>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80" w:type="dxa"/>
            <w:vAlign w:val="bottom"/>
            <w:tcBorders>
              <w:right w:val="single" w:sz="8" w:color="auto"/>
            </w:tcBorders>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40" w:type="dxa"/>
            <w:vAlign w:val="bottom"/>
            <w:tcBorders>
              <w:right w:val="single" w:sz="8" w:color="auto"/>
            </w:tcBorders>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380" w:type="dxa"/>
            <w:vAlign w:val="bottom"/>
            <w:tcBorders>
              <w:bottom w:val="single" w:sz="8" w:color="auto"/>
              <w:right w:val="single" w:sz="8" w:color="auto"/>
            </w:tcBorders>
            <w:gridSpan w:val="2"/>
            <w:vMerge w:val="continue"/>
          </w:tcPr>
          <w:p>
            <w:pPr>
              <w:spacing w:after="0"/>
              <w:rPr>
                <w:sz w:val="18"/>
                <w:szCs w:val="18"/>
                <w:color w:val="auto"/>
              </w:rPr>
            </w:pPr>
          </w:p>
        </w:tc>
        <w:tc>
          <w:tcPr>
            <w:tcW w:w="1040" w:type="dxa"/>
            <w:vAlign w:val="bottom"/>
            <w:tcBorders>
              <w:bottom w:val="single" w:sz="8" w:color="auto"/>
              <w:right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2"/>
        </w:trPr>
        <w:tc>
          <w:tcPr>
            <w:tcW w:w="1180" w:type="dxa"/>
            <w:vAlign w:val="bottom"/>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Revenues by</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Theatrical</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475</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514</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399</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115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98"/>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Licensing and</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7"/>
                <w:szCs w:val="17"/>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1,112</w:t>
            </w:r>
          </w:p>
        </w:tc>
        <w:tc>
          <w:tcPr>
            <w:tcW w:w="520" w:type="dxa"/>
            <w:vAlign w:val="bottom"/>
          </w:tcPr>
          <w:p>
            <w:pPr>
              <w:spacing w:after="0"/>
              <w:rPr>
                <w:sz w:val="17"/>
                <w:szCs w:val="17"/>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2,055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1,465</w:t>
            </w:r>
          </w:p>
        </w:tc>
        <w:tc>
          <w:tcPr>
            <w:tcW w:w="580" w:type="dxa"/>
            <w:vAlign w:val="bottom"/>
          </w:tcPr>
          <w:p>
            <w:pPr>
              <w:spacing w:after="0"/>
              <w:rPr>
                <w:sz w:val="17"/>
                <w:szCs w:val="17"/>
                <w:color w:val="auto"/>
              </w:rPr>
            </w:pPr>
          </w:p>
        </w:tc>
        <w:tc>
          <w:tcPr>
            <w:tcW w:w="80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455</w:t>
            </w:r>
          </w:p>
        </w:tc>
        <w:tc>
          <w:tcPr>
            <w:tcW w:w="500" w:type="dxa"/>
            <w:vAlign w:val="bottom"/>
          </w:tcPr>
          <w:p>
            <w:pPr>
              <w:spacing w:after="0"/>
              <w:rPr>
                <w:sz w:val="17"/>
                <w:szCs w:val="17"/>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95"/>
              </w:rPr>
              <w:t>1,920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135</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3"/>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Advertising</w:t>
            </w:r>
          </w:p>
        </w:tc>
        <w:tc>
          <w:tcPr>
            <w:tcW w:w="2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7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w:t>
            </w:r>
          </w:p>
        </w:tc>
        <w:tc>
          <w:tcPr>
            <w:tcW w:w="580" w:type="dxa"/>
            <w:vAlign w:val="bottom"/>
          </w:tcPr>
          <w:p>
            <w:pPr>
              <w:spacing w:after="0"/>
              <w:rPr>
                <w:sz w:val="19"/>
                <w:szCs w:val="19"/>
                <w:color w:val="auto"/>
              </w:rPr>
            </w:pPr>
          </w:p>
        </w:tc>
        <w:tc>
          <w:tcPr>
            <w:tcW w:w="80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7"/>
        </w:trPr>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180" w:type="dxa"/>
            <w:vAlign w:val="bottom"/>
          </w:tcPr>
          <w:p>
            <w:pPr>
              <w:ind w:left="22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1,593</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right w:val="single" w:sz="8" w:color="auto"/>
            </w:tcBorders>
          </w:tcPr>
          <w:p>
            <w:pPr>
              <w:spacing w:after="0"/>
              <w:rPr>
                <w:sz w:val="17"/>
                <w:szCs w:val="17"/>
                <w:color w:val="auto"/>
              </w:rPr>
            </w:pP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2,576</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1,874</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455</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95"/>
              </w:rPr>
              <w:t>2,329</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247</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43"/>
        </w:trPr>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0" w:hanging="316"/>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Skydance revenues during the period noted after the elimination of intercompany revenues from Paramount Global.</w:t>
      </w:r>
    </w:p>
    <w:p>
      <w:pPr>
        <w:spacing w:after="0" w:line="61" w:lineRule="exact"/>
        <w:rPr>
          <w:rFonts w:ascii="Times New Roman" w:cs="Times New Roman" w:eastAsia="Times New Roman" w:hAnsi="Times New Roman"/>
          <w:sz w:val="14"/>
          <w:szCs w:val="14"/>
          <w:color w:val="auto"/>
        </w:rPr>
      </w:pPr>
    </w:p>
    <w:p>
      <w:pPr>
        <w:ind w:left="400" w:right="160" w:hanging="316"/>
        <w:spacing w:after="0" w:line="286" w:lineRule="auto"/>
        <w:tabs>
          <w:tab w:leader="none" w:pos="3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revenues for the three and nine months ended September 30, 2025 represent the sum of the Successor and Predecessor periods comprising the applicable periods adjusted to include the historical revenue of Skydance after the elimination of intercompany revenues from Paramount Global, during the period prior to the close of the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Sources and Uses of Cash</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We project anticipated cash requirements for our operating, investing and financing needs as well as cash flows expected to be generated and available to meet these needs. Our operating needs include, among other items, expenditures for content for our broadcast and cable networks and streaming services, including television and film programming, sports rights, and talent contracts, as well as advertising and marketing costs to promote our content and platforms; payments for leases, interest, and income taxes; and pension funding obligations.</w:t>
      </w:r>
    </w:p>
    <w:p>
      <w:pPr>
        <w:spacing w:after="0" w:line="1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Our investing and financing spending includes capital expenditures; acquisitions; funding of investments, including our streaming joint venture, SkyShowtime, under which we and our joint venture partner committed to support initial operations over a multiyear period; discretionary share repurchases; dividends; and principal payments on our outstanding indebtedness. Our long-term debt obligations due over the next five years were $3.34 billion as of September 30, 2025. We routinely assess our capital structure and opportunistically enter into transactions to manage our outstanding debt maturities, which could result in a charge from the early extinguishment of debt.</w:t>
      </w:r>
    </w:p>
    <w:p>
      <w:pPr>
        <w:spacing w:after="0" w:line="20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9"/>
          <w:szCs w:val="19"/>
          <w:color w:val="auto"/>
        </w:rPr>
        <w:t>Funding for both our short-term and long-term operating, investing and financing needs will come primarily from cash flows from operating activities, cash and cash equivalents, which were $3.26 billion as of September 30, 2025, and our ability to refinance our debt. Any additional cash funding requirements are financed with short-term borrowings, including commercial paper, and long-term debt. To the extent that commercial paper is not available to us, the borrowing capacity under our $3.50 billion Credit Facility described below is sufficient to satisfy short-term borrowing needs. In addition, if necessary, we can increase our liquidity position by reducing non-committed spending.</w:t>
      </w:r>
    </w:p>
    <w:p>
      <w:pPr>
        <w:spacing w:after="0" w:line="20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9"/>
          <w:szCs w:val="19"/>
          <w:color w:val="auto"/>
        </w:rPr>
        <w:t>In connection with the Transactions, $1.52 billion of cash from the PIPE Transaction was provided to the Company, which was used to pay Paramount Global’s transaction-related costs and to pay down borrowings of $720 million outstanding under Skydance’s revolving credit facility.</w:t>
      </w:r>
    </w:p>
    <w:p>
      <w:pPr>
        <w:spacing w:after="0" w:line="185"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9"/>
          <w:szCs w:val="19"/>
          <w:color w:val="auto"/>
        </w:rPr>
        <w:t>Our access to capital markets and the cost of any new borrowings are impacted by factors outside our control, including economic and market conditions, as well as by ratings assigned by independent rating agencies. As a result, there can be no assurance that we will be able to access capital markets on terms and conditions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82" w:name="page83"/>
    <w:bookmarkEnd w:id="82"/>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changes in cash and cash equivalents were as follows: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245" w:lineRule="exact"/>
        <w:rPr>
          <w:sz w:val="20"/>
          <w:szCs w:val="20"/>
          <w:color w:val="auto"/>
        </w:rPr>
      </w:pPr>
    </w:p>
    <w:tbl>
      <w:tblPr>
        <w:tblLayout w:type="fixed"/>
        <w:tblInd w:w="260" w:type="dxa"/>
        <w:tblCellMar>
          <w:top w:w="0" w:type="dxa"/>
          <w:left w:w="0" w:type="dxa"/>
          <w:bottom w:w="0" w:type="dxa"/>
          <w:right w:w="0" w:type="dxa"/>
        </w:tblCellMar>
      </w:tblPr>
      <w:tr>
        <w:trPr>
          <w:trHeight w:val="262"/>
        </w:trPr>
        <w:tc>
          <w:tcPr>
            <w:tcW w:w="58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80" w:type="dxa"/>
            <w:vAlign w:val="bottom"/>
            <w:tcBorders>
              <w:top w:val="single" w:sz="8" w:color="auto"/>
              <w:right w:val="single" w:sz="8" w:color="auto"/>
            </w:tcBorders>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5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60" w:type="dxa"/>
            <w:vAlign w:val="bottom"/>
            <w:tcBorders>
              <w:top w:val="single" w:sz="8" w:color="auto"/>
            </w:tcBorders>
          </w:tcPr>
          <w:p>
            <w:pPr>
              <w:spacing w:after="0"/>
              <w:rPr>
                <w:sz w:val="22"/>
                <w:szCs w:val="22"/>
                <w:color w:val="auto"/>
              </w:rPr>
            </w:pPr>
          </w:p>
        </w:tc>
      </w:tr>
      <w:tr>
        <w:trPr>
          <w:trHeight w:val="27"/>
        </w:trPr>
        <w:tc>
          <w:tcPr>
            <w:tcW w:w="5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640" w:type="dxa"/>
            <w:vAlign w:val="bottom"/>
            <w:gridSpan w:val="2"/>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580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Period From August</w:t>
            </w:r>
          </w:p>
        </w:tc>
        <w:tc>
          <w:tcPr>
            <w:tcW w:w="164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January 1 - August</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800" w:type="dxa"/>
            <w:vAlign w:val="bottom"/>
          </w:tcPr>
          <w:p>
            <w:pPr>
              <w:spacing w:after="0"/>
              <w:rPr>
                <w:sz w:val="19"/>
                <w:szCs w:val="19"/>
                <w:color w:val="auto"/>
              </w:rPr>
            </w:pPr>
          </w:p>
        </w:tc>
        <w:tc>
          <w:tcPr>
            <w:tcW w:w="166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7 - September 30,</w:t>
            </w:r>
          </w:p>
        </w:tc>
        <w:tc>
          <w:tcPr>
            <w:tcW w:w="520" w:type="dxa"/>
            <w:vAlign w:val="bottom"/>
          </w:tcPr>
          <w:p>
            <w:pPr>
              <w:spacing w:after="0"/>
              <w:rPr>
                <w:sz w:val="19"/>
                <w:szCs w:val="19"/>
                <w:color w:val="auto"/>
              </w:rPr>
            </w:pPr>
          </w:p>
        </w:tc>
        <w:tc>
          <w:tcPr>
            <w:tcW w:w="112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6,</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7"/>
        </w:trPr>
        <w:tc>
          <w:tcPr>
            <w:tcW w:w="5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Borders>
              <w:right w:val="single" w:sz="8" w:color="auto"/>
            </w:tcBorders>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Pr>
          <w:p>
            <w:pPr>
              <w:spacing w:after="0"/>
              <w:rPr>
                <w:sz w:val="19"/>
                <w:szCs w:val="19"/>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19"/>
                <w:szCs w:val="19"/>
                <w:color w:val="auto"/>
              </w:rPr>
            </w:pPr>
          </w:p>
        </w:tc>
        <w:tc>
          <w:tcPr>
            <w:tcW w:w="1060" w:type="dxa"/>
            <w:vAlign w:val="bottom"/>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provided by operating activities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268</w:t>
            </w: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164</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584</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 (used for) provided by investing activities from:</w:t>
            </w:r>
          </w:p>
        </w:tc>
        <w:tc>
          <w:tcPr>
            <w:tcW w:w="38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2"/>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Continuing operations</w:t>
            </w:r>
          </w:p>
        </w:tc>
        <w:tc>
          <w:tcPr>
            <w:tcW w:w="380" w:type="dxa"/>
            <w:vAlign w:val="bottom"/>
          </w:tcPr>
          <w:p>
            <w:pPr>
              <w:spacing w:after="0"/>
              <w:rPr>
                <w:sz w:val="22"/>
                <w:szCs w:val="22"/>
                <w:color w:val="auto"/>
              </w:rPr>
            </w:pPr>
          </w:p>
        </w:tc>
        <w:tc>
          <w:tcPr>
            <w:tcW w:w="1280" w:type="dxa"/>
            <w:vAlign w:val="bottom"/>
            <w:tcBorders>
              <w:right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(42)</w:t>
            </w:r>
          </w:p>
        </w:tc>
        <w:tc>
          <w:tcPr>
            <w:tcW w:w="520" w:type="dxa"/>
            <w:vAlign w:val="bottom"/>
          </w:tcPr>
          <w:p>
            <w:pPr>
              <w:spacing w:after="0"/>
              <w:rPr>
                <w:sz w:val="22"/>
                <w:szCs w:val="22"/>
                <w:color w:val="auto"/>
              </w:rPr>
            </w:pP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(276)</w:t>
            </w:r>
          </w:p>
        </w:tc>
        <w:tc>
          <w:tcPr>
            <w:tcW w:w="580" w:type="dxa"/>
            <w:vAlign w:val="bottom"/>
          </w:tcPr>
          <w:p>
            <w:pPr>
              <w:spacing w:after="0"/>
              <w:rPr>
                <w:sz w:val="22"/>
                <w:szCs w:val="22"/>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(365)</w:t>
            </w:r>
          </w:p>
        </w:tc>
      </w:tr>
      <w:tr>
        <w:trPr>
          <w:trHeight w:val="262"/>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Discontinued operations</w:t>
            </w:r>
          </w:p>
        </w:tc>
        <w:tc>
          <w:tcPr>
            <w:tcW w:w="380" w:type="dxa"/>
            <w:vAlign w:val="bottom"/>
          </w:tcPr>
          <w:p>
            <w:pPr>
              <w:spacing w:after="0"/>
              <w:rPr>
                <w:sz w:val="22"/>
                <w:szCs w:val="22"/>
                <w:color w:val="auto"/>
              </w:rPr>
            </w:pPr>
          </w:p>
        </w:tc>
        <w:tc>
          <w:tcPr>
            <w:tcW w:w="12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2"/>
                <w:szCs w:val="22"/>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48</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w:t>
            </w:r>
          </w:p>
        </w:tc>
        <w:tc>
          <w:tcPr>
            <w:tcW w:w="380" w:type="dxa"/>
            <w:vAlign w:val="bottom"/>
          </w:tcPr>
          <w:p>
            <w:pPr>
              <w:spacing w:after="0"/>
              <w:rPr>
                <w:sz w:val="19"/>
                <w:szCs w:val="19"/>
                <w:color w:val="auto"/>
              </w:rPr>
            </w:pPr>
          </w:p>
        </w:tc>
        <w:tc>
          <w:tcPr>
            <w:tcW w:w="1280" w:type="dxa"/>
            <w:vAlign w:val="bottom"/>
            <w:tcBorders>
              <w:right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(42)</w:t>
            </w:r>
          </w:p>
        </w:tc>
        <w:tc>
          <w:tcPr>
            <w:tcW w:w="520" w:type="dxa"/>
            <w:vAlign w:val="bottom"/>
          </w:tcPr>
          <w:p>
            <w:pPr>
              <w:spacing w:after="0"/>
              <w:rPr>
                <w:sz w:val="19"/>
                <w:szCs w:val="19"/>
                <w:color w:val="auto"/>
              </w:rPr>
            </w:pP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(276)</w:t>
            </w:r>
          </w:p>
        </w:tc>
        <w:tc>
          <w:tcPr>
            <w:tcW w:w="580" w:type="dxa"/>
            <w:vAlign w:val="bottom"/>
          </w:tcPr>
          <w:p>
            <w:pPr>
              <w:spacing w:after="0"/>
              <w:rPr>
                <w:sz w:val="19"/>
                <w:szCs w:val="19"/>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(317)</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financing activities</w:t>
            </w:r>
          </w:p>
        </w:tc>
        <w:tc>
          <w:tcPr>
            <w:tcW w:w="380" w:type="dxa"/>
            <w:vAlign w:val="bottom"/>
          </w:tcPr>
          <w:p>
            <w:pPr>
              <w:spacing w:after="0"/>
              <w:rPr>
                <w:sz w:val="19"/>
                <w:szCs w:val="19"/>
                <w:color w:val="auto"/>
              </w:rPr>
            </w:pPr>
          </w:p>
        </w:tc>
        <w:tc>
          <w:tcPr>
            <w:tcW w:w="1280" w:type="dxa"/>
            <w:vAlign w:val="bottom"/>
            <w:tcBorders>
              <w:right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(821)</w:t>
            </w:r>
          </w:p>
        </w:tc>
        <w:tc>
          <w:tcPr>
            <w:tcW w:w="520" w:type="dxa"/>
            <w:vAlign w:val="bottom"/>
          </w:tcPr>
          <w:p>
            <w:pPr>
              <w:spacing w:after="0"/>
              <w:rPr>
                <w:sz w:val="19"/>
                <w:szCs w:val="19"/>
                <w:color w:val="auto"/>
              </w:rPr>
            </w:pP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(159)</w:t>
            </w:r>
          </w:p>
        </w:tc>
        <w:tc>
          <w:tcPr>
            <w:tcW w:w="580" w:type="dxa"/>
            <w:vAlign w:val="bottom"/>
          </w:tcPr>
          <w:p>
            <w:pPr>
              <w:spacing w:after="0"/>
              <w:rPr>
                <w:sz w:val="19"/>
                <w:szCs w:val="19"/>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(298)</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80" w:type="dxa"/>
            <w:vAlign w:val="bottom"/>
          </w:tcPr>
          <w:p>
            <w:pPr>
              <w:spacing w:after="0"/>
              <w:rPr>
                <w:sz w:val="19"/>
                <w:szCs w:val="19"/>
                <w:color w:val="auto"/>
              </w:rPr>
            </w:pPr>
          </w:p>
        </w:tc>
        <w:tc>
          <w:tcPr>
            <w:tcW w:w="12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7</w:t>
            </w:r>
          </w:p>
        </w:tc>
        <w:tc>
          <w:tcPr>
            <w:tcW w:w="520" w:type="dxa"/>
            <w:vAlign w:val="bottom"/>
          </w:tcPr>
          <w:p>
            <w:pPr>
              <w:spacing w:after="0"/>
              <w:rPr>
                <w:sz w:val="19"/>
                <w:szCs w:val="19"/>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70</w:t>
            </w:r>
          </w:p>
        </w:tc>
        <w:tc>
          <w:tcPr>
            <w:tcW w:w="580" w:type="dxa"/>
            <w:vAlign w:val="bottom"/>
          </w:tcPr>
          <w:p>
            <w:pPr>
              <w:spacing w:after="0"/>
              <w:rPr>
                <w:sz w:val="19"/>
                <w:szCs w:val="19"/>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14</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right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(588)</w:t>
            </w: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(201)</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(17)</w:t>
            </w:r>
          </w:p>
        </w:tc>
      </w:tr>
      <w:tr>
        <w:trPr>
          <w:trHeight w:val="33"/>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Operating Activities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Net cash flow provided by operating activities during the Predecessor period in 2025 includes payments of $111 million to fund the Company’s qualified pension plans. Additionally, net cash flow provided by operating activities includes payments of $80 million for the period from August 7 - September 30, 2025 (Successor), $226 million for the period from January 1 - August 6, 2025 (Predecessor), and $198 million for the nine months ended September 30, 2024 (Predecessor), associated with restructuring, transaction-related costs and transformation initiatives, and for the 2024 period is net of insurance recoveries received related to litigation associated with the 2019 merger of Viacom Inc. and CBS Corporation. Our transformation initiatives are related to advancing our technology, including the unification and evolution of systems and platforms, and migration to the cloud.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83" w:name="page84"/>
    <w:bookmarkEnd w:id="83"/>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101600</wp:posOffset>
            </wp:positionV>
            <wp:extent cx="640334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03340" cy="16510"/>
                    </a:xfrm>
                    <a:prstGeom prst="rect">
                      <a:avLst/>
                    </a:prstGeom>
                    <a:noFill/>
                  </pic:spPr>
                </pic:pic>
              </a:graphicData>
            </a:graphic>
          </wp:anchor>
        </w:drawing>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560" w:type="dxa"/>
            <w:vAlign w:val="bottom"/>
          </w:tcPr>
          <w:p>
            <w:pPr>
              <w:spacing w:after="0"/>
              <w:rPr>
                <w:sz w:val="19"/>
                <w:szCs w:val="19"/>
                <w:color w:val="auto"/>
              </w:rPr>
            </w:pPr>
          </w:p>
        </w:tc>
        <w:tc>
          <w:tcPr>
            <w:tcW w:w="16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40" w:type="dxa"/>
            <w:vAlign w:val="bottom"/>
          </w:tcPr>
          <w:p>
            <w:pPr>
              <w:spacing w:after="0"/>
              <w:rPr>
                <w:sz w:val="19"/>
                <w:szCs w:val="19"/>
                <w:color w:val="auto"/>
              </w:rPr>
            </w:pPr>
          </w:p>
        </w:tc>
      </w:tr>
      <w:tr>
        <w:trPr>
          <w:trHeight w:val="27"/>
        </w:trPr>
        <w:tc>
          <w:tcPr>
            <w:tcW w:w="516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Borders>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6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January 1 - August</w:t>
            </w:r>
          </w:p>
        </w:tc>
        <w:tc>
          <w:tcPr>
            <w:tcW w:w="16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16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Pr>
          <w:p>
            <w:pPr>
              <w:spacing w:after="0"/>
              <w:rPr>
                <w:sz w:val="19"/>
                <w:szCs w:val="19"/>
                <w:color w:val="auto"/>
              </w:rPr>
            </w:pPr>
          </w:p>
        </w:tc>
        <w:tc>
          <w:tcPr>
            <w:tcW w:w="110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6,</w:t>
            </w:r>
          </w:p>
        </w:tc>
        <w:tc>
          <w:tcPr>
            <w:tcW w:w="16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7"/>
        </w:trPr>
        <w:tc>
          <w:tcPr>
            <w:tcW w:w="5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5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Borders>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19"/>
                <w:szCs w:val="19"/>
                <w:color w:val="auto"/>
              </w:rPr>
            </w:pPr>
          </w:p>
        </w:tc>
        <w:tc>
          <w:tcPr>
            <w:tcW w:w="110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19"/>
                <w:szCs w:val="19"/>
                <w:color w:val="auto"/>
              </w:rPr>
            </w:pPr>
          </w:p>
        </w:tc>
        <w:tc>
          <w:tcPr>
            <w:tcW w:w="1040" w:type="dxa"/>
            <w:vAlign w:val="bottom"/>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(205)</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(248)</w:t>
            </w:r>
          </w:p>
        </w:tc>
      </w:tr>
      <w:tr>
        <w:trPr>
          <w:trHeight w:val="297"/>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Capital expenditures </w:t>
            </w:r>
            <w:r>
              <w:rPr>
                <w:rFonts w:ascii="Times New Roman" w:cs="Times New Roman" w:eastAsia="Times New Roman" w:hAnsi="Times New Roman"/>
                <w:sz w:val="22"/>
                <w:szCs w:val="22"/>
                <w:color w:val="auto"/>
                <w:vertAlign w:val="superscript"/>
              </w:rPr>
              <w:t>(a)</w:t>
            </w:r>
          </w:p>
        </w:tc>
        <w:tc>
          <w:tcPr>
            <w:tcW w:w="380" w:type="dxa"/>
            <w:vAlign w:val="bottom"/>
          </w:tcPr>
          <w:p>
            <w:pPr>
              <w:spacing w:after="0"/>
              <w:rPr>
                <w:sz w:val="24"/>
                <w:szCs w:val="24"/>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(46)</w:t>
            </w:r>
          </w:p>
        </w:tc>
        <w:tc>
          <w:tcPr>
            <w:tcW w:w="56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(134)</w:t>
            </w:r>
          </w:p>
        </w:tc>
        <w:tc>
          <w:tcPr>
            <w:tcW w:w="580" w:type="dxa"/>
            <w:vAlign w:val="bottom"/>
          </w:tcPr>
          <w:p>
            <w:pPr>
              <w:spacing w:after="0"/>
              <w:rPr>
                <w:sz w:val="24"/>
                <w:szCs w:val="24"/>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(151)</w:t>
            </w:r>
          </w:p>
        </w:tc>
      </w:tr>
      <w:tr>
        <w:trPr>
          <w:trHeight w:val="26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Proceeds from dispositions </w:t>
            </w:r>
            <w:r>
              <w:rPr>
                <w:rFonts w:ascii="Times New Roman" w:cs="Times New Roman" w:eastAsia="Times New Roman" w:hAnsi="Times New Roman"/>
                <w:sz w:val="22"/>
                <w:szCs w:val="22"/>
                <w:color w:val="auto"/>
                <w:vertAlign w:val="superscript"/>
              </w:rPr>
              <w:t>(b)</w:t>
            </w:r>
          </w:p>
        </w:tc>
        <w:tc>
          <w:tcPr>
            <w:tcW w:w="380" w:type="dxa"/>
            <w:vAlign w:val="bottom"/>
          </w:tcPr>
          <w:p>
            <w:pPr>
              <w:spacing w:after="0"/>
              <w:rPr>
                <w:sz w:val="22"/>
                <w:szCs w:val="22"/>
                <w:color w:val="auto"/>
              </w:rPr>
            </w:pPr>
          </w:p>
        </w:tc>
        <w:tc>
          <w:tcPr>
            <w:tcW w:w="126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5</w:t>
            </w:r>
          </w:p>
        </w:tc>
        <w:tc>
          <w:tcPr>
            <w:tcW w:w="560" w:type="dxa"/>
            <w:vAlign w:val="bottom"/>
          </w:tcPr>
          <w:p>
            <w:pPr>
              <w:spacing w:after="0"/>
              <w:rPr>
                <w:sz w:val="22"/>
                <w:szCs w:val="22"/>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66</w:t>
            </w:r>
          </w:p>
        </w:tc>
        <w:tc>
          <w:tcPr>
            <w:tcW w:w="580" w:type="dxa"/>
            <w:vAlign w:val="bottom"/>
          </w:tcPr>
          <w:p>
            <w:pPr>
              <w:spacing w:after="0"/>
              <w:rPr>
                <w:sz w:val="22"/>
                <w:szCs w:val="22"/>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37</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380" w:type="dxa"/>
            <w:vAlign w:val="bottom"/>
          </w:tcPr>
          <w:p>
            <w:pPr>
              <w:spacing w:after="0"/>
              <w:rPr>
                <w:sz w:val="19"/>
                <w:szCs w:val="19"/>
                <w:color w:val="auto"/>
              </w:rPr>
            </w:pPr>
          </w:p>
        </w:tc>
        <w:tc>
          <w:tcPr>
            <w:tcW w:w="126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w:t>
            </w:r>
          </w:p>
        </w:tc>
        <w:tc>
          <w:tcPr>
            <w:tcW w:w="580" w:type="dxa"/>
            <w:vAlign w:val="bottom"/>
          </w:tcPr>
          <w:p>
            <w:pPr>
              <w:spacing w:after="0"/>
              <w:rPr>
                <w:sz w:val="19"/>
                <w:szCs w:val="19"/>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w:t>
            </w:r>
          </w:p>
        </w:tc>
      </w:tr>
      <w:tr>
        <w:trPr>
          <w:trHeight w:val="27"/>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 from continuing</w:t>
            </w:r>
          </w:p>
        </w:tc>
        <w:tc>
          <w:tcPr>
            <w:tcW w:w="3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380" w:type="dxa"/>
            <w:vAlign w:val="bottom"/>
          </w:tcPr>
          <w:p>
            <w:pPr>
              <w:spacing w:after="0"/>
              <w:rPr>
                <w:sz w:val="19"/>
                <w:szCs w:val="19"/>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(42)</w:t>
            </w:r>
          </w:p>
        </w:tc>
        <w:tc>
          <w:tcPr>
            <w:tcW w:w="56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(276)</w:t>
            </w:r>
          </w:p>
        </w:tc>
        <w:tc>
          <w:tcPr>
            <w:tcW w:w="580" w:type="dxa"/>
            <w:vAlign w:val="bottom"/>
          </w:tcPr>
          <w:p>
            <w:pPr>
              <w:spacing w:after="0"/>
              <w:rPr>
                <w:sz w:val="19"/>
                <w:szCs w:val="19"/>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(365)</w:t>
            </w:r>
          </w:p>
        </w:tc>
      </w:tr>
      <w:tr>
        <w:trPr>
          <w:trHeight w:val="244"/>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provided by investing activities from</w:t>
            </w:r>
          </w:p>
        </w:tc>
        <w:tc>
          <w:tcPr>
            <w:tcW w:w="38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4"/>
        </w:trPr>
        <w:tc>
          <w:tcPr>
            <w:tcW w:w="5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 xml:space="preserve">discontinued operations </w:t>
            </w:r>
            <w:r>
              <w:rPr>
                <w:rFonts w:ascii="Times New Roman" w:cs="Times New Roman" w:eastAsia="Times New Roman" w:hAnsi="Times New Roman"/>
                <w:sz w:val="22"/>
                <w:szCs w:val="22"/>
                <w:color w:val="auto"/>
                <w:vertAlign w:val="superscript"/>
              </w:rPr>
              <w:t>(c)</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48</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(42)</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(276)</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(317)</w:t>
            </w:r>
          </w:p>
        </w:tc>
      </w:tr>
      <w:tr>
        <w:trPr>
          <w:trHeight w:val="33"/>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800" w:right="440" w:hanging="244"/>
        <w:spacing w:after="0" w:line="282" w:lineRule="auto"/>
        <w:tabs>
          <w:tab w:leader="none" w:pos="77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payments associated with the implementation of our transformation initiatives of $1 million for the 2025 Successor period, $2 million for the 2025 Predecessor period, and $9 million for the 2024 Predecessor period.</w:t>
      </w:r>
    </w:p>
    <w:p>
      <w:pPr>
        <w:ind w:left="800" w:right="760" w:hanging="244"/>
        <w:spacing w:after="0" w:line="268" w:lineRule="auto"/>
        <w:tabs>
          <w:tab w:leader="none" w:pos="787"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2025 Predecessor period primarily reflects proceeds received from the disposition of a noncore business, and all periods include the collection of receivables associated with the 2022 sale of a 37.5% interest in The CW.</w:t>
      </w:r>
    </w:p>
    <w:p>
      <w:pPr>
        <w:spacing w:after="0" w:line="21" w:lineRule="exact"/>
        <w:rPr>
          <w:rFonts w:ascii="Times New Roman" w:cs="Times New Roman" w:eastAsia="Times New Roman" w:hAnsi="Times New Roman"/>
          <w:sz w:val="16"/>
          <w:szCs w:val="16"/>
          <w:color w:val="auto"/>
        </w:rPr>
      </w:pPr>
    </w:p>
    <w:p>
      <w:pPr>
        <w:ind w:left="760" w:hanging="204"/>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2024 Predecessor period reflects additional proceeds received from a working capital adjustment related to the sale of Simon &amp; Schuster in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Financing Activities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262"/>
        </w:trPr>
        <w:tc>
          <w:tcPr>
            <w:tcW w:w="51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56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40" w:type="dxa"/>
            <w:vAlign w:val="bottom"/>
            <w:tcBorders>
              <w:top w:val="single" w:sz="8" w:color="auto"/>
            </w:tcBorders>
          </w:tcPr>
          <w:p>
            <w:pPr>
              <w:spacing w:after="0"/>
              <w:rPr>
                <w:sz w:val="22"/>
                <w:szCs w:val="22"/>
                <w:color w:val="auto"/>
              </w:rPr>
            </w:pPr>
          </w:p>
        </w:tc>
      </w:tr>
      <w:tr>
        <w:trPr>
          <w:trHeight w:val="27"/>
        </w:trPr>
        <w:tc>
          <w:tcPr>
            <w:tcW w:w="5160" w:type="dxa"/>
            <w:vAlign w:val="bottom"/>
          </w:tcPr>
          <w:p>
            <w:pPr>
              <w:spacing w:after="0"/>
              <w:rPr>
                <w:sz w:val="2"/>
                <w:szCs w:val="2"/>
                <w:color w:val="auto"/>
              </w:rPr>
            </w:pPr>
          </w:p>
        </w:tc>
        <w:tc>
          <w:tcPr>
            <w:tcW w:w="1640" w:type="dxa"/>
            <w:vAlign w:val="bottom"/>
            <w:tcBorders>
              <w:bottom w:val="single" w:sz="8" w:color="auto"/>
              <w:right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Borders>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6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January 1 - August</w:t>
            </w:r>
          </w:p>
        </w:tc>
        <w:tc>
          <w:tcPr>
            <w:tcW w:w="16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16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Pr>
          <w:p>
            <w:pPr>
              <w:spacing w:after="0"/>
              <w:rPr>
                <w:sz w:val="19"/>
                <w:szCs w:val="19"/>
                <w:color w:val="auto"/>
              </w:rPr>
            </w:pPr>
          </w:p>
        </w:tc>
        <w:tc>
          <w:tcPr>
            <w:tcW w:w="110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6,</w:t>
            </w:r>
          </w:p>
        </w:tc>
        <w:tc>
          <w:tcPr>
            <w:tcW w:w="16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7"/>
        </w:trPr>
        <w:tc>
          <w:tcPr>
            <w:tcW w:w="5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5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Borders>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19"/>
                <w:szCs w:val="19"/>
                <w:color w:val="auto"/>
              </w:rPr>
            </w:pPr>
          </w:p>
        </w:tc>
        <w:tc>
          <w:tcPr>
            <w:tcW w:w="110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19"/>
                <w:szCs w:val="19"/>
                <w:color w:val="auto"/>
              </w:rPr>
            </w:pPr>
          </w:p>
        </w:tc>
        <w:tc>
          <w:tcPr>
            <w:tcW w:w="1040" w:type="dxa"/>
            <w:vAlign w:val="bottom"/>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 of Skydance credit facility</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(720)</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paid on preferred stock</w:t>
            </w:r>
          </w:p>
        </w:tc>
        <w:tc>
          <w:tcPr>
            <w:tcW w:w="380" w:type="dxa"/>
            <w:vAlign w:val="bottom"/>
          </w:tcPr>
          <w:p>
            <w:pPr>
              <w:spacing w:after="0"/>
              <w:rPr>
                <w:sz w:val="22"/>
                <w:szCs w:val="22"/>
                <w:color w:val="auto"/>
              </w:rPr>
            </w:pPr>
          </w:p>
        </w:tc>
        <w:tc>
          <w:tcPr>
            <w:tcW w:w="126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2"/>
                <w:szCs w:val="22"/>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2"/>
                <w:szCs w:val="22"/>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(29)</w:t>
            </w:r>
          </w:p>
        </w:tc>
      </w:tr>
      <w:tr>
        <w:trPr>
          <w:trHeight w:val="26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380" w:type="dxa"/>
            <w:vAlign w:val="bottom"/>
          </w:tcPr>
          <w:p>
            <w:pPr>
              <w:spacing w:after="0"/>
              <w:rPr>
                <w:sz w:val="22"/>
                <w:szCs w:val="22"/>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(33)</w:t>
            </w:r>
          </w:p>
        </w:tc>
        <w:tc>
          <w:tcPr>
            <w:tcW w:w="560" w:type="dxa"/>
            <w:vAlign w:val="bottom"/>
          </w:tcPr>
          <w:p>
            <w:pPr>
              <w:spacing w:after="0"/>
              <w:rPr>
                <w:sz w:val="22"/>
                <w:szCs w:val="22"/>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(101)</w:t>
            </w:r>
          </w:p>
        </w:tc>
        <w:tc>
          <w:tcPr>
            <w:tcW w:w="580" w:type="dxa"/>
            <w:vAlign w:val="bottom"/>
          </w:tcPr>
          <w:p>
            <w:pPr>
              <w:spacing w:after="0"/>
              <w:rPr>
                <w:sz w:val="22"/>
                <w:szCs w:val="22"/>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(102)</w:t>
            </w:r>
          </w:p>
        </w:tc>
      </w:tr>
      <w:tr>
        <w:trPr>
          <w:trHeight w:val="244"/>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of payroll taxes in lieu of issuing shares for</w:t>
            </w:r>
          </w:p>
        </w:tc>
        <w:tc>
          <w:tcPr>
            <w:tcW w:w="38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80" w:type="dxa"/>
            <w:vAlign w:val="bottom"/>
          </w:tcPr>
          <w:p>
            <w:pPr>
              <w:spacing w:after="0"/>
              <w:rPr>
                <w:sz w:val="19"/>
                <w:szCs w:val="19"/>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(63)</w:t>
            </w:r>
          </w:p>
        </w:tc>
        <w:tc>
          <w:tcPr>
            <w:tcW w:w="56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(26)</w:t>
            </w:r>
          </w:p>
        </w:tc>
        <w:tc>
          <w:tcPr>
            <w:tcW w:w="580" w:type="dxa"/>
            <w:vAlign w:val="bottom"/>
          </w:tcPr>
          <w:p>
            <w:pPr>
              <w:spacing w:after="0"/>
              <w:rPr>
                <w:sz w:val="19"/>
                <w:szCs w:val="19"/>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(21)</w:t>
            </w:r>
          </w:p>
        </w:tc>
      </w:tr>
      <w:tr>
        <w:trPr>
          <w:trHeight w:val="26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to noncontrolling interests</w:t>
            </w:r>
          </w:p>
        </w:tc>
        <w:tc>
          <w:tcPr>
            <w:tcW w:w="380" w:type="dxa"/>
            <w:vAlign w:val="bottom"/>
          </w:tcPr>
          <w:p>
            <w:pPr>
              <w:spacing w:after="0"/>
              <w:rPr>
                <w:sz w:val="22"/>
                <w:szCs w:val="22"/>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w:t>
            </w:r>
          </w:p>
        </w:tc>
        <w:tc>
          <w:tcPr>
            <w:tcW w:w="560" w:type="dxa"/>
            <w:vAlign w:val="bottom"/>
          </w:tcPr>
          <w:p>
            <w:pPr>
              <w:spacing w:after="0"/>
              <w:rPr>
                <w:sz w:val="22"/>
                <w:szCs w:val="22"/>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(32)</w:t>
            </w:r>
          </w:p>
        </w:tc>
        <w:tc>
          <w:tcPr>
            <w:tcW w:w="580" w:type="dxa"/>
            <w:vAlign w:val="bottom"/>
          </w:tcPr>
          <w:p>
            <w:pPr>
              <w:spacing w:after="0"/>
              <w:rPr>
                <w:sz w:val="22"/>
                <w:szCs w:val="22"/>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(120)</w:t>
            </w:r>
          </w:p>
        </w:tc>
      </w:tr>
      <w:tr>
        <w:trPr>
          <w:trHeight w:val="26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380" w:type="dxa"/>
            <w:vAlign w:val="bottom"/>
          </w:tcPr>
          <w:p>
            <w:pPr>
              <w:spacing w:after="0"/>
              <w:rPr>
                <w:sz w:val="22"/>
                <w:szCs w:val="22"/>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(3)</w:t>
            </w:r>
          </w:p>
        </w:tc>
        <w:tc>
          <w:tcPr>
            <w:tcW w:w="560" w:type="dxa"/>
            <w:vAlign w:val="bottom"/>
          </w:tcPr>
          <w:p>
            <w:pPr>
              <w:spacing w:after="0"/>
              <w:rPr>
                <w:sz w:val="22"/>
                <w:szCs w:val="22"/>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2"/>
                <w:szCs w:val="22"/>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(26)</w:t>
            </w:r>
          </w:p>
        </w:tc>
      </w:tr>
      <w:tr>
        <w:trPr>
          <w:trHeight w:val="27"/>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financing activities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(821)</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(159)</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(298)</w:t>
            </w:r>
          </w:p>
        </w:tc>
      </w:tr>
      <w:tr>
        <w:trPr>
          <w:trHeight w:val="33"/>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60"/>
          </w:cols>
          <w:pgMar w:left="320" w:top="587" w:right="919" w:bottom="1440" w:gutter="0" w:footer="0" w:header="0"/>
        </w:sectPr>
      </w:pPr>
    </w:p>
    <w:bookmarkStart w:id="84" w:name="page85"/>
    <w:bookmarkEnd w:id="84"/>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Common Stock Dividends</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following tables present dividends declared per share and total dividends for Paramount Skydance Corporation Class B Common Stock for the Successor period and Paramount Global’s Class A and Class B Common Stock for the Predecessor periods.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Three Months Ended September 30, 2025 and 2024</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55"/>
        </w:trPr>
        <w:tc>
          <w:tcPr>
            <w:tcW w:w="8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38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top w:val="single" w:sz="8" w:color="auto"/>
              <w:bottom w:val="single" w:sz="8" w:color="auto"/>
            </w:tcBorders>
          </w:tcPr>
          <w:p>
            <w:pPr>
              <w:spacing w:after="0"/>
              <w:rPr>
                <w:sz w:val="22"/>
                <w:szCs w:val="22"/>
                <w:color w:val="auto"/>
              </w:rPr>
            </w:pPr>
          </w:p>
        </w:tc>
      </w:tr>
      <w:tr>
        <w:trPr>
          <w:trHeight w:val="194"/>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r>
      <w:tr>
        <w:trPr>
          <w:trHeight w:val="184"/>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Borders>
              <w:right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Period From August</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From July 1</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Ended September</w:t>
            </w:r>
          </w:p>
        </w:tc>
      </w:tr>
      <w:tr>
        <w:trPr>
          <w:trHeight w:val="232"/>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Borders>
              <w:bottom w:val="single" w:sz="8" w:color="auto"/>
              <w:right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7 - September 30,</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 August 6,</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w w:val="99"/>
              </w:rPr>
              <w:t>30,</w:t>
            </w:r>
          </w:p>
        </w:tc>
      </w:tr>
      <w:tr>
        <w:trPr>
          <w:trHeight w:val="229"/>
        </w:trPr>
        <w:tc>
          <w:tcPr>
            <w:tcW w:w="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84"/>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7"/>
              </w:rPr>
              <w:t>Class A and Class B Common Stock</w:t>
            </w:r>
          </w:p>
        </w:tc>
        <w:tc>
          <w:tcPr>
            <w:tcW w:w="194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95"/>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.05</w:t>
            </w:r>
          </w:p>
        </w:tc>
        <w:tc>
          <w:tcPr>
            <w:tcW w:w="380" w:type="dxa"/>
            <w:vAlign w:val="bottom"/>
          </w:tcPr>
          <w:p>
            <w:pPr>
              <w:spacing w:after="0"/>
              <w:rPr>
                <w:sz w:val="24"/>
                <w:szCs w:val="24"/>
                <w:color w:val="auto"/>
              </w:rPr>
            </w:pP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.05</w:t>
            </w:r>
          </w:p>
        </w:tc>
      </w:tr>
      <w:tr>
        <w:trPr>
          <w:trHeight w:val="312"/>
        </w:trPr>
        <w:tc>
          <w:tcPr>
            <w:tcW w:w="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Total common stock dividends</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58</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35</w:t>
            </w:r>
          </w:p>
        </w:tc>
      </w:tr>
      <w:tr>
        <w:trPr>
          <w:trHeight w:val="350"/>
        </w:trPr>
        <w:tc>
          <w:tcPr>
            <w:tcW w:w="5200" w:type="dxa"/>
            <w:vAlign w:val="bottom"/>
            <w:gridSpan w:val="6"/>
          </w:tcPr>
          <w:p>
            <w:pPr>
              <w:ind w:left="620"/>
              <w:spacing w:after="0"/>
              <w:rPr>
                <w:sz w:val="20"/>
                <w:szCs w:val="20"/>
                <w:color w:val="auto"/>
              </w:rPr>
            </w:pPr>
            <w:r>
              <w:rPr>
                <w:rFonts w:ascii="Times New Roman" w:cs="Times New Roman" w:eastAsia="Times New Roman" w:hAnsi="Times New Roman"/>
                <w:sz w:val="16"/>
                <w:szCs w:val="16"/>
                <w:color w:val="auto"/>
              </w:rPr>
              <w:t>n/a - not applicable</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0"/>
        </w:trPr>
        <w:tc>
          <w:tcPr>
            <w:tcW w:w="5200" w:type="dxa"/>
            <w:vAlign w:val="bottom"/>
            <w:gridSpan w:val="6"/>
          </w:tcPr>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2025 and 2024</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5"/>
        </w:trPr>
        <w:tc>
          <w:tcPr>
            <w:tcW w:w="8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229"/>
        </w:trPr>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bottom w:val="single" w:sz="8" w:color="auto"/>
            </w:tcBorders>
          </w:tcPr>
          <w:p>
            <w:pPr>
              <w:spacing w:after="0"/>
              <w:rPr>
                <w:sz w:val="19"/>
                <w:szCs w:val="19"/>
                <w:color w:val="auto"/>
              </w:rPr>
            </w:pPr>
          </w:p>
        </w:tc>
      </w:tr>
      <w:tr>
        <w:trPr>
          <w:trHeight w:val="194"/>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4"/>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Borders>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 August</w:t>
            </w:r>
          </w:p>
        </w:tc>
        <w:tc>
          <w:tcPr>
            <w:tcW w:w="15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r>
      <w:tr>
        <w:trPr>
          <w:trHeight w:val="232"/>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6,</w:t>
            </w: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229"/>
        </w:trPr>
        <w:tc>
          <w:tcPr>
            <w:tcW w:w="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7"/>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Class A and Class B Common Stock</w:t>
            </w:r>
          </w:p>
        </w:tc>
        <w:tc>
          <w:tcPr>
            <w:tcW w:w="32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25"/>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Dividends declared per common share</w:t>
            </w:r>
          </w:p>
        </w:tc>
        <w:tc>
          <w:tcPr>
            <w:tcW w:w="168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7"/>
                <w:szCs w:val="17"/>
                <w:color w:val="auto"/>
              </w:rPr>
              <w:t>.05</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7"/>
                <w:szCs w:val="17"/>
                <w:color w:val="auto"/>
              </w:rPr>
              <w:t>.10</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.15</w:t>
            </w:r>
          </w:p>
        </w:tc>
      </w:tr>
      <w:tr>
        <w:trPr>
          <w:trHeight w:val="315"/>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Total common stock dividends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7"/>
                <w:szCs w:val="17"/>
                <w:color w:val="auto"/>
              </w:rPr>
              <w:t>58</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7"/>
                <w:szCs w:val="17"/>
                <w:color w:val="auto"/>
              </w:rPr>
              <w:t>70</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104</w:t>
            </w:r>
          </w:p>
        </w:tc>
      </w:tr>
      <w:tr>
        <w:trPr>
          <w:trHeight w:val="33"/>
        </w:trPr>
        <w:tc>
          <w:tcPr>
            <w:tcW w:w="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Mandatory Convertible Preferred Stock</w:t>
      </w:r>
    </w:p>
    <w:p>
      <w:pPr>
        <w:spacing w:after="0" w:line="16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9"/>
          <w:szCs w:val="19"/>
          <w:color w:val="auto"/>
        </w:rPr>
        <w:t>During the first quarter of 2024, the final dividend on the Mandatory Convertible Preferred Stock was declared, at a rate of $1.4375 per share, resulting in total dividends of $14 million, which were paid on April 1, 2024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587" w:right="5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Capital Structure</w:t>
      </w:r>
    </w:p>
    <w:p>
      <w:pPr>
        <w:spacing w:after="0" w:line="153"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The following table sets forth our debt, which was recorded at its fair value as of the closing date of the Transactions and the NAI Transaction on August 7, 2025.</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88"/>
        </w:trPr>
        <w:tc>
          <w:tcPr>
            <w:tcW w:w="558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jc w:val="center"/>
              <w:ind w:right="513"/>
              <w:spacing w:after="0"/>
              <w:rPr>
                <w:sz w:val="20"/>
                <w:szCs w:val="20"/>
                <w:color w:val="auto"/>
              </w:rPr>
            </w:pPr>
            <w:r>
              <w:rPr>
                <w:rFonts w:ascii="Times New Roman" w:cs="Times New Roman" w:eastAsia="Times New Roman" w:hAnsi="Times New Roman"/>
                <w:sz w:val="17"/>
                <w:szCs w:val="17"/>
                <w:b w:val="1"/>
                <w:bCs w:val="1"/>
                <w:color w:val="auto"/>
                <w:w w:val="98"/>
              </w:rPr>
              <w:t xml:space="preserve">Successor </w:t>
            </w:r>
            <w:r>
              <w:rPr>
                <w:rFonts w:ascii="Times New Roman" w:cs="Times New Roman" w:eastAsia="Times New Roman" w:hAnsi="Times New Roman"/>
                <w:sz w:val="22"/>
                <w:szCs w:val="22"/>
                <w:color w:val="auto"/>
                <w:w w:val="98"/>
                <w:vertAlign w:val="superscript"/>
              </w:rPr>
              <w:t>(a)</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229"/>
        </w:trPr>
        <w:tc>
          <w:tcPr>
            <w:tcW w:w="5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Borders>
              <w:right w:val="single" w:sz="8" w:color="auto"/>
            </w:tcBorders>
          </w:tcPr>
          <w:p>
            <w:pPr>
              <w:jc w:val="center"/>
              <w:ind w:right="513"/>
              <w:spacing w:after="0"/>
              <w:rPr>
                <w:sz w:val="20"/>
                <w:szCs w:val="20"/>
                <w:color w:val="auto"/>
              </w:rPr>
            </w:pPr>
            <w:r>
              <w:rPr>
                <w:rFonts w:ascii="Times New Roman" w:cs="Times New Roman" w:eastAsia="Times New Roman" w:hAnsi="Times New Roman"/>
                <w:sz w:val="17"/>
                <w:szCs w:val="17"/>
                <w:b w:val="1"/>
                <w:bCs w:val="1"/>
                <w:color w:val="auto"/>
              </w:rPr>
              <w:t>At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62"/>
        </w:trPr>
        <w:tc>
          <w:tcPr>
            <w:tcW w:w="5580" w:type="dxa"/>
            <w:vAlign w:val="bottom"/>
          </w:tcPr>
          <w:p>
            <w:pPr>
              <w:spacing w:after="0"/>
              <w:rPr>
                <w:sz w:val="22"/>
                <w:szCs w:val="22"/>
                <w:color w:val="auto"/>
              </w:rPr>
            </w:pPr>
          </w:p>
        </w:tc>
        <w:tc>
          <w:tcPr>
            <w:tcW w:w="2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80" w:type="dxa"/>
            <w:vAlign w:val="bottom"/>
          </w:tcPr>
          <w:p>
            <w:pPr>
              <w:spacing w:after="0"/>
              <w:rPr>
                <w:sz w:val="22"/>
                <w:szCs w:val="22"/>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7"/>
        </w:trPr>
        <w:tc>
          <w:tcPr>
            <w:tcW w:w="5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debt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12,014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12,868</w:t>
            </w:r>
          </w:p>
        </w:tc>
      </w:tr>
      <w:tr>
        <w:trPr>
          <w:trHeight w:val="26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Junior debt</w:t>
            </w:r>
          </w:p>
        </w:tc>
        <w:tc>
          <w:tcPr>
            <w:tcW w:w="580" w:type="dxa"/>
            <w:vAlign w:val="bottom"/>
          </w:tcPr>
          <w:p>
            <w:pPr>
              <w:spacing w:after="0"/>
              <w:rPr>
                <w:sz w:val="22"/>
                <w:szCs w:val="22"/>
                <w:color w:val="auto"/>
              </w:rPr>
            </w:pP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1,616</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1,633</w:t>
            </w:r>
          </w:p>
        </w:tc>
      </w:tr>
      <w:tr>
        <w:trPr>
          <w:trHeight w:val="26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Obligations under finance leases</w:t>
            </w:r>
          </w:p>
        </w:tc>
        <w:tc>
          <w:tcPr>
            <w:tcW w:w="580" w:type="dxa"/>
            <w:vAlign w:val="bottom"/>
          </w:tcPr>
          <w:p>
            <w:pPr>
              <w:spacing w:after="0"/>
              <w:rPr>
                <w:sz w:val="22"/>
                <w:szCs w:val="22"/>
                <w:color w:val="auto"/>
              </w:rPr>
            </w:pP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5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Total debt </w:t>
            </w:r>
            <w:r>
              <w:rPr>
                <w:rFonts w:ascii="Times New Roman" w:cs="Times New Roman" w:eastAsia="Times New Roman" w:hAnsi="Times New Roman"/>
                <w:sz w:val="22"/>
                <w:szCs w:val="22"/>
                <w:color w:val="auto"/>
                <w:vertAlign w:val="superscript"/>
              </w:rPr>
              <w:t>(b)</w:t>
            </w:r>
          </w:p>
        </w:tc>
        <w:tc>
          <w:tcPr>
            <w:tcW w:w="580" w:type="dxa"/>
            <w:vAlign w:val="bottom"/>
          </w:tcPr>
          <w:p>
            <w:pPr>
              <w:spacing w:after="0"/>
              <w:rPr>
                <w:sz w:val="22"/>
                <w:szCs w:val="22"/>
                <w:color w:val="auto"/>
              </w:rPr>
            </w:pP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13,633</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14,501</w:t>
            </w:r>
          </w:p>
        </w:tc>
      </w:tr>
      <w:tr>
        <w:trPr>
          <w:trHeight w:val="228"/>
        </w:trPr>
        <w:tc>
          <w:tcPr>
            <w:tcW w:w="5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current portion</w:t>
            </w:r>
          </w:p>
        </w:tc>
        <w:tc>
          <w:tcPr>
            <w:tcW w:w="580" w:type="dxa"/>
            <w:vAlign w:val="bottom"/>
          </w:tcPr>
          <w:p>
            <w:pPr>
              <w:spacing w:after="0"/>
              <w:rPr>
                <w:sz w:val="19"/>
                <w:szCs w:val="19"/>
                <w:color w:val="auto"/>
              </w:rPr>
            </w:pP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5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 net of current portion</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13,286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14,501</w:t>
            </w:r>
          </w:p>
        </w:tc>
      </w:tr>
      <w:tr>
        <w:trPr>
          <w:trHeight w:val="33"/>
        </w:trPr>
        <w:tc>
          <w:tcPr>
            <w:tcW w:w="5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720" w:right="600" w:hanging="243"/>
        <w:spacing w:after="0" w:line="260" w:lineRule="auto"/>
        <w:tabs>
          <w:tab w:leader="none" w:pos="69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Pushdown of the Ultimate Parent’s basis, our debt was recorded at fair value, which resulted in a decrease to our total debt balance of $898 million, reflecting the reversal of a net unamortized discount of $390 million and unamortized deferred financing fees of $71 million, and a reduction of $1.36 billion to adjust our debt to its fair value. The adjustments to fair value for each of our senior and junior debt issuances will be amortized over the remaining term of the applicable issuance within interest expense.</w:t>
      </w:r>
    </w:p>
    <w:p>
      <w:pPr>
        <w:spacing w:after="0" w:line="133" w:lineRule="exact"/>
        <w:rPr>
          <w:rFonts w:ascii="Times New Roman" w:cs="Times New Roman" w:eastAsia="Times New Roman" w:hAnsi="Times New Roman"/>
          <w:sz w:val="16"/>
          <w:szCs w:val="16"/>
          <w:color w:val="auto"/>
        </w:rPr>
      </w:pPr>
    </w:p>
    <w:p>
      <w:pPr>
        <w:ind w:left="720" w:right="500" w:hanging="243"/>
        <w:spacing w:after="0" w:line="262" w:lineRule="auto"/>
        <w:tabs>
          <w:tab w:leader="none" w:pos="70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2025 (Successor), our senior and junior debt balances were net of unamortized fair value adjustments totaling $1.35 billion. At December 31, 2024 (Predecessor), the senior and junior debt balances included a net unamortized discount of $401 million and unamortized deferred financing costs of $74 million. The face value of our total debt at both September 30, 2025 (Successor) and December 31, 2024 (Predecessor) was $14.98 billion.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Debt</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At September 30, 2025 (Successor), our senior debt was comprised of senior notes and debentures due between 2026 and 2050 with interest rates ranging from 2.90% to 7.875%.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Junior Debt</w:t>
      </w:r>
    </w:p>
    <w:p>
      <w:pPr>
        <w:spacing w:after="0" w:line="11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At September 30, 2025 (Successor), our junior debt was comprised of $627 million 6.25% junior subordinated debentures due 2057 and $989 million 6.375% junior subordinated debentures due 2062. The subordination and extended term, as well as an interest deferral option of our junior subordinated debentures provide significant credit protection measures for senior creditors and, as a result of these features, the debentures received a 50% equity credit by Standard &amp; Poor’s Rating Services, Fitch Ratings Inc., and Moody’s Investors Service,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86" w:name="page87"/>
    <w:bookmarkEnd w:id="86"/>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Supplemental Guarantor Financial Information</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Paramount Global is a 100% owned subsidiary of Paramount Skydance Corporation. Upon the closing of the Transactions, Paramount Skydance Corporation provided a full and unconditional parent guarantee of Paramount Global’s senior and junior debt. None of Paramount Skydance Corporation’s other subsidiaries are guarantors of Paramount Global’s debt.</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The tables below present summarized financial information for Paramount Skydance Corporation, the parent guarantor, and Paramount Global, the issuer (jointly the “Obligor Group”) on a combined basis after elimination of intercompany transactions and balances, and do not include nonguarantor and nonissuer subsidiaries. This summarized financial information has been prepared and presented pursuant to the Securities and Exchange Commission Regulation S-X Rule 13-01, “Financial Disclosures about Guarantors and Issuers of Guaranteed Securities” and is not intended to present the financial position or results of operations of the Obligor Group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1185545</wp:posOffset>
            </wp:positionH>
            <wp:positionV relativeFrom="paragraph">
              <wp:posOffset>100965</wp:posOffset>
            </wp:positionV>
            <wp:extent cx="477139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71390" cy="16510"/>
                    </a:xfrm>
                    <a:prstGeom prst="rect">
                      <a:avLst/>
                    </a:prstGeom>
                    <a:noFill/>
                  </pic:spPr>
                </pic:pic>
              </a:graphicData>
            </a:graphic>
          </wp:anchor>
        </w:drawing>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6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6"/>
                <w:szCs w:val="16"/>
                <w:b w:val="1"/>
                <w:bCs w:val="1"/>
                <w:color w:val="auto"/>
              </w:rPr>
              <w:t>Summarized Statement of Operations</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47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 August 7 -</w:t>
            </w:r>
          </w:p>
        </w:tc>
        <w:tc>
          <w:tcPr>
            <w:tcW w:w="2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8"/>
                <w:szCs w:val="18"/>
                <w:color w:val="auto"/>
              </w:rPr>
            </w:pPr>
          </w:p>
        </w:tc>
      </w:tr>
      <w:tr>
        <w:trPr>
          <w:trHeight w:val="31"/>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center"/>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loss</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(129)</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Intercompany interest</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(108)</w:t>
            </w: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5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5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6"/>
                <w:szCs w:val="16"/>
                <w:b w:val="1"/>
                <w:bCs w:val="1"/>
                <w:color w:val="auto"/>
              </w:rPr>
              <w:t>Summarized Balance Sheet</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0" w:type="dxa"/>
            <w:vAlign w:val="bottom"/>
            <w:tcBorders>
              <w:bottom w:val="single" w:sz="8" w:color="auto"/>
            </w:tcBorders>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rPr>
              <w:t>At</w:t>
            </w:r>
          </w:p>
        </w:tc>
        <w:tc>
          <w:tcPr>
            <w:tcW w:w="20" w:type="dxa"/>
            <w:vAlign w:val="bottom"/>
          </w:tcPr>
          <w:p>
            <w:pPr>
              <w:spacing w:after="0"/>
              <w:rPr>
                <w:sz w:val="18"/>
                <w:szCs w:val="18"/>
                <w:color w:val="auto"/>
              </w:rPr>
            </w:pPr>
          </w:p>
        </w:tc>
      </w:tr>
      <w:tr>
        <w:trPr>
          <w:trHeight w:val="247"/>
        </w:trPr>
        <w:tc>
          <w:tcPr>
            <w:tcW w:w="20" w:type="dxa"/>
            <w:vAlign w:val="bottom"/>
            <w:tcBorders>
              <w:bottom w:val="single" w:sz="8" w:color="auto"/>
            </w:tcBorders>
          </w:tcPr>
          <w:p>
            <w:pPr>
              <w:spacing w:after="0"/>
              <w:rPr>
                <w:sz w:val="21"/>
                <w:szCs w:val="21"/>
                <w:color w:val="auto"/>
              </w:rPr>
            </w:pPr>
          </w:p>
        </w:tc>
        <w:tc>
          <w:tcPr>
            <w:tcW w:w="5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20" w:type="dxa"/>
            <w:vAlign w:val="bottom"/>
            <w:tcBorders>
              <w:bottom w:val="single" w:sz="8" w:color="auto"/>
            </w:tcBorders>
          </w:tcPr>
          <w:p>
            <w:pPr>
              <w:spacing w:after="0"/>
              <w:rPr>
                <w:sz w:val="21"/>
                <w:szCs w:val="21"/>
                <w:color w:val="auto"/>
              </w:rPr>
            </w:pPr>
          </w:p>
        </w:tc>
      </w:tr>
      <w:tr>
        <w:trPr>
          <w:trHeight w:val="23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1,966</w:t>
            </w:r>
          </w:p>
        </w:tc>
        <w:tc>
          <w:tcPr>
            <w:tcW w:w="20" w:type="dxa"/>
            <w:vAlign w:val="bottom"/>
          </w:tcPr>
          <w:p>
            <w:pPr>
              <w:spacing w:after="0"/>
              <w:rPr>
                <w:sz w:val="20"/>
                <w:szCs w:val="20"/>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585</w:t>
            </w:r>
          </w:p>
        </w:tc>
        <w:tc>
          <w:tcPr>
            <w:tcW w:w="20" w:type="dxa"/>
            <w:vAlign w:val="bottom"/>
          </w:tcPr>
          <w:p>
            <w:pPr>
              <w:spacing w:after="0"/>
              <w:rPr>
                <w:sz w:val="22"/>
                <w:szCs w:val="22"/>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Debt, current</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346</w:t>
            </w:r>
          </w:p>
        </w:tc>
        <w:tc>
          <w:tcPr>
            <w:tcW w:w="20" w:type="dxa"/>
            <w:vAlign w:val="bottom"/>
          </w:tcPr>
          <w:p>
            <w:pPr>
              <w:spacing w:after="0"/>
              <w:rPr>
                <w:sz w:val="22"/>
                <w:szCs w:val="22"/>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589</w:t>
            </w:r>
          </w:p>
        </w:tc>
        <w:tc>
          <w:tcPr>
            <w:tcW w:w="20" w:type="dxa"/>
            <w:vAlign w:val="bottom"/>
          </w:tcPr>
          <w:p>
            <w:pPr>
              <w:spacing w:after="0"/>
              <w:rPr>
                <w:sz w:val="22"/>
                <w:szCs w:val="22"/>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13,284</w:t>
            </w:r>
          </w:p>
        </w:tc>
        <w:tc>
          <w:tcPr>
            <w:tcW w:w="20" w:type="dxa"/>
            <w:vAlign w:val="bottom"/>
          </w:tcPr>
          <w:p>
            <w:pPr>
              <w:spacing w:after="0"/>
              <w:rPr>
                <w:sz w:val="22"/>
                <w:szCs w:val="22"/>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Noncurrent liabilities</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2,362</w:t>
            </w:r>
          </w:p>
        </w:tc>
        <w:tc>
          <w:tcPr>
            <w:tcW w:w="20" w:type="dxa"/>
            <w:vAlign w:val="bottom"/>
          </w:tcPr>
          <w:p>
            <w:pPr>
              <w:spacing w:after="0"/>
              <w:rPr>
                <w:sz w:val="22"/>
                <w:szCs w:val="22"/>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payable to nonguarantor subsidiaries</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975</w:t>
            </w:r>
          </w:p>
        </w:tc>
        <w:tc>
          <w:tcPr>
            <w:tcW w:w="20" w:type="dxa"/>
            <w:vAlign w:val="bottom"/>
          </w:tcPr>
          <w:p>
            <w:pPr>
              <w:spacing w:after="0"/>
              <w:rPr>
                <w:sz w:val="22"/>
                <w:szCs w:val="22"/>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5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Commercial Paper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September 30, 2025 (Successor) and December 31, 2024 (Predecessor), we had no outstanding commercial paper borrowings.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Facility</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On August 7, 2025, in connection with the closing of the Transactions and pursuant to the August 2024 amendment to the Credit Facility (which is further described below), Paramount Skydance Corporation entered into a joinder agreement pursuant to which it joined Paramount Global’s $3.50 billion revolving credit facility, which matures in January 2027 (the “Credit Facility”). The Credit Facility is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587" w:right="45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 EURIBOR, SONIA and TIBOR, respectively. At September 30, 2025, we had no borrowings outstanding under the Credit Facility and the availability under the Credit Facility was $3.50 billion.</w:t>
      </w:r>
    </w:p>
    <w:p>
      <w:pPr>
        <w:spacing w:after="0" w:line="2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The maximum Leverage Ratio was 5.00x for the quarter ended September 30, 2025 (Successor) and will decrease 0.25x for each subsequent quarter until the quarter ending March 31, 2026 when it will be 4.5x,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In May 2025, Paramount Global entered into an amendment to the Credit Facility which increased the maximum amount of unrestricted cash and cash equivalents that can be netted against Consolidated Indebtedness in the calculation of the Leverage Ratio, from $1.50 billion to $3.0 billion, effective immediately, and amended the definition of Consolidated EBITDA to include an additional add-back (which is capped at 15% of Consolidated EBITDA after giving effect to such add-back) for cash items associated with provisions for restructuring or other business optimization programs, litigation and environmental reserves and losses on the disposition of businesses. We met the covenant as of September 30, 2025 (Successor).</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The Credit Facility also includes a provision that the occurrence of a change of control will be an event of default that would give the lenders the right to accelerate any outstanding loans and terminate their commitments. In August 2024, Paramount Global entered into amendments to the Credit Facility and the $1.9 billion standby letter of credit facility (see Note 14), which, among other things, revised the change of control provision and related definitions to reflect the ownership structure of Paramount after giving effect to the Transactions and the NAI Transaction. These amendments became operative upon closing of the Transactions.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Upon the closing of the Transactions, Paramount Skydance Corporation entered into guarantee agreements providing for a full and unconditional parent guarantee of Paramount Global’s obligations with respect to any commercial paper borrowings incurred, and in accordance with the August 2024 amendment to the Credit Facility, a full and unconditional parent guarantee of Paramount Global’s obligations under the Credit Agreement went into effect.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Bank Borrowings</w:t>
      </w:r>
    </w:p>
    <w:p>
      <w:pPr>
        <w:spacing w:after="0" w:line="151"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9"/>
          <w:szCs w:val="19"/>
          <w:color w:val="auto"/>
        </w:rPr>
        <w:t>At both September 30, 2025 (Successor) and December 31, 2024 (Predecessor), we had no outstanding bank borrowings under Miramax’s $50 million credit facility that matures in November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At September 30, 2025 (Successor), we had outstanding letters of credit and surety bonds of $673 million that were not recorded on the Consolidated Balance Sheet, including $436 million issued under a $1.9 billion standby letter of credit facility in accordance with the contractual requirements of one of our commitments. The amount outstanding under the letter of credit decreases throughout 2025 as we make payments under the related contractual commitment. Letters of credit and surety bonds are primarily used as security against non-performance in the normal course of business under contractual requirements of certain of our commitments. The standby letter of credit facility, which matures in May 2026, is subject to provisions similar to the Credit Facility, including the same principal financial covenant (see Note 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Estimates</w:t>
      </w:r>
    </w:p>
    <w:p>
      <w:pPr>
        <w:spacing w:after="0" w:line="1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See “Critical Accounting Estimates” in Item 7, “Management's Discussion and Analysis of Results of Operations and Financial Condition” in the Annual Report on Form 10-K of our Predecessor, Paramount Global, for the year ended December 31, 2024 for a discussion of accounting policies that are considered by management to require significant judgment and use of estimates and that could have a material impact on our financial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Goodwill and Intangible Assets Impairment Tests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FCC Licenses—Change in Accounting Estimate</w:t>
      </w:r>
    </w:p>
    <w:p>
      <w:pPr>
        <w:spacing w:after="0" w:line="15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9"/>
          <w:szCs w:val="19"/>
          <w:color w:val="auto"/>
        </w:rPr>
        <w:t>FCC licenses have historically been classified as indefinite-lived intangible assets. However, as a result of sustained declines in industry projections, including in long-term growth rate assumptions, we reassessed this classification and determined that FCC licenses would be classified as finite-lived intangible assets. Accordingly, during the third quarter of 2025, we began amortizing FCC licenses on a straight-line basis over a period of 30 years. As of September 30, 2025, the unamortized FCC licenses balance was $2.49 billion, which was included within “Intangible assets, net” on the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Pushdown of Ultimate Parent’s Basis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At the time Paramount Global and Skydance became subsidiaries of Paramount Skydance Corporation, the Ellison Family controlled both Paramount Global and Skydance, and as a result, this transaction has been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As a result, the net assets of Paramount Global were recorded at their estimated fair value as of this date. Since the net assets of Skydance were already at the Ultimate Parent’s basis, no adjustment to the fair value of net assets was necessary, and Skydance was combined with Paramount Global’s net assets at the Ultimate Parent’s basis as of this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The allocation of the Ultimate Parent’s basis as of August 7, 2025 to Paramount Global’s assets, liabilities and noncontrolling interests requires the use of significant judgments to determine the inputs used to calculate the estimated fair values, including long-term projections, discount rates, royalty rates, and decay rates. These fair value estimates may differ materially based upon the finalization of appraisals and other valuation analyses, which are expected no later than one year from the Closing Date. Refer to Note 2 to the Consolidated Financial Statements for additional discussion of the valuation methodologies used to calculate the preliminary estimated fair values.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5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Relating to the Transactions</w:t>
      </w:r>
    </w:p>
    <w:p>
      <w:pPr>
        <w:spacing w:after="0" w:line="16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In connection with the Transactions, on July 24, 2024, Scott Baker, a purported holder of Paramount Global Class B Common Stock, filed a putative class action lawsuit in the Court of Chancery of the State of Delaware (the “Court”) against NAI, Shari E. Redstone, Barbara M. Byrne, Linda M. Griego, Judith A. McHale, Charles E. Phillips, Jr., Susan Schuman, Skydance and David Ellison (the “Baker Action”). The complaint alleges breaches of fiduciary duties to Class B stockholders in connection with the negotiation and approval of the Transaction Agreement, among other claims, and seeks unspecified damages, costs and expenses, as well as other relief. On November 4, 2024, the Court granted the parties’ stipulation in the Baker Action agreeing to (i) postpone briefing on motions to dismiss until the filing or designation of an operative complaint following resolution of the plaintiff’s motion to appoint him and the Baerlocher Family Trust, a purported holder of Paramount Global Class B Common Stock, as co-lead plaintiffs and Berger Montague PC as interim class counsel (the “Baker Leadership Motion”), and (ii) stay discovery until resolution of any motions to dismiss any operative complaint following resolution of the Baker Leadership Motion. Throughout October 2024, various purported stockholders filed motions for intervention to oppose the Baker Leadership Motion. On December 31, 2024, the plaintiff, along with Mark Baerlocher, as trustee for the Baerlocher Family Trust, filed an amended complaint alleging the same breaches of fiduciary duties against the same defendants as in the original complaint. On June 27, 2025, counsel for Mr. Baker informed the Court that the Baker Leadership Motion would be withdrawn without prejudice and that the group of purported stockholders seeking lead plaintiff status would meet and confer to propose a schedule for resolving lead plaintiff applications.</w:t>
      </w:r>
    </w:p>
    <w:p>
      <w:pPr>
        <w:spacing w:after="0" w:line="21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On April 30, 2024, the State of Rhode Island Office of the General Treasurer, on behalf of the Employees’ Retirement System of Rhode Island, a purported holder of Paramount Global Class B Common Stock filed a verified complaint for the inspection of books and records under Section 220 of the General Corporation Law of the State of Delaware (the “DGCL”) in the Court against us, seeking the inspection of our books and records in order to investigate whether our Board of Directors, NAI, Shari E. Redstone and/or our executive officers may have breached their fiduciary duties to our stockholders for alleged diversion of corporate opportunities (the “220 Action”). The magistrate judge held a trial on July 24, 2024, and denied the request for inspection. The plaintiff noticed an exception to the Court, and on January 29, 2025, the Court ruled that the plaintiff is entitled to obtain books and records that are both necessary and sufficient to fulfill the purpose of its request. On February 25, 2025,</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the Court granted an implementing order returning the 220 Action to the magistrate judge for further proceedings on the scope of production. On March 24, 2025, the Court granted our application for certification of interlocutory appeal to the Delaware Supreme Court, which was accepted on April 30, 2025. Briefing on the appeal is complete. Certain other purported holders of Paramount Global Class B Common Stock and Class A Common Stock have delivered demand letters to investigate similar alleged breaches of fiduciary duties in connection with the Transactions and requested the inspection of books and records. We have also received demand letters from purported holders of Paramount Global Class B Common Stock related to alleged omissions in New Paramount’s registration statement on Form S-4.</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Additionally, on August 20, 2024, LiveVideo.AI Corp. filed a lawsuit in the U.S. District Court for the Southern District of New York against Shari E.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and other relief. The defendants were never served. The parties exchanged several filings related to service and default. On August 12, 2025, the magistrate judge issued a Report and Recommendation recommending that the case be dismissed and the court impose $10,000 in monetary sanctions against LiveVideo.AI Corp. The district judge adopted the report in full on September 30, 2025, dismissing the case, imposing the sanctions, and enjoining LiveVideo.AI Corp. from filing any further lawsuits in any federal district court arising out of the Transactions.</w:t>
      </w:r>
    </w:p>
    <w:p>
      <w:pPr>
        <w:spacing w:after="0" w:line="19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9"/>
          <w:szCs w:val="19"/>
          <w:color w:val="auto"/>
        </w:rPr>
        <w:t>On August 13, 2025, Gabelli Value 25 Fund Inc. (“Gabelli”) filed a putative class action complaint against Barbara M. Byrne, Linda M. Griego, Judith A. McHale, Charles E. Phillips, Jr., Susan Schuman (the “Special Committee Defendants”), Harbor Lights Entertainment, Inc. (f/k/a National Amusements, Inc.) and Shari Redstone (the “NAI Defendants”), and Skydance Media, LLC and RB Tentpole LP (the “Skydance Defendants”), alleging causes of action for breach of fiduciary duty against all defendants and unjust enrichment against the NAI Defendants. Gabelli seeks a declaratory judgment, damages, including rescissory damages and/or quasi-appraisal damages, disgorgement of NAI’s profits, fees and costs, and pre- and post-judgment interest. On September 16, 2025, the Skydance Defendants filed placeholder motions to dismiss, and Gabelli filed a motion to be appointed as interim lead plaintiff representing former minority holders of Class A shares of pre-Transaction Paramount (the “Gabelli Class A Leadership Motion”). On October 16, 2025, counsel for Gabelli filed a letter with the Court indicating that no competing motions or objections to the Gabelli Class A Leadership Motion were filed and proposed that the Court appoint Gabelli as lead plaintiff.</w:t>
      </w:r>
    </w:p>
    <w:p>
      <w:pPr>
        <w:spacing w:after="0" w:line="19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On February 4, 2025, New York City Employees’ Retirement System, the New York City Fire Department Pension Fund, the New York City Police Pension Fund, the New York City Board of Education Retirement System, and the Teachers’ Retirement System of the City of New York, purported holders of Paramount Global Class B Common Stock and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claimed was superior to the Transactions (the “NYCERS Action”). The plaintiffs argue that the no-shop provision in the Transaction Agreement should be declared invalid and unenforceable because it prevented the parties from engaging in further deal discussions and negotiations with companies other than Skydance, including, specifically, Project Rise Partners, after the no-shop period began.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were not named as defendants in the original complaint. The NYCERS Action originally sought, among other forms of relief, an order from the Court enjoining the closing of the Transactions until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9"/>
          <w:szCs w:val="19"/>
          <w:color w:val="auto"/>
        </w:rPr>
        <w:t>Court reached a final resolution on the plaintiffs’ claims and an order compelling the Special Committee to evaluate Project Rise Partners’ alternative offer to, among other things, acquire Paramount Global Class A Common Stock for $23.00 per share and Paramount Global Class B Common Stock for $19.00 per share. The Project Rise Partners’ offer was made after the go-shop period in the Transaction Agreement had ended. The complaint does not seek compensatory damages. The plaintiffs filed a motion for expedited proceedings along with their complaint. On February 18, 2025, the plaintiffs moved to join Paramount and Skydance (and various other entities named in the Transaction Agreement) as necessary parties to the litigation and moved for a temporary restraining order preventing the closing of the Transactions until the Court considered the plaintiffs’ anticipated motion for injunctive relief following expedited discovery. The parties reached agreement to withdraw plaintiffs’ request for expedition and their application for injunctive relief in exchange for targeted discovery from certain of the defendants and third parties. The matter is in discovery.</w:t>
      </w:r>
    </w:p>
    <w:p>
      <w:pPr>
        <w:spacing w:after="0" w:line="19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9"/>
          <w:szCs w:val="19"/>
          <w:color w:val="auto"/>
        </w:rPr>
        <w:t>On April 8, 2025, Metropolitan Water Reclamation District Retirement Fund, Laborers’ and Retirement Board Employees’ Annuity and Benefit Fund of Chicago, Gary Mendelsohn, and Park Employees’ Annuity and Benefit Fund of Chicago, purported holders of Class B Common Stock, filed a complaint for the inspection of books and records under Section 220 of the DGCL in the Court against us to maintain standing to enforce their statutory inspection rights and seek an order that Paramount produce all the books and records identified in their Section 220 demands to investigate possible breaches of fiduciary duties in connection with the Transactions. The complaint alleges that the documents produced to such purported stockholders thus far pursuant to their Section 220 demands are insufficient. The complaint seeks an order requiring us to produce the documents identified in their Section 220 demands, among other relief. On April 21, 2025, the Court approved a stipulation by the parties to stay all proceedings in the action in an effort to resolve the dispute.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Distribution Agreements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In October 2024, Sony Pictures Television Inc., along with Jeopardy Productions, Inc. and Califon Productions, Inc. (collectively, “Sony”), filed a civil complaint for damages against CBS Studios Inc. in the Superior Court of the State of California, for Los Angeles County, asserting a breach of contract claim against us relating to our exclusive right to distribute Wheel of Fortune and Jeopardy! (the “Distribution Agreements”). In December 2024, we filed a cross-complaint against Sony seeking, among other things, a declaration that the Distribution Agreements remain in full force and effect. On February 3, 2025, Sony purported to assume our distribution functions, and on February 4, 2025, we filed an ex parte application, seeking a temporary restraining order preventing Sony from assuming these distribution functions, which the trial court granted on February 5, 2025. On April 10, 2025, the trial court declined to issue a preliminary injunction preventing Sony from assuming these distribution functions for the duration of the litigation. On April 11, 2025, we appealed the trial court’s ruling and requested a stay of the order denying the preliminary injunction, which was granted on April 16, 2025. The parties have reached a settlement of this matter.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5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92" w:name="page93"/>
    <w:bookmarkEnd w:id="92"/>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September 30, 2025 (Successor), we had pending approximately 17,540 asbestos claims, as compared with approximately 18,310 as of December 31, 2024 (Predecessor). For the period from August 7 - September 30, 2025 (Successor) and for the period from July 1 - August 6, 2025 (Predecessor) we received approximately 450 and 330 new claims, respectively, and closed or moved to an inactive docket approximately 910 and 120 claims, respectively.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2024 (Predecessor) and 2023 (Predecessor) for settlement and defense of asbestos claims after insurance recoveries and net of tax were approximately $34 million and $54 million, respectively. Our costs for settlement and defense of asbestos claims may vary year to year and insurance proceeds are not always recovered in the same period as the insured portion of the expenses.</w:t>
      </w:r>
    </w:p>
    <w:p>
      <w:pPr>
        <w:spacing w:after="0" w:line="19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17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9"/>
          <w:szCs w:val="19"/>
          <w:color w:val="auto"/>
        </w:rPr>
        <w:t>In connection with recording Paramount Global’s net assets at the Ultimate Parent’s basis, “Other liabilities” was increased to reflect the fair value of Paramount Global’s estimated contingent liabilities for the defense and settlement of asbestos lawsuits as well as claims from federal and state environmental regulatory agencies and other entities asserting liability for environmental cleanup costs and related damages (See Note 2). The estimated fair value of the asbestos-related liability was determined in consultation with a third-party firm with expertise in estimating asbestos liability and represents the estimate of the amount a third party would pay to take on the risk of any asbestos-related future losses. While we believe that our accruals for these matters are adequate, there can be no assurance that circumstances will not change in future periods and, as a result, our actual liabilities may be higher or lower than our accrual.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Accounting Pronouncements Not Yet Adopted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Cautionary Note Concerning Forward-Looking Statements</w:t>
      </w:r>
    </w:p>
    <w:p>
      <w:pPr>
        <w:spacing w:after="0" w:line="1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This Quarterly Report on Form 10-Q contains both historical and forward-looking statements, including statements related to our future financial results and performance, potential achievements, anticipated reporting segments and industry changes and developments.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related to our streaming business; the adverse impact on our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our decisions to make investments in new businesses, products, services and technologies, and the evolution of our business strategy; the potential for loss of carriage or other reduction in or the impact of negotiations for the distribution of our content; damage to our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our businesses generally, including tariffs and other changes in trade policies; the inability to hire or retain key employees or secure creative talent; disruptions to our operations as a result of labor disputes; the risks and costs associated with the integration of, and our ability to integrate, the businesses of Paramount Global and Skydance Media, LLC successfully and to achieve anticipated synergies; volatility in the prices of our Class B Common Stock; potential conflicts of interest arising from our ownership structure with a controlling stockholder; and other factors described in our news releases and filings with the Securities and Exchange Commission, including but not limited to Paramount Global’s most recent Annual Report on Form 10-K and their and our reports on Form 10-Q and Form 8-K. There may be additional risks, uncertainties and factors that we do not currently view as material or that are not necessarily known. The forward-looking statements included in this Quarterly Report on Form 10-Q are made only as of the date of this report, and we do not undertake any obligation to publicly update any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94" w:name="page95"/>
    <w:bookmarkEnd w:id="94"/>
    <w:p>
      <w:pPr>
        <w:ind w:left="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8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There have been no significant changes to market risk since reported in Annual Report on Form 10-K of our Predecessor, Paramount Global, for the year ended December 31, 2024.</w:t>
      </w:r>
    </w:p>
    <w:p>
      <w:pPr>
        <w:spacing w:after="0" w:line="182"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9"/>
          <w:szCs w:val="19"/>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3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color w:val="auto"/>
        </w:rPr>
        <w:t>Our principal executive officer and principal financial officer have concluded that, as of the end of the period covered by this report, our disclosure controls and procedures (as defined in Rules 13a-15(e) or 15d-15(e) of the Securities Exchange Act of 1934, as amended) were effective, based on the evaluation of these controls and procedures required by Rule 13a-15(b) or 15d-15(b) of the Securities Exchange Act of 1934, as amended.</w:t>
      </w:r>
    </w:p>
    <w:p>
      <w:pPr>
        <w:spacing w:after="0" w:line="185"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9"/>
          <w:szCs w:val="19"/>
          <w:color w:val="auto"/>
        </w:rPr>
        <w:t>No change in our internal control over financial reporting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269"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p>
      <w:pPr>
        <w:spacing w:after="0" w:line="345"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32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The information set forth in Note 14 to the consolidated financial statements appearing in Item 1 of Part I of this Quarterly Report on Form 10-Q under the caption “Legal Matters” is incorporated by reference herein.</w:t>
      </w:r>
    </w:p>
    <w:p>
      <w:pPr>
        <w:spacing w:after="0" w:line="209"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9"/>
          <w:szCs w:val="19"/>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69"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9"/>
          <w:szCs w:val="19"/>
          <w:color w:val="auto"/>
        </w:rPr>
        <w:t>There have been no material changes to the risk factors previously disclosed in Item 1A of the Annual Report on Form 10-K of our Predecessor, Paramount Global, for the year ended December 31, 2024 (filed with the Securities and Exchange Commission on February 26, 2025).</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Unregistered Sales of Equity Securities and Use of Proceeds.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Purchases of Equity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360" w:right="439" w:bottom="1440" w:gutter="0" w:footer="0" w:header="0"/>
        </w:sectPr>
      </w:pPr>
    </w:p>
    <w:bookmarkStart w:id="96" w:name="page97"/>
    <w:bookmarkEnd w:id="96"/>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319" w:lineRule="exact"/>
        <w:rPr>
          <w:sz w:val="20"/>
          <w:szCs w:val="20"/>
          <w:color w:val="auto"/>
        </w:rPr>
      </w:pPr>
    </w:p>
    <w:p>
      <w:pPr>
        <w:ind w:left="180"/>
        <w:spacing w:after="0"/>
        <w:tabs>
          <w:tab w:leader="none" w:pos="5200" w:val="left"/>
        </w:tabs>
        <w:rPr>
          <w:sz w:val="20"/>
          <w:szCs w:val="20"/>
          <w:color w:val="auto"/>
        </w:rPr>
      </w:pPr>
      <w:r>
        <w:rPr>
          <w:rFonts w:ascii="Times New Roman" w:cs="Times New Roman" w:eastAsia="Times New Roman" w:hAnsi="Times New Roman"/>
          <w:sz w:val="19"/>
          <w:szCs w:val="19"/>
          <w:b w:val="1"/>
          <w:bCs w:val="1"/>
          <w:color w:val="auto"/>
        </w:rPr>
        <w:t>Exhibit No.</w:t>
      </w:r>
      <w:r>
        <w:rPr>
          <w:sz w:val="20"/>
          <w:szCs w:val="20"/>
          <w:color w:val="auto"/>
        </w:rPr>
        <w:tab/>
      </w:r>
      <w:r>
        <w:rPr>
          <w:rFonts w:ascii="Times New Roman" w:cs="Times New Roman" w:eastAsia="Times New Roman" w:hAnsi="Times New Roman"/>
          <w:sz w:val="19"/>
          <w:szCs w:val="19"/>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wp:posOffset>
            </wp:positionV>
            <wp:extent cx="71196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spacing w:after="0" w:line="63" w:lineRule="exact"/>
        <w:rPr>
          <w:sz w:val="20"/>
          <w:szCs w:val="20"/>
          <w:color w:val="auto"/>
        </w:rPr>
      </w:pPr>
    </w:p>
    <w:p>
      <w:pPr>
        <w:ind w:left="1320" w:hanging="803"/>
        <w:spacing w:after="0"/>
        <w:tabs>
          <w:tab w:leader="none" w:pos="1320"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Guaranteed Securities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0000FF"/>
        </w:rPr>
        <w:t>filed herewith</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ind w:left="1320" w:hanging="803"/>
        <w:spacing w:after="0"/>
        <w:tabs>
          <w:tab w:leader="none" w:pos="1320"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Rule 13a-14(a)/15d-14(a) Certifications</w:t>
      </w:r>
    </w:p>
    <w:p>
      <w:pPr>
        <w:spacing w:after="0" w:line="72" w:lineRule="exact"/>
        <w:rPr>
          <w:rFonts w:ascii="Times New Roman" w:cs="Times New Roman" w:eastAsia="Times New Roman" w:hAnsi="Times New Roman"/>
          <w:sz w:val="19"/>
          <w:szCs w:val="19"/>
          <w:b w:val="1"/>
          <w:bCs w:val="1"/>
          <w:color w:val="auto"/>
        </w:rPr>
      </w:pPr>
    </w:p>
    <w:p>
      <w:pPr>
        <w:ind w:left="1320" w:hanging="340"/>
        <w:spacing w:after="0" w:line="280" w:lineRule="auto"/>
        <w:tabs>
          <w:tab w:leader="none" w:pos="132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principal executive officer of Paramount Skydance Corporation pursuant to Rule 13a-14(a), or 15d-14(a), as adopted pursuant to Section 302 of the Sarbanes Oxley Act of 2002 (</w:t>
      </w:r>
      <w:r>
        <w:rPr>
          <w:rFonts w:ascii="Times New Roman" w:cs="Times New Roman" w:eastAsia="Times New Roman" w:hAnsi="Times New Roman"/>
          <w:sz w:val="19"/>
          <w:szCs w:val="19"/>
          <w:u w:val="single" w:color="auto"/>
          <w:color w:val="0000FF"/>
        </w:rPr>
        <w:t>filed herewith</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1320" w:right="60" w:hanging="346"/>
        <w:spacing w:after="0" w:line="279" w:lineRule="auto"/>
        <w:tabs>
          <w:tab w:leader="none" w:pos="132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principal financial officer of Paramount Skydance Corporation pursuant to Rule 13a-14(a), or 15d-14(a), as adopted pursuant to Section 302 of the Sarbanes Oxley Act of 2002 (</w:t>
      </w:r>
      <w:r>
        <w:rPr>
          <w:rFonts w:ascii="Times New Roman" w:cs="Times New Roman" w:eastAsia="Times New Roman" w:hAnsi="Times New Roman"/>
          <w:sz w:val="19"/>
          <w:szCs w:val="19"/>
          <w:u w:val="single" w:color="auto"/>
          <w:color w:val="0000FF"/>
        </w:rPr>
        <w:t>filed herewith</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1320" w:hanging="803"/>
        <w:spacing w:after="0"/>
        <w:tabs>
          <w:tab w:leader="none" w:pos="1320"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Section 1350 Certifications</w:t>
      </w:r>
    </w:p>
    <w:p>
      <w:pPr>
        <w:spacing w:after="0" w:line="72" w:lineRule="exact"/>
        <w:rPr>
          <w:rFonts w:ascii="Times New Roman" w:cs="Times New Roman" w:eastAsia="Times New Roman" w:hAnsi="Times New Roman"/>
          <w:sz w:val="19"/>
          <w:szCs w:val="19"/>
          <w:b w:val="1"/>
          <w:bCs w:val="1"/>
          <w:color w:val="auto"/>
        </w:rPr>
      </w:pPr>
    </w:p>
    <w:p>
      <w:pPr>
        <w:ind w:left="1320" w:right="320" w:hanging="340"/>
        <w:spacing w:after="0" w:line="280" w:lineRule="auto"/>
        <w:tabs>
          <w:tab w:leader="none" w:pos="132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principal executive officer of Paramount Skydance Corporation furnished pursuant to 18 U.S.C. Section 1350, as adopted pursuant to Section 906 of the Sarbanes Oxley Act of 2002 (</w:t>
      </w:r>
      <w:r>
        <w:rPr>
          <w:rFonts w:ascii="Times New Roman" w:cs="Times New Roman" w:eastAsia="Times New Roman" w:hAnsi="Times New Roman"/>
          <w:sz w:val="19"/>
          <w:szCs w:val="19"/>
          <w:u w:val="single" w:color="auto"/>
          <w:color w:val="0000FF"/>
        </w:rPr>
        <w:t>furnished herewith</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1320" w:right="380" w:hanging="346"/>
        <w:spacing w:after="0" w:line="279" w:lineRule="auto"/>
        <w:tabs>
          <w:tab w:leader="none" w:pos="132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principal financial officer of Paramount Skydance Corporation furnished pursuant to 18 U.S.C. Section 1350, as adopted pursuant to Section 906 of the Sarbanes Oxley Act of 2002 (</w:t>
      </w:r>
      <w:r>
        <w:rPr>
          <w:rFonts w:ascii="Times New Roman" w:cs="Times New Roman" w:eastAsia="Times New Roman" w:hAnsi="Times New Roman"/>
          <w:sz w:val="19"/>
          <w:szCs w:val="19"/>
          <w:u w:val="single" w:color="auto"/>
          <w:color w:val="0000FF"/>
        </w:rPr>
        <w:t>furnished herewith</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1320" w:hanging="899"/>
        <w:spacing w:after="0"/>
        <w:tabs>
          <w:tab w:leader="none" w:pos="1320" w:val="left"/>
        </w:tabs>
        <w:numPr>
          <w:ilvl w:val="0"/>
          <w:numId w:val="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Interactive Data File</w:t>
      </w:r>
    </w:p>
    <w:p>
      <w:pPr>
        <w:spacing w:after="0" w:line="72" w:lineRule="exact"/>
        <w:rPr>
          <w:sz w:val="20"/>
          <w:szCs w:val="20"/>
          <w:color w:val="auto"/>
        </w:rPr>
      </w:pPr>
    </w:p>
    <w:p>
      <w:pPr>
        <w:ind w:left="1320" w:firstLine="7"/>
        <w:spacing w:after="0" w:line="280" w:lineRule="auto"/>
        <w:tabs>
          <w:tab w:leader="none" w:pos="170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 XBRL Instance Document - the instance document does not appear in the Interactive Data File because its XBRL tags are embedded within the Inline XBRL document.</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auto"/>
        </w:rPr>
        <w:t>101. SCH Inline XBRL Taxonomy Extension Schema.</w:t>
      </w:r>
    </w:p>
    <w:p>
      <w:pPr>
        <w:spacing w:after="0" w:line="70" w:lineRule="exact"/>
        <w:rPr>
          <w:sz w:val="20"/>
          <w:szCs w:val="20"/>
          <w:color w:val="auto"/>
        </w:rPr>
      </w:pPr>
    </w:p>
    <w:p>
      <w:pPr>
        <w:ind w:left="1720" w:hanging="393"/>
        <w:spacing w:after="0"/>
        <w:tabs>
          <w:tab w:leader="none" w:pos="1720"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CAL Inline XBRL Taxonomy Extension Calculation Linkbase.</w:t>
      </w:r>
    </w:p>
    <w:p>
      <w:pPr>
        <w:spacing w:after="0" w:line="70" w:lineRule="exact"/>
        <w:rPr>
          <w:rFonts w:ascii="Times New Roman" w:cs="Times New Roman" w:eastAsia="Times New Roman" w:hAnsi="Times New Roman"/>
          <w:sz w:val="19"/>
          <w:szCs w:val="19"/>
          <w:color w:val="auto"/>
        </w:rPr>
      </w:pPr>
    </w:p>
    <w:p>
      <w:pPr>
        <w:ind w:left="1720" w:hanging="393"/>
        <w:spacing w:after="0"/>
        <w:tabs>
          <w:tab w:leader="none" w:pos="172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 Inline XBRL Taxonomy Extension Definition Linkbase.</w:t>
      </w:r>
    </w:p>
    <w:p>
      <w:pPr>
        <w:spacing w:after="0" w:line="70" w:lineRule="exact"/>
        <w:rPr>
          <w:rFonts w:ascii="Times New Roman" w:cs="Times New Roman" w:eastAsia="Times New Roman" w:hAnsi="Times New Roman"/>
          <w:sz w:val="19"/>
          <w:szCs w:val="19"/>
          <w:color w:val="auto"/>
        </w:rPr>
      </w:pPr>
    </w:p>
    <w:p>
      <w:pPr>
        <w:ind w:left="1720" w:hanging="393"/>
        <w:spacing w:after="0"/>
        <w:tabs>
          <w:tab w:leader="none" w:pos="172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LAB Inline XBRL Taxonomy Extension Label Linkbase.</w:t>
      </w:r>
    </w:p>
    <w:p>
      <w:pPr>
        <w:spacing w:after="0" w:line="70" w:lineRule="exact"/>
        <w:rPr>
          <w:rFonts w:ascii="Times New Roman" w:cs="Times New Roman" w:eastAsia="Times New Roman" w:hAnsi="Times New Roman"/>
          <w:sz w:val="19"/>
          <w:szCs w:val="19"/>
          <w:color w:val="auto"/>
        </w:rPr>
      </w:pPr>
    </w:p>
    <w:p>
      <w:pPr>
        <w:ind w:left="1720" w:hanging="393"/>
        <w:spacing w:after="0"/>
        <w:tabs>
          <w:tab w:leader="none" w:pos="172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 Inline XBRL Taxonomy Extension Presentation Linkbase.</w:t>
      </w:r>
    </w:p>
    <w:p>
      <w:pPr>
        <w:spacing w:after="0" w:line="68" w:lineRule="exact"/>
        <w:rPr>
          <w:rFonts w:ascii="Times New Roman" w:cs="Times New Roman" w:eastAsia="Times New Roman" w:hAnsi="Times New Roman"/>
          <w:sz w:val="19"/>
          <w:szCs w:val="19"/>
          <w:color w:val="auto"/>
        </w:rPr>
      </w:pPr>
    </w:p>
    <w:p>
      <w:pPr>
        <w:ind w:left="1320" w:hanging="899"/>
        <w:spacing w:after="0"/>
        <w:tabs>
          <w:tab w:leader="none" w:pos="1320"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Cover Page Interactive Data File </w:t>
      </w:r>
      <w:r>
        <w:rPr>
          <w:rFonts w:ascii="Times New Roman" w:cs="Times New Roman" w:eastAsia="Times New Roman" w:hAnsi="Times New Roman"/>
          <w:sz w:val="19"/>
          <w:szCs w:val="19"/>
          <w:color w:val="auto"/>
        </w:rPr>
        <w:t>(formatted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74930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40" w:top="1203" w:right="399" w:bottom="1440" w:gutter="0" w:footer="0" w:header="0"/>
        </w:sectPr>
      </w:pPr>
    </w:p>
    <w:bookmarkStart w:id="97" w:name="page98"/>
    <w:bookmarkEnd w:id="97"/>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1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b w:val="1"/>
          <w:bCs w:val="1"/>
          <w:color w:val="auto"/>
        </w:rPr>
        <w:t>PARAMOUNT SKYDANCE CORPORATION</w:t>
      </w:r>
    </w:p>
    <w:p>
      <w:pPr>
        <w:spacing w:after="0" w:line="2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9"/>
          <w:szCs w:val="19"/>
          <w:color w:val="auto"/>
        </w:rPr>
        <w:t>Date: November 10, 2025</w:t>
      </w:r>
      <w:r>
        <w:rPr>
          <w:sz w:val="20"/>
          <w:szCs w:val="20"/>
          <w:color w:val="auto"/>
        </w:rPr>
        <w:tab/>
      </w:r>
      <w:r>
        <w:rPr>
          <w:rFonts w:ascii="Times New Roman" w:cs="Times New Roman" w:eastAsia="Times New Roman" w:hAnsi="Times New Roman"/>
          <w:sz w:val="19"/>
          <w:szCs w:val="19"/>
          <w:color w:val="auto"/>
        </w:rPr>
        <w:t>/s/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42545</wp:posOffset>
            </wp:positionV>
            <wp:extent cx="32810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Andrew Warren</w:t>
      </w:r>
    </w:p>
    <w:p>
      <w:pPr>
        <w:spacing w:after="0" w:line="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i w:val="1"/>
          <w:iCs w:val="1"/>
          <w:color w:val="auto"/>
        </w:rPr>
        <w:t>Executive Vice President,</w:t>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i w:val="1"/>
          <w:iCs w:val="1"/>
          <w:color w:val="auto"/>
        </w:rPr>
        <w:t>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9"/>
          <w:szCs w:val="19"/>
          <w:color w:val="auto"/>
        </w:rPr>
        <w:t>Date: November 10, 2025</w:t>
      </w:r>
      <w:r>
        <w:rPr>
          <w:sz w:val="20"/>
          <w:szCs w:val="20"/>
          <w:color w:val="auto"/>
        </w:rPr>
        <w:tab/>
      </w:r>
      <w:r>
        <w:rPr>
          <w:rFonts w:ascii="Times New Roman" w:cs="Times New Roman" w:eastAsia="Times New Roman" w:hAnsi="Times New Roman"/>
          <w:sz w:val="19"/>
          <w:szCs w:val="19"/>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42545</wp:posOffset>
            </wp:positionV>
            <wp:extent cx="32810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Katherine Gill-Charest</w:t>
      </w:r>
    </w:p>
    <w:p>
      <w:pPr>
        <w:spacing w:after="0" w:line="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i w:val="1"/>
          <w:iCs w:val="1"/>
          <w:color w:val="auto"/>
        </w:rPr>
        <w:t>Executive Vice President, Controller and</w:t>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i w:val="1"/>
          <w:iCs w:val="1"/>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0980"/>
          </w:cols>
          <w:pgMar w:left="320" w:top="1440" w:right="59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9"/>
          <w:szCs w:val="19"/>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Subsidiary Issuers and Guarantors of Registered Securities</w:t>
      </w:r>
    </w:p>
    <w:p>
      <w:pPr>
        <w:spacing w:after="0" w:line="22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9"/>
          <w:szCs w:val="19"/>
          <w:color w:val="auto"/>
        </w:rPr>
        <w:t>Paramount Skydance Corporation is the guarantor and its subsidiary, Paramount Global, a Delaware corporation, is the issuer of the following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132080</wp:posOffset>
            </wp:positionV>
            <wp:extent cx="4530090" cy="41719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30090" cy="417195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4.0% Senior Notes due 2026</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3.45% Senior Notes due 2026</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2.90% Senior Notes due 2027</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3.375% Senior Notes due 2028</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3.70% Senior Notes due 2028</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4.20% Senior Notes due 2029</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7.875% Senior Debentures due 2030</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4.95% Senior Notes due 2031</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4.20% Senior Notes due 2032</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5.50% Senior Debentures due 2033</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4.85% Senior Debentures due 2034</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6.875% Senior Debentures due 2036</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6.75% Senior Debentures due 2037</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5.90% Senior Notes due 2040</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4.50% Senior Debentures due 2042</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4.85% Senior Notes due 2042</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4.375% Senior Debentures due 2043</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4.875% Senior Debentures due 2043</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5.85% Senior Debentures due 2043</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5.25% Senior Debentures due 2044</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4.90% Senior Notes due 2044</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4.60% Senior Notes due 2045</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4.95% Senior Notes due 2050</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6.25% Junior Subordinated Debentures due 2057</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6.375% Junior Subordinated Debentures due 2062</w:t>
      </w:r>
    </w:p>
    <w:p>
      <w:pPr>
        <w:sectPr>
          <w:pgSz w:w="11900" w:h="16838" w:orient="portrait"/>
          <w:cols w:equalWidth="0" w:num="1">
            <w:col w:w="11240"/>
          </w:cols>
          <w:pgMar w:left="320" w:top="35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9"/>
          <w:szCs w:val="19"/>
          <w:b w:val="1"/>
          <w:bCs w:val="1"/>
          <w:color w:val="auto"/>
        </w:rPr>
        <w:t>Exhibit 31(a)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David Ellison, certify that:</w:t>
      </w:r>
    </w:p>
    <w:p>
      <w:pPr>
        <w:spacing w:after="0" w:line="359" w:lineRule="exact"/>
        <w:rPr>
          <w:sz w:val="20"/>
          <w:szCs w:val="20"/>
          <w:color w:val="auto"/>
        </w:rPr>
      </w:pPr>
    </w:p>
    <w:p>
      <w:pPr>
        <w:ind w:left="400" w:hanging="395"/>
        <w:spacing w:after="0"/>
        <w:tabs>
          <w:tab w:leader="none" w:pos="4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Paramount Skydance Corporation;</w:t>
      </w:r>
    </w:p>
    <w:p>
      <w:pPr>
        <w:spacing w:after="0" w:line="188" w:lineRule="exact"/>
        <w:rPr>
          <w:rFonts w:ascii="Times New Roman" w:cs="Times New Roman" w:eastAsia="Times New Roman" w:hAnsi="Times New Roman"/>
          <w:sz w:val="19"/>
          <w:szCs w:val="19"/>
          <w:color w:val="auto"/>
        </w:rPr>
      </w:pPr>
    </w:p>
    <w:p>
      <w:pPr>
        <w:ind w:left="400" w:right="160" w:hanging="395"/>
        <w:spacing w:after="0" w:line="277" w:lineRule="auto"/>
        <w:tabs>
          <w:tab w:leader="none" w:pos="4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400" w:right="460" w:hanging="395"/>
        <w:spacing w:after="0" w:line="295" w:lineRule="auto"/>
        <w:tabs>
          <w:tab w:leader="none" w:pos="4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9"/>
          <w:szCs w:val="19"/>
          <w:color w:val="auto"/>
        </w:rPr>
      </w:pPr>
    </w:p>
    <w:p>
      <w:pPr>
        <w:ind w:left="400" w:right="60" w:hanging="395"/>
        <w:spacing w:after="0" w:line="270" w:lineRule="auto"/>
        <w:tabs>
          <w:tab w:leader="none" w:pos="4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800" w:right="200" w:hanging="402"/>
        <w:spacing w:after="0" w:line="270" w:lineRule="auto"/>
        <w:tabs>
          <w:tab w:leader="none" w:pos="79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800" w:right="280" w:hanging="402"/>
        <w:spacing w:after="0" w:line="270" w:lineRule="auto"/>
        <w:tabs>
          <w:tab w:leader="none" w:pos="788"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800" w:right="60" w:hanging="402"/>
        <w:spacing w:after="0" w:line="295" w:lineRule="auto"/>
        <w:tabs>
          <w:tab w:leader="none" w:pos="79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Times New Roman" w:cs="Times New Roman" w:eastAsia="Times New Roman" w:hAnsi="Times New Roman"/>
          <w:sz w:val="19"/>
          <w:szCs w:val="19"/>
          <w:color w:val="auto"/>
        </w:rPr>
      </w:pPr>
    </w:p>
    <w:p>
      <w:pPr>
        <w:ind w:left="800" w:right="60" w:hanging="402"/>
        <w:spacing w:after="0" w:line="270" w:lineRule="auto"/>
        <w:tabs>
          <w:tab w:leader="none" w:pos="788"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9"/>
          <w:szCs w:val="19"/>
          <w:color w:val="auto"/>
        </w:rPr>
      </w:pPr>
    </w:p>
    <w:p>
      <w:pPr>
        <w:ind w:left="400" w:right="20" w:hanging="395"/>
        <w:spacing w:after="0" w:line="295" w:lineRule="auto"/>
        <w:tabs>
          <w:tab w:leader="none" w:pos="4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9"/>
          <w:szCs w:val="19"/>
          <w:color w:val="auto"/>
        </w:rPr>
      </w:pPr>
    </w:p>
    <w:p>
      <w:pPr>
        <w:ind w:left="800" w:right="320" w:hanging="402"/>
        <w:spacing w:after="0" w:line="295" w:lineRule="auto"/>
        <w:tabs>
          <w:tab w:leader="none" w:pos="79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Times New Roman" w:cs="Times New Roman" w:eastAsia="Times New Roman" w:hAnsi="Times New Roman"/>
          <w:sz w:val="19"/>
          <w:szCs w:val="19"/>
          <w:color w:val="auto"/>
        </w:rPr>
      </w:pPr>
    </w:p>
    <w:p>
      <w:pPr>
        <w:ind w:left="800" w:right="640" w:hanging="402"/>
        <w:spacing w:after="0" w:line="295" w:lineRule="auto"/>
        <w:tabs>
          <w:tab w:leader="none" w:pos="788"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November 10, 2025</w:t>
      </w:r>
    </w:p>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25400</wp:posOffset>
            </wp:positionV>
            <wp:extent cx="3830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30320" cy="8255"/>
                    </a:xfrm>
                    <a:prstGeom prst="rect">
                      <a:avLst/>
                    </a:prstGeom>
                    <a:noFill/>
                  </pic:spPr>
                </pic:pic>
              </a:graphicData>
            </a:graphic>
          </wp:anchor>
        </w:drawing>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David Ellison</w:t>
      </w:r>
    </w:p>
    <w:p>
      <w:pPr>
        <w:spacing w:after="0" w:line="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Chairman and Chief Executive Officer</w:t>
      </w:r>
    </w:p>
    <w:p>
      <w:pPr>
        <w:sectPr>
          <w:pgSz w:w="11900" w:h="16838" w:orient="portrait"/>
          <w:cols w:equalWidth="0" w:num="1">
            <w:col w:w="11240"/>
          </w:cols>
          <w:pgMar w:left="320" w:top="35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9"/>
          <w:szCs w:val="19"/>
          <w:b w:val="1"/>
          <w:bCs w:val="1"/>
          <w:color w:val="auto"/>
        </w:rPr>
        <w:t>Exhibit 31(b)</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Andrew Warren, certify that:</w:t>
      </w:r>
    </w:p>
    <w:p>
      <w:pPr>
        <w:spacing w:after="0" w:line="359" w:lineRule="exact"/>
        <w:rPr>
          <w:sz w:val="20"/>
          <w:szCs w:val="20"/>
          <w:color w:val="auto"/>
        </w:rPr>
      </w:pPr>
    </w:p>
    <w:p>
      <w:pPr>
        <w:ind w:left="400" w:hanging="395"/>
        <w:spacing w:after="0"/>
        <w:tabs>
          <w:tab w:leader="none" w:pos="4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Paramount Skydance Corporation;</w:t>
      </w:r>
    </w:p>
    <w:p>
      <w:pPr>
        <w:spacing w:after="0" w:line="188" w:lineRule="exact"/>
        <w:rPr>
          <w:rFonts w:ascii="Times New Roman" w:cs="Times New Roman" w:eastAsia="Times New Roman" w:hAnsi="Times New Roman"/>
          <w:sz w:val="19"/>
          <w:szCs w:val="19"/>
          <w:color w:val="auto"/>
        </w:rPr>
      </w:pPr>
    </w:p>
    <w:p>
      <w:pPr>
        <w:ind w:left="400" w:right="160" w:hanging="395"/>
        <w:spacing w:after="0" w:line="277" w:lineRule="auto"/>
        <w:tabs>
          <w:tab w:leader="none" w:pos="4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400" w:right="460" w:hanging="395"/>
        <w:spacing w:after="0" w:line="295" w:lineRule="auto"/>
        <w:tabs>
          <w:tab w:leader="none" w:pos="4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9"/>
          <w:szCs w:val="19"/>
          <w:color w:val="auto"/>
        </w:rPr>
      </w:pPr>
    </w:p>
    <w:p>
      <w:pPr>
        <w:ind w:left="400" w:right="60" w:hanging="395"/>
        <w:spacing w:after="0" w:line="270" w:lineRule="auto"/>
        <w:tabs>
          <w:tab w:leader="none" w:pos="4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800" w:right="200" w:hanging="402"/>
        <w:spacing w:after="0" w:line="270" w:lineRule="auto"/>
        <w:tabs>
          <w:tab w:leader="none" w:pos="79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800" w:right="280" w:hanging="402"/>
        <w:spacing w:after="0" w:line="270" w:lineRule="auto"/>
        <w:tabs>
          <w:tab w:leader="none" w:pos="788"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800" w:right="60" w:hanging="402"/>
        <w:spacing w:after="0" w:line="295" w:lineRule="auto"/>
        <w:tabs>
          <w:tab w:leader="none" w:pos="79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Times New Roman" w:cs="Times New Roman" w:eastAsia="Times New Roman" w:hAnsi="Times New Roman"/>
          <w:sz w:val="19"/>
          <w:szCs w:val="19"/>
          <w:color w:val="auto"/>
        </w:rPr>
      </w:pPr>
    </w:p>
    <w:p>
      <w:pPr>
        <w:ind w:left="800" w:right="60" w:hanging="402"/>
        <w:spacing w:after="0" w:line="270" w:lineRule="auto"/>
        <w:tabs>
          <w:tab w:leader="none" w:pos="788"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9"/>
          <w:szCs w:val="19"/>
          <w:color w:val="auto"/>
        </w:rPr>
      </w:pPr>
    </w:p>
    <w:p>
      <w:pPr>
        <w:ind w:left="400" w:right="20" w:hanging="395"/>
        <w:spacing w:after="0" w:line="295" w:lineRule="auto"/>
        <w:tabs>
          <w:tab w:leader="none" w:pos="4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9"/>
          <w:szCs w:val="19"/>
          <w:color w:val="auto"/>
        </w:rPr>
      </w:pPr>
    </w:p>
    <w:p>
      <w:pPr>
        <w:ind w:left="800" w:right="320" w:hanging="402"/>
        <w:spacing w:after="0" w:line="295" w:lineRule="auto"/>
        <w:tabs>
          <w:tab w:leader="none" w:pos="79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Times New Roman" w:cs="Times New Roman" w:eastAsia="Times New Roman" w:hAnsi="Times New Roman"/>
          <w:sz w:val="19"/>
          <w:szCs w:val="19"/>
          <w:color w:val="auto"/>
        </w:rPr>
      </w:pPr>
    </w:p>
    <w:p>
      <w:pPr>
        <w:ind w:left="800" w:right="640" w:hanging="402"/>
        <w:spacing w:after="0" w:line="295" w:lineRule="auto"/>
        <w:tabs>
          <w:tab w:leader="none" w:pos="788"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November 10, 2025</w:t>
      </w:r>
    </w:p>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25400</wp:posOffset>
            </wp:positionV>
            <wp:extent cx="3830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30320" cy="8255"/>
                    </a:xfrm>
                    <a:prstGeom prst="rect">
                      <a:avLst/>
                    </a:prstGeom>
                    <a:noFill/>
                  </pic:spPr>
                </pic:pic>
              </a:graphicData>
            </a:graphic>
          </wp:anchor>
        </w:drawing>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Andrew Warren</w:t>
      </w:r>
    </w:p>
    <w:p>
      <w:pPr>
        <w:spacing w:after="0" w:line="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Executive Vice President, Interim Chief Financial Officer</w:t>
      </w:r>
    </w:p>
    <w:p>
      <w:pPr>
        <w:sectPr>
          <w:pgSz w:w="11900" w:h="16838" w:orient="portrait"/>
          <w:cols w:equalWidth="0" w:num="1">
            <w:col w:w="11240"/>
          </w:cols>
          <w:pgMar w:left="320" w:top="35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9"/>
          <w:szCs w:val="19"/>
          <w:b w:val="1"/>
          <w:bCs w:val="1"/>
          <w:color w:val="auto"/>
        </w:rPr>
        <w:t>Exhibit 32(a)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13" w:lineRule="exact"/>
        <w:rPr>
          <w:sz w:val="20"/>
          <w:szCs w:val="20"/>
          <w:color w:val="auto"/>
        </w:rPr>
      </w:pPr>
    </w:p>
    <w:p>
      <w:pPr>
        <w:ind w:right="520" w:firstLine="472"/>
        <w:spacing w:after="0" w:line="270" w:lineRule="auto"/>
        <w:rPr>
          <w:sz w:val="20"/>
          <w:szCs w:val="20"/>
          <w:color w:val="auto"/>
        </w:rPr>
      </w:pPr>
      <w:r>
        <w:rPr>
          <w:rFonts w:ascii="Times New Roman" w:cs="Times New Roman" w:eastAsia="Times New Roman" w:hAnsi="Times New Roman"/>
          <w:sz w:val="19"/>
          <w:szCs w:val="19"/>
          <w:color w:val="auto"/>
        </w:rPr>
        <w:t>In connection with the Quarterly Report of Paramount Skydance Corporation (the “Company”) on Form 10-Q for the period ended September 30, 2025 as filed with the Securities and Exchange Commission (the “Report”), I, David Ellison, Chairman and Chief Executive Officer of the Company, certify that to my knowledge:</w:t>
      </w:r>
    </w:p>
    <w:p>
      <w:pPr>
        <w:spacing w:after="0" w:line="364" w:lineRule="exact"/>
        <w:rPr>
          <w:sz w:val="20"/>
          <w:szCs w:val="20"/>
          <w:color w:val="auto"/>
        </w:rPr>
      </w:pPr>
    </w:p>
    <w:p>
      <w:pPr>
        <w:ind w:left="820" w:hanging="343"/>
        <w:spacing w:after="0"/>
        <w:tabs>
          <w:tab w:leader="none" w:pos="8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9"/>
          <w:szCs w:val="19"/>
          <w:color w:val="auto"/>
        </w:rPr>
      </w:pPr>
    </w:p>
    <w:p>
      <w:pPr>
        <w:ind w:left="480" w:right="160" w:hanging="3"/>
        <w:spacing w:after="0" w:line="295" w:lineRule="auto"/>
        <w:tabs>
          <w:tab w:leader="none" w:pos="816"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21234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David Ellison</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November 10, 2025</w:t>
      </w:r>
    </w:p>
    <w:p>
      <w:pPr>
        <w:sectPr>
          <w:pgSz w:w="11900" w:h="16838" w:orient="portrait"/>
          <w:cols w:equalWidth="0" w:num="1">
            <w:col w:w="11240"/>
          </w:cols>
          <w:pgMar w:left="320" w:top="5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9"/>
          <w:szCs w:val="19"/>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13" w:lineRule="exact"/>
        <w:rPr>
          <w:sz w:val="20"/>
          <w:szCs w:val="20"/>
          <w:color w:val="auto"/>
        </w:rPr>
      </w:pPr>
    </w:p>
    <w:p>
      <w:pPr>
        <w:ind w:right="120" w:firstLine="472"/>
        <w:spacing w:after="0" w:line="270" w:lineRule="auto"/>
        <w:rPr>
          <w:sz w:val="20"/>
          <w:szCs w:val="20"/>
          <w:color w:val="auto"/>
        </w:rPr>
      </w:pPr>
      <w:r>
        <w:rPr>
          <w:rFonts w:ascii="Times New Roman" w:cs="Times New Roman" w:eastAsia="Times New Roman" w:hAnsi="Times New Roman"/>
          <w:sz w:val="19"/>
          <w:szCs w:val="19"/>
          <w:color w:val="auto"/>
        </w:rPr>
        <w:t>In connection with the Quarterly Report of Paramount Skydance Corporation (the “Company”) on Form 10-Q for the period ended September 30, 2025 as filed with the Securities and Exchange Commission (the ”Report”), I, Andrew Warren, Executive Vice President, Interim Chief Financial Officer of the Company, certify that to my knowledge:</w:t>
      </w:r>
    </w:p>
    <w:p>
      <w:pPr>
        <w:spacing w:after="0" w:line="364" w:lineRule="exact"/>
        <w:rPr>
          <w:sz w:val="20"/>
          <w:szCs w:val="20"/>
          <w:color w:val="auto"/>
        </w:rPr>
      </w:pPr>
    </w:p>
    <w:p>
      <w:pPr>
        <w:ind w:left="820" w:hanging="343"/>
        <w:spacing w:after="0"/>
        <w:tabs>
          <w:tab w:leader="none" w:pos="82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9"/>
          <w:szCs w:val="19"/>
          <w:color w:val="auto"/>
        </w:rPr>
      </w:pPr>
    </w:p>
    <w:p>
      <w:pPr>
        <w:ind w:left="480" w:right="160" w:hanging="3"/>
        <w:spacing w:after="0" w:line="295" w:lineRule="auto"/>
        <w:tabs>
          <w:tab w:leader="none" w:pos="816"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21234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Andrew Warren</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November 10, 2025</w:t>
      </w:r>
    </w:p>
    <w:sectPr>
      <w:pgSz w:w="11900" w:h="16838" w:orient="portrait"/>
      <w:cols w:equalWidth="0" w:num="1">
        <w:col w:w="11240"/>
      </w:cols>
      <w:pgMar w:left="320" w:top="5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lowerLetter"/>
      <w:start w:val="5"/>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lvl w:ilvl="1">
      <w:lvlJc w:val="left"/>
      <w:lvlText w:val="(%2)"/>
      <w:numFmt w:val="lowerLetter"/>
      <w:start w:val="1"/>
    </w:lvl>
  </w:abstractNum>
  <w:abstractNum w:abstractNumId="12">
    <w:nsid w:val="6CEAF087"/>
    <w:multiLevelType w:val="hybridMultilevel"/>
    <w:lvl w:ilvl="0">
      <w:lvlJc w:val="left"/>
      <w:lvlText w:val="%1)"/>
      <w:numFmt w:val="decimal"/>
      <w:start w:val="14"/>
    </w:lvl>
    <w:lvl w:ilvl="1">
      <w:lvlJc w:val="left"/>
      <w:lvlText w:val="%2"/>
      <w:numFmt w:val="lowerLetter"/>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Letter"/>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decimal"/>
      <w:start w:val="22"/>
    </w:lvl>
  </w:abstractNum>
  <w:abstractNum w:abstractNumId="39">
    <w:nsid w:val="7A6D8D3C"/>
    <w:multiLevelType w:val="hybridMultilevel"/>
    <w:lvl w:ilvl="0">
      <w:lvlJc w:val="left"/>
      <w:lvlText w:val="(%1)"/>
      <w:numFmt w:val="decimal"/>
      <w:start w:val="31"/>
    </w:lvl>
    <w:lvl w:ilvl="1">
      <w:lvlJc w:val="left"/>
      <w:lvlText w:val="(%2)"/>
      <w:numFmt w:val="lowerLetter"/>
      <w:start w:val="1"/>
    </w:lvl>
  </w:abstractNum>
  <w:abstractNum w:abstractNumId="40">
    <w:nsid w:val="4B588F54"/>
    <w:multiLevelType w:val="hybridMultilevel"/>
    <w:lvl w:ilvl="0">
      <w:lvlJc w:val="left"/>
      <w:lvlText w:val="(%1)"/>
      <w:numFmt w:val="decimal"/>
      <w:start w:val="101"/>
    </w:lvl>
  </w:abstractNum>
  <w:abstractNum w:abstractNumId="41">
    <w:nsid w:val="542289EC"/>
    <w:multiLevelType w:val="hybridMultilevel"/>
    <w:lvl w:ilvl="0">
      <w:lvlJc w:val="left"/>
      <w:lvlText w:val="%1."/>
      <w:numFmt w:val="decimal"/>
      <w:start w:val="101"/>
    </w:lvl>
  </w:abstractNum>
  <w:abstractNum w:abstractNumId="42">
    <w:nsid w:val="6DE91B18"/>
    <w:multiLevelType w:val="hybridMultilevel"/>
    <w:lvl w:ilvl="0">
      <w:lvlJc w:val="left"/>
      <w:lvlText w:val="%1"/>
      <w:numFmt w:val="decimal"/>
      <w:start w:val="1"/>
    </w:lvl>
    <w:lvl w:ilvl="1">
      <w:lvlJc w:val="left"/>
      <w:lvlText w:val="%2."/>
      <w:numFmt w:val="decimal"/>
      <w:start w:val="101"/>
    </w:lvl>
  </w:abstractNum>
  <w:abstractNum w:abstractNumId="43">
    <w:nsid w:val="38437FDB"/>
    <w:multiLevelType w:val="hybridMultilevel"/>
    <w:lvl w:ilvl="0">
      <w:lvlJc w:val="left"/>
      <w:lvlText w:val="%1"/>
      <w:numFmt w:val="decimal"/>
      <w:start w:val="1"/>
    </w:lvl>
    <w:lvl w:ilvl="1">
      <w:lvlJc w:val="left"/>
      <w:lvlText w:val="%2."/>
      <w:numFmt w:val="decimal"/>
      <w:start w:val="101"/>
    </w:lvl>
  </w:abstractNum>
  <w:abstractNum w:abstractNumId="44">
    <w:nsid w:val="7644A45C"/>
    <w:multiLevelType w:val="hybridMultilevel"/>
    <w:lvl w:ilvl="0">
      <w:lvlJc w:val="left"/>
      <w:lvlText w:val="%1"/>
      <w:numFmt w:val="decimal"/>
      <w:start w:val="1"/>
    </w:lvl>
    <w:lvl w:ilvl="1">
      <w:lvlJc w:val="left"/>
      <w:lvlText w:val="%2."/>
      <w:numFmt w:val="decimal"/>
      <w:start w:val="101"/>
    </w:lvl>
  </w:abstractNum>
  <w:abstractNum w:abstractNumId="45">
    <w:nsid w:val="32FFF902"/>
    <w:multiLevelType w:val="hybridMultilevel"/>
    <w:lvl w:ilvl="0">
      <w:lvlJc w:val="left"/>
      <w:lvlText w:val="%1"/>
      <w:numFmt w:val="decimal"/>
      <w:start w:val="1"/>
    </w:lvl>
    <w:lvl w:ilvl="1">
      <w:lvlJc w:val="left"/>
      <w:lvlText w:val="%2."/>
      <w:numFmt w:val="decimal"/>
      <w:start w:val="101"/>
    </w:lvl>
  </w:abstractNum>
  <w:abstractNum w:abstractNumId="46">
    <w:nsid w:val="684A481A"/>
    <w:multiLevelType w:val="hybridMultilevel"/>
    <w:lvl w:ilvl="0">
      <w:lvlJc w:val="left"/>
      <w:lvlText w:val="(%1)"/>
      <w:numFmt w:val="decimal"/>
      <w:start w:val="104"/>
    </w:lvl>
    <w:lvl w:ilvl="1">
      <w:lvlJc w:val="left"/>
      <w:lvlText w:val="%2"/>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2025-11-10T15:32:33Z</dcterms:created>
  <dcterms:modified xsi:type="dcterms:W3CDTF">2025-11-10T15:32:33Z</dcterms:modified>
</cp:coreProperties>
</file>