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226695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221615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8"/>
          <w:szCs w:val="38"/>
          <w:b w:val="1"/>
          <w:bCs w:val="1"/>
          <w:color w:val="auto"/>
        </w:rPr>
        <w:t>Paramount Skydance Corporation</w:t>
      </w:r>
    </w:p>
    <w:p>
      <w:pPr>
        <w:spacing w:after="0" w:line="56"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200025</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910" w:type="dxa"/>
        <w:tblCellMar>
          <w:top w:w="0" w:type="dxa"/>
          <w:left w:w="0" w:type="dxa"/>
          <w:bottom w:w="0" w:type="dxa"/>
          <w:right w:w="0" w:type="dxa"/>
        </w:tblCellMar>
      </w:tblPr>
      <w:tr>
        <w:trPr>
          <w:trHeight w:val="184"/>
        </w:trPr>
        <w:tc>
          <w:tcPr>
            <w:tcW w:w="3180" w:type="dxa"/>
            <w:vAlign w:val="bottom"/>
          </w:tcPr>
          <w:p>
            <w:pPr>
              <w:jc w:val="center"/>
              <w:ind w:right="1608"/>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160" w:type="dxa"/>
            <w:vAlign w:val="bottom"/>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w w:val="98"/>
              </w:rPr>
              <w:t>001-42791</w:t>
            </w:r>
          </w:p>
        </w:tc>
        <w:tc>
          <w:tcPr>
            <w:tcW w:w="2640" w:type="dxa"/>
            <w:vAlign w:val="bottom"/>
          </w:tcPr>
          <w:p>
            <w:pPr>
              <w:jc w:val="center"/>
              <w:ind w:left="1249"/>
              <w:spacing w:after="0"/>
              <w:rPr>
                <w:sz w:val="20"/>
                <w:szCs w:val="20"/>
                <w:color w:val="auto"/>
              </w:rPr>
            </w:pPr>
            <w:r>
              <w:rPr>
                <w:rFonts w:ascii="Times New Roman" w:cs="Times New Roman" w:eastAsia="Times New Roman" w:hAnsi="Times New Roman"/>
                <w:sz w:val="16"/>
                <w:szCs w:val="16"/>
                <w:b w:val="1"/>
                <w:bCs w:val="1"/>
                <w:color w:val="auto"/>
                <w:w w:val="98"/>
              </w:rPr>
              <w:t>99-3917985</w:t>
            </w:r>
          </w:p>
        </w:tc>
      </w:tr>
      <w:tr>
        <w:trPr>
          <w:trHeight w:val="156"/>
        </w:trPr>
        <w:tc>
          <w:tcPr>
            <w:tcW w:w="3180" w:type="dxa"/>
            <w:vAlign w:val="bottom"/>
          </w:tcPr>
          <w:p>
            <w:pPr>
              <w:jc w:val="center"/>
              <w:ind w:right="160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160" w:type="dxa"/>
            <w:vAlign w:val="bottom"/>
          </w:tcPr>
          <w:p>
            <w:pPr>
              <w:jc w:val="center"/>
              <w:ind w:right="27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640" w:type="dxa"/>
            <w:vAlign w:val="bottom"/>
          </w:tcPr>
          <w:p>
            <w:pPr>
              <w:jc w:val="center"/>
              <w:ind w:left="1249"/>
              <w:spacing w:after="0"/>
              <w:rPr>
                <w:sz w:val="20"/>
                <w:szCs w:val="20"/>
                <w:color w:val="auto"/>
              </w:rPr>
            </w:pPr>
            <w:r>
              <w:rPr>
                <w:rFonts w:ascii="Times New Roman" w:cs="Times New Roman" w:eastAsia="Times New Roman" w:hAnsi="Times New Roman"/>
                <w:sz w:val="13"/>
                <w:szCs w:val="13"/>
                <w:b w:val="1"/>
                <w:bCs w:val="1"/>
                <w:color w:val="auto"/>
                <w:w w:val="99"/>
              </w:rPr>
              <w:t>(IRS Employer</w:t>
            </w:r>
          </w:p>
        </w:tc>
      </w:tr>
      <w:tr>
        <w:trPr>
          <w:trHeight w:val="174"/>
        </w:trPr>
        <w:tc>
          <w:tcPr>
            <w:tcW w:w="3180" w:type="dxa"/>
            <w:vAlign w:val="bottom"/>
          </w:tcPr>
          <w:p>
            <w:pPr>
              <w:jc w:val="center"/>
              <w:ind w:right="158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160" w:type="dxa"/>
            <w:vAlign w:val="bottom"/>
          </w:tcPr>
          <w:p>
            <w:pPr>
              <w:jc w:val="center"/>
              <w:ind w:right="29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640" w:type="dxa"/>
            <w:vAlign w:val="bottom"/>
          </w:tcPr>
          <w:p>
            <w:pPr>
              <w:jc w:val="center"/>
              <w:ind w:left="124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01"/>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1515 Broadway</w:t>
            </w:r>
          </w:p>
        </w:tc>
        <w:tc>
          <w:tcPr>
            <w:tcW w:w="21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3"/>
        </w:trPr>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160" w:type="dxa"/>
            <w:vAlign w:val="bottom"/>
          </w:tcPr>
          <w:p>
            <w:pPr>
              <w:spacing w:after="0"/>
              <w:rPr>
                <w:sz w:val="16"/>
                <w:szCs w:val="16"/>
                <w:color w:val="auto"/>
              </w:rPr>
            </w:pPr>
          </w:p>
        </w:tc>
        <w:tc>
          <w:tcPr>
            <w:tcW w:w="2640" w:type="dxa"/>
            <w:vAlign w:val="bottom"/>
          </w:tcPr>
          <w:p>
            <w:pPr>
              <w:jc w:val="right"/>
              <w:ind w:right="1209"/>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174"/>
        </w:trPr>
        <w:tc>
          <w:tcPr>
            <w:tcW w:w="31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160" w:type="dxa"/>
            <w:vAlign w:val="bottom"/>
          </w:tcPr>
          <w:p>
            <w:pPr>
              <w:spacing w:after="0"/>
              <w:rPr>
                <w:sz w:val="15"/>
                <w:szCs w:val="15"/>
                <w:color w:val="auto"/>
              </w:rPr>
            </w:pPr>
          </w:p>
        </w:tc>
        <w:tc>
          <w:tcPr>
            <w:tcW w:w="264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258-6000</w:t>
      </w:r>
    </w:p>
    <w:p>
      <w:pPr>
        <w:spacing w:after="0" w:line="18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208280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0" w:right="2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6" w:lineRule="exact"/>
        <w:rPr>
          <w:sz w:val="24"/>
          <w:szCs w:val="24"/>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6" w:lineRule="exact"/>
        <w:rPr>
          <w:sz w:val="24"/>
          <w:szCs w:val="24"/>
          <w:color w:val="auto"/>
        </w:rPr>
      </w:pPr>
    </w:p>
    <w:p>
      <w:pPr>
        <w:ind w:left="390" w:hanging="390"/>
        <w:spacing w:after="0"/>
        <w:tabs>
          <w:tab w:leader="none" w:pos="39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6" w:lineRule="exact"/>
        <w:rPr>
          <w:rFonts w:ascii="MS PGothic" w:cs="MS PGothic" w:eastAsia="MS PGothic" w:hAnsi="MS PGothic"/>
          <w:sz w:val="16"/>
          <w:szCs w:val="16"/>
          <w:color w:val="auto"/>
        </w:rPr>
      </w:pPr>
    </w:p>
    <w:p>
      <w:pPr>
        <w:ind w:left="29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5"/>
                <w:szCs w:val="15"/>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Class B Common Stock, $0.001 par value</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PSKY</w:t>
            </w:r>
          </w:p>
        </w:tc>
        <w:tc>
          <w:tcPr>
            <w:tcW w:w="10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56" w:lineRule="exact"/>
        <w:rPr>
          <w:sz w:val="24"/>
          <w:szCs w:val="24"/>
          <w:color w:val="auto"/>
        </w:rPr>
      </w:pPr>
    </w:p>
    <w:p>
      <w:pPr>
        <w:ind w:left="10" w:right="46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left="10" w:right="2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90"/>
          </w:cols>
          <w:pgMar w:left="1050" w:top="683" w:right="1060" w:bottom="1440" w:gutter="0" w:footer="0" w:header="0"/>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5080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93"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On December 8, 2025, Paramount Skydance Corporation (the “Company”) issued a press release (the “Press Release”) announcing its proposal (the “Proposal”) to acquire all of the outstanding shares of common stock of Warner Bros. Discovery, Inc. (“Warner Bros. Discovery”).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description of the Proposal is qualified in its entirety by reference to the Press Release, a copy of which is attached hereto as Exhibit 99.1.</w:t>
      </w:r>
    </w:p>
    <w:p>
      <w:pPr>
        <w:spacing w:after="0" w:line="33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99.1</w:t>
            </w:r>
          </w:p>
        </w:tc>
        <w:tc>
          <w:tcPr>
            <w:tcW w:w="460" w:type="dxa"/>
            <w:vAlign w:val="bottom"/>
          </w:tcPr>
          <w:p>
            <w:pPr>
              <w:spacing w:after="0"/>
              <w:rPr>
                <w:sz w:val="20"/>
                <w:szCs w:val="20"/>
                <w:color w:val="auto"/>
              </w:rPr>
            </w:pPr>
          </w:p>
        </w:tc>
        <w:tc>
          <w:tcPr>
            <w:tcW w:w="8860" w:type="dxa"/>
            <w:vAlign w:val="bottom"/>
            <w:tcBorders>
              <w:top w:val="single" w:sz="8" w:color="auto"/>
            </w:tcBorders>
            <w:gridSpan w:val="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Press Release, dated December 8, 2025.</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Cautionary Note Regarding Forward-Looking Statements</w:t>
      </w:r>
    </w:p>
    <w:p>
      <w:pPr>
        <w:spacing w:after="0" w:line="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This communication contains both historical and forward-looking statements, including statements related to the Company’s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the Company’s objectives, plans or goals are or may be forward-looking statements. These forward-looking statements reflect the Company’s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the Company’s actual results, performance or achievements to be different from any future results, performance or achievements expressed or implied by these statements. These risks, uncertainties and other factors include, among others: the outcome of the tender offer by the Company and Prince Sub Inc. (the “Tender Offer”) to purchase for cash all of the outstanding Series A common stock of Warner Bros. Discovery or any discussions between the Company and Warner Bros. Discovery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the Company expects to incur in connection with the Potential Transaction and the total indebtedness of the combined companies, the possibility that the Company may be unable to achieve expected synergies and operating efficiencies within the expected timeframes or at all and to successfully integrate the operations of Warner Bros. Discovery with those of the Company,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the Company’s streaming business; the adverse impact on the Company’s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the Company’s decisions to make investments in new businesses, products, services and technologies, and the evolution of the Company’s business strategy; the potential for loss of carriage or other reduction in or the impact of negotiations for the distribution of the Company’s content; damage to the Company’s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the Company’s businesses generally, including tariffs and other changes in trade policies; the inability to hire or retain key employees or secure creative talent; disruptions to the Company’s operations as a result of labor disputes; the risks and costs associated with the integration of, and the Company’s</w:t>
      </w:r>
    </w:p>
    <w:p>
      <w:pPr>
        <w:sectPr>
          <w:pgSz w:w="11900" w:h="16840" w:orient="portrait"/>
          <w:cols w:equalWidth="0" w:num="1">
            <w:col w:w="9780"/>
          </w:cols>
          <w:pgMar w:left="1060" w:top="711" w:right="1060" w:bottom="1440" w:gutter="0" w:footer="0" w:header="0"/>
        </w:sectPr>
      </w:pPr>
    </w:p>
    <w:bookmarkStart w:id="2" w:name="page3"/>
    <w:bookmarkEnd w:id="2"/>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50800"/>
                    </a:xfrm>
                    <a:prstGeom prst="rect">
                      <a:avLst/>
                    </a:prstGeom>
                    <a:noFill/>
                  </pic:spPr>
                </pic:pic>
              </a:graphicData>
            </a:graphic>
          </wp:anchor>
        </w:drawing>
        <w:t>ability to integrate, the businesses of Paramount Global and Skydance Media, LLC successfully and to achieve anticipated synergies; volatility in the prices of the Company’s Class B Common Stock; potential conflicts of interest arising from the Company’s ownership structure with a controlling stockholder; and other factors described in the Company’s news releases and filings with the Securities and Exchange Commission (the “SEC”), including but not limited to the Company’s most recent Annual Report on Form 10-K and the Company’s reports on Form 10-Q and Form 8-K. There may be additional risks, uncertainties and factors that the Company does not currently view as material or that are not necessarily known. The forward-looking statements included in this communication are made only as of the date of this report, and the Company does not undertake any obligation to publicly update any forward-looking statements to reflect subsequent events or circumstances.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Information</w:t>
      </w:r>
    </w:p>
    <w:p>
      <w:pPr>
        <w:spacing w:after="0" w:line="94"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6"/>
          <w:szCs w:val="16"/>
          <w:color w:val="auto"/>
        </w:rPr>
        <w:t>This communication does not constitute an offer to buy or a solicitation of an offer to sell securities. This communication relates to a proposal that the Company has made for an acquisition of Warner Bros. Discovery and the Tender Offer that the Company, through Prince Sub Inc., its wholly owned subsidiary, has made to Warner Bros. Discovery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the Company (and, if a negotiated transaction is agreed, Warner Bros. Discovery) may file additional documents with the SEC. This communication is not a substitute for any proxy statement, tender offer statement, or other document the Company and/or Warner Bros. Discovery may file with the SEC in connection with the proposed transaction.</w:t>
      </w:r>
    </w:p>
    <w:p>
      <w:pPr>
        <w:spacing w:after="0" w:line="17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 xml:space="preserve">Investors and security holders of Warner Bros. Discovery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Warner Bros. Discovery. Investors and security holders will be able to obtain free copies of these documents (if and when available) and other documents filed with the SEC by the Company through the website maintained by the SEC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This communication is neither a solicitation of a proxy nor a substitute for any proxy statement or other filings that may be made with the SEC. Nonetheless, the Company and its directors and executive officers and other members of management and employees may be deemed to be participants in the solicitation of proxies against the Proposed Netflix Transaction. You can find information about the Company’s executive officers and directors in the Company’s Current Reports on Form 8-K filed with the SEC on August 7, 2025, and September 16, 2025, and the Company’s Quarterly Report on Form10-Q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p>
      <w:pPr>
        <w:sectPr>
          <w:pgSz w:w="11900" w:h="16840" w:orient="portrait"/>
          <w:cols w:equalWidth="0" w:num="1">
            <w:col w:w="9800"/>
          </w:cols>
          <w:pgMar w:left="1060" w:top="713" w:right="1040"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50800"/>
                    </a:xfrm>
                    <a:prstGeom prst="rect">
                      <a:avLst/>
                    </a:prstGeom>
                    <a:noFill/>
                  </pic:spPr>
                </pic:pic>
              </a:graphicData>
            </a:graphic>
          </wp:anchor>
        </w:drawing>
        <w:t>SIGNATURE</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 Stephanie Kyoko McKinnon</w:t>
      </w:r>
    </w:p>
    <w:p>
      <w:pPr>
        <w:spacing w:after="0" w:line="14" w:lineRule="exact"/>
        <w:rPr>
          <w:sz w:val="20"/>
          <w:szCs w:val="20"/>
          <w:color w:val="auto"/>
        </w:rPr>
      </w:pPr>
    </w:p>
    <w:p>
      <w:pPr>
        <w:ind w:left="6200"/>
        <w:spacing w:after="0"/>
        <w:tabs>
          <w:tab w:leader="none" w:pos="6680" w:val="left"/>
        </w:tabs>
        <w:rPr>
          <w:sz w:val="20"/>
          <w:szCs w:val="20"/>
          <w:color w:val="auto"/>
        </w:rPr>
      </w:pPr>
      <w:r>
        <w:rPr>
          <w:rFonts w:ascii="Times New Roman" w:cs="Times New Roman" w:eastAsia="Times New Roman" w:hAnsi="Times New Roman"/>
          <w:sz w:val="16"/>
          <w:szCs w:val="16"/>
          <w:color w:val="auto"/>
        </w:rPr>
        <w:t>Title:</w:t>
        <w:tab/>
        <w:t>General Counsel and Secretary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8, 2025</w:t>
      </w:r>
    </w:p>
    <w:p>
      <w:pPr>
        <w:sectPr>
          <w:pgSz w:w="11900" w:h="16840" w:orient="portrait"/>
          <w:cols w:equalWidth="0" w:num="1">
            <w:col w:w="9700"/>
          </w:cols>
          <w:pgMar w:left="1060" w:top="711" w:right="11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6212205" cy="1440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1220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PARAMOUNT LAUNCHES All-CASH TENDER OFFER TO ACQUIRE WARNER BROS. DISCOVERY FOR $30 PER SHARE</w:t>
      </w:r>
    </w:p>
    <w:p>
      <w:pPr>
        <w:spacing w:after="0" w:line="226" w:lineRule="exact"/>
        <w:rPr>
          <w:sz w:val="20"/>
          <w:szCs w:val="20"/>
          <w:color w:val="auto"/>
        </w:rPr>
      </w:pPr>
    </w:p>
    <w:p>
      <w:pPr>
        <w:ind w:left="860" w:hanging="390"/>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provides superior value, and a more certain and quicker path to completion to WBD shareholders</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to be backstopped by Ellison Family and RedBird Capital in addition to debt fully committed by Bank of America, Citi and Apollo</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 to take offer directly to WBD shareholders over concerns they were not presented most compelling and superior transaction</w:t>
      </w:r>
    </w:p>
    <w:p>
      <w:pPr>
        <w:spacing w:after="0" w:line="116" w:lineRule="exact"/>
        <w:rPr>
          <w:rFonts w:ascii="Times New Roman" w:cs="Times New Roman" w:eastAsia="Times New Roman" w:hAnsi="Times New Roman"/>
          <w:sz w:val="16"/>
          <w:szCs w:val="16"/>
          <w:color w:val="auto"/>
        </w:rPr>
      </w:pPr>
    </w:p>
    <w:p>
      <w:pPr>
        <w:ind w:left="860" w:right="100" w:hanging="390"/>
        <w:spacing w:after="0" w:line="247"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Netflix transaction provides WBD shareholders with inferior and uncertain value, a protracted and uncertain multi-jurisdictional regulatory clearance process, a complex and volatile mix of equity and cash, and ownership of Global Networks as a standalone overleveraged company whose future trading value is uncertain</w:t>
      </w:r>
    </w:p>
    <w:p>
      <w:pPr>
        <w:spacing w:after="0" w:line="16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Los Angeles and New York, December 8, 2025 – </w:t>
      </w:r>
      <w:r>
        <w:rPr>
          <w:rFonts w:ascii="Times New Roman" w:cs="Times New Roman" w:eastAsia="Times New Roman" w:hAnsi="Times New Roman"/>
          <w:sz w:val="16"/>
          <w:szCs w:val="16"/>
          <w:color w:val="auto"/>
        </w:rPr>
        <w:t>Paramount, a Skydance Corporation (NASDAQ: PSKY) (“Paramount”), today announced it has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commenced an all-cash tender offer to acquire all of the outstanding shares of Warner Bros. Discovery, Inc. (NASDAQ: WBD) (“WBD”) for $30.00 per share in cash. Paramount’s proposed transaction is for the entirety of WBD, including the Global Networks segment.</w:t>
      </w:r>
    </w:p>
    <w:p>
      <w:pPr>
        <w:spacing w:after="0" w:line="16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Paramount’s strategically and financially compelling offer to WBD shareholders provides a superior alternative to the Netflix (NASDAQ: NFLX) transaction, which offers inferior and uncertain value and exposes WBD shareholders to a protracted multi-jurisdictional regulatory clearance process with an uncertain outcome along with a complex and volatile mix of equity and cash.</w:t>
      </w:r>
    </w:p>
    <w:p>
      <w:pPr>
        <w:spacing w:after="0" w:line="16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Paramount offer for the entirety of WBD provides shareholders $18 billion more in cash than the Netflix consideration. WBD’s Board of Directors recommendation of the Netflix transaction over Paramount’s offer is based on an illusory prospective valuation of Global Networks that is unsupported by the business fundamentals and encumbered by high levels of financial leverage assigned to the entity.</w:t>
      </w:r>
    </w:p>
    <w:p>
      <w:pPr>
        <w:spacing w:after="0" w:line="16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David Ellison, Chairman and CEO of Paramount, said: “WBD shareholders deserve an opportunity to consider our superior all-cash offer for their shares in the entire company. Our public offer, which is on the same terms we provided to the Warner Bros. Discovery Board of Directors in private, provides superior value, and a more certain and quicker path to completion. We believe the WBD Board of Directors is pursuing an inferior proposal which exposes shareholders to a mix of cash and stock, an uncertain future trading value of the Global Networks linear cable business and a challenging regulatory approval process. We are taking our offer directly to shareholders to give them the opportunity to act in their own best interests and maximize the value of their shares.”</w:t>
      </w:r>
    </w:p>
    <w:p>
      <w:pPr>
        <w:sectPr>
          <w:pgSz w:w="11900" w:h="16840" w:orient="portrait"/>
          <w:cols w:equalWidth="0" w:num="1">
            <w:col w:w="9780"/>
          </w:cols>
          <w:pgMar w:left="1060" w:top="555" w:right="106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Paramount’s proposal is more compelling to WBD shareholders on several fronts:</w:t>
      </w:r>
    </w:p>
    <w:p>
      <w:pPr>
        <w:spacing w:after="0" w:line="114" w:lineRule="exact"/>
        <w:rPr>
          <w:sz w:val="20"/>
          <w:szCs w:val="20"/>
          <w:color w:val="auto"/>
        </w:rPr>
      </w:pPr>
    </w:p>
    <w:p>
      <w:pPr>
        <w:ind w:left="860" w:hanging="390"/>
        <w:spacing w:after="0" w:line="244"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Price: </w:t>
      </w:r>
      <w:r>
        <w:rPr>
          <w:rFonts w:ascii="Times New Roman" w:cs="Times New Roman" w:eastAsia="Times New Roman" w:hAnsi="Times New Roman"/>
          <w:sz w:val="16"/>
          <w:szCs w:val="16"/>
          <w:color w:val="auto"/>
        </w:rPr>
        <w:t>an all-cash offer at $30.00 per share, equating to an enterprise value of $108.4 billion, which represents a 139% premium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undisturbed WBD stock price of $12.54 as of September 10, 2025. In contrast, the Netflix proposal entails a volatile and complex structure valued at $27.75 mix of cash ($23.25) and stock ($4.50), subject to collar and the future performance of Netflix, equating to an enterprise value of $82.7 billion (excluding SpinCo).</w:t>
      </w:r>
    </w:p>
    <w:p>
      <w:pPr>
        <w:spacing w:after="0" w:line="92" w:lineRule="exact"/>
        <w:rPr>
          <w:rFonts w:ascii="Times New Roman" w:cs="Times New Roman" w:eastAsia="Times New Roman" w:hAnsi="Times New Roman"/>
          <w:sz w:val="16"/>
          <w:szCs w:val="16"/>
          <w:color w:val="auto"/>
        </w:rPr>
      </w:pPr>
    </w:p>
    <w:p>
      <w:pPr>
        <w:ind w:left="860" w:right="260" w:hanging="390"/>
        <w:spacing w:after="0" w:line="262"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Structure: </w:t>
      </w:r>
      <w:r>
        <w:rPr>
          <w:rFonts w:ascii="Times New Roman" w:cs="Times New Roman" w:eastAsia="Times New Roman" w:hAnsi="Times New Roman"/>
          <w:sz w:val="16"/>
          <w:szCs w:val="16"/>
          <w:color w:val="auto"/>
        </w:rPr>
        <w:t>Paramount proposal is for all of WBD, without leaving WBD shareholders with a sub-scale and highly leveraged stub in Global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Networks, as the Netflix agreement assumes.</w:t>
      </w:r>
    </w:p>
    <w:p>
      <w:pPr>
        <w:spacing w:after="0" w:line="78" w:lineRule="exact"/>
        <w:rPr>
          <w:rFonts w:ascii="Times New Roman" w:cs="Times New Roman" w:eastAsia="Times New Roman" w:hAnsi="Times New Roman"/>
          <w:sz w:val="16"/>
          <w:szCs w:val="16"/>
          <w:color w:val="auto"/>
        </w:rPr>
      </w:pPr>
    </w:p>
    <w:p>
      <w:pPr>
        <w:ind w:left="860" w:right="140" w:hanging="390"/>
        <w:spacing w:after="0" w:line="238"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Timeline and regulatory certainty</w:t>
      </w:r>
      <w:r>
        <w:rPr>
          <w:rFonts w:ascii="Times New Roman" w:cs="Times New Roman" w:eastAsia="Times New Roman" w:hAnsi="Times New Roman"/>
          <w:sz w:val="16"/>
          <w:szCs w:val="16"/>
          <w:color w:val="auto"/>
        </w:rPr>
        <w:t>: Paramount is highly confident in achieving expeditious regulatory clearance for its proposed offer, as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enhances competition and is pro-consumer, while creating a strong champion for creative talent and consumer choice. In contrast, the Netflix transaction is predicated on the unrealistic assumption that its anticompetitive combination with WBD, which would entrench its monopoly with a 43% share of global Subscription Video on Demand (SVOD) subscribers, could withstand multiple protracted regulatory challenges across the world. In many European Union countries the Netflix transaction would combine the dominant SVOD player with the number two or strong number three competitor. The Netflix transaction creates a clear risk of higher prices for consumers, lower pay for content creators and talent and the destruction of American and international theatrical exhibitors. Netflix has never undertaken large-scale acquisitions, resulting in increased execution risk which WBD shareholders would have to endure.</w:t>
      </w:r>
    </w:p>
    <w:p>
      <w:pPr>
        <w:spacing w:after="0" w:line="17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Despite Paramount submitting six proposals over the course of 12 weeks, WBD never engaged meaningfully with these proposals which we believe deliver the best outcome for WBD shareholders. Paramount has now taken its offer directly to WBD shareholders and its Board of Directors to ensure they have the opportunity to pursue this clearly superior alternative.</w:t>
      </w:r>
    </w:p>
    <w:p>
      <w:pPr>
        <w:spacing w:after="0" w:line="16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Ellison continued, “We believe our offer will create a stronger Hollywood. It is in the best interests of the creative community, consumers and the movie theater industry. We believe they will benefit from the enhanced competition, higher content spend and theatrical release output, and a greater number of movies in theaters as a result of our proposed transaction. We look forward to working to expeditiously deliver this opportunity so that all stakeholders can begin to capitalize on the benefits of the combined company.”</w:t>
      </w:r>
    </w:p>
    <w:p>
      <w:pPr>
        <w:sectPr>
          <w:pgSz w:w="11900" w:h="16840" w:orient="portrait"/>
          <w:cols w:equalWidth="0" w:num="1">
            <w:col w:w="9800"/>
          </w:cols>
          <w:pgMar w:left="1060" w:top="689" w:right="1040" w:bottom="1440" w:gutter="0" w:footer="0" w:header="0"/>
        </w:sectPr>
      </w:pPr>
    </w:p>
    <w:bookmarkStart w:id="6" w:name="page7"/>
    <w:bookmarkEnd w:id="6"/>
    <w:p>
      <w:pPr>
        <w:ind w:right="46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combination of Paramount and WBD would create a unique global media company and a transformative force in a next generation entertainment leader:</w:t>
      </w:r>
    </w:p>
    <w:p>
      <w:pPr>
        <w:spacing w:after="0" w:line="81" w:lineRule="exact"/>
        <w:rPr>
          <w:sz w:val="20"/>
          <w:szCs w:val="20"/>
          <w:color w:val="auto"/>
        </w:rPr>
      </w:pPr>
    </w:p>
    <w:p>
      <w:pPr>
        <w:ind w:left="860" w:hanging="390"/>
        <w:spacing w:after="0" w:line="244"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Scaled Hollywood champion: </w:t>
      </w:r>
      <w:r>
        <w:rPr>
          <w:rFonts w:ascii="Times New Roman" w:cs="Times New Roman" w:eastAsia="Times New Roman" w:hAnsi="Times New Roman"/>
          <w:sz w:val="16"/>
          <w:szCs w:val="16"/>
          <w:color w:val="auto"/>
        </w:rPr>
        <w:t>Paramount will invest to grow the creative engines at the heart of WBD and Paramount, maintaining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studios of both companies and focusing on attracting and retaining world-class creative talent to grow the scaled supply of high-quality content for our combined services and third-party distribution. This includes maintaining the current WBD theatrical slate with plans for additional growth.</w:t>
      </w:r>
    </w:p>
    <w:p>
      <w:pPr>
        <w:spacing w:after="0" w:line="92" w:lineRule="exact"/>
        <w:rPr>
          <w:rFonts w:ascii="Times New Roman" w:cs="Times New Roman" w:eastAsia="Times New Roman" w:hAnsi="Times New Roman"/>
          <w:sz w:val="16"/>
          <w:szCs w:val="16"/>
          <w:color w:val="auto"/>
        </w:rPr>
      </w:pPr>
    </w:p>
    <w:p>
      <w:pPr>
        <w:ind w:left="860" w:right="20" w:hanging="390"/>
        <w:spacing w:after="0" w:line="262"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 stronger supporter of movie theaters: </w:t>
      </w:r>
      <w:r>
        <w:rPr>
          <w:rFonts w:ascii="Times New Roman" w:cs="Times New Roman" w:eastAsia="Times New Roman" w:hAnsi="Times New Roman"/>
          <w:sz w:val="16"/>
          <w:szCs w:val="16"/>
          <w:color w:val="auto"/>
        </w:rPr>
        <w:t>Paramount strongly believes in the value of releasing feature movies in theaters and will continue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 so for the theatrical content of both Paramount and WBD studios.</w:t>
      </w:r>
    </w:p>
    <w:p>
      <w:pPr>
        <w:spacing w:after="0" w:line="78" w:lineRule="exact"/>
        <w:rPr>
          <w:rFonts w:ascii="Times New Roman" w:cs="Times New Roman" w:eastAsia="Times New Roman" w:hAnsi="Times New Roman"/>
          <w:sz w:val="16"/>
          <w:szCs w:val="16"/>
          <w:color w:val="auto"/>
        </w:rPr>
      </w:pPr>
    </w:p>
    <w:p>
      <w:pPr>
        <w:ind w:left="860" w:right="480" w:hanging="390"/>
        <w:spacing w:after="0" w:line="262"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Attractive DTC potential: </w:t>
      </w:r>
      <w:r>
        <w:rPr>
          <w:rFonts w:ascii="Times New Roman" w:cs="Times New Roman" w:eastAsia="Times New Roman" w:hAnsi="Times New Roman"/>
          <w:sz w:val="16"/>
          <w:szCs w:val="16"/>
          <w:color w:val="auto"/>
        </w:rPr>
        <w:t>Bringing together the resources of Paramount and WBD will create a combined company with an attractive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direct-to-consumer footprint positioned for substantial profitability growth.</w:t>
      </w:r>
    </w:p>
    <w:p>
      <w:pPr>
        <w:spacing w:after="0" w:line="78" w:lineRule="exact"/>
        <w:rPr>
          <w:rFonts w:ascii="Times New Roman" w:cs="Times New Roman" w:eastAsia="Times New Roman" w:hAnsi="Times New Roman"/>
          <w:sz w:val="16"/>
          <w:szCs w:val="16"/>
          <w:color w:val="auto"/>
        </w:rPr>
      </w:pPr>
    </w:p>
    <w:p>
      <w:pPr>
        <w:ind w:left="860" w:right="460" w:hanging="390"/>
        <w:spacing w:after="0" w:line="334" w:lineRule="auto"/>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Pro-competitive: </w:t>
      </w:r>
      <w:r>
        <w:rPr>
          <w:rFonts w:ascii="Times New Roman" w:cs="Times New Roman" w:eastAsia="Times New Roman" w:hAnsi="Times New Roman"/>
          <w:sz w:val="14"/>
          <w:szCs w:val="14"/>
          <w:color w:val="auto"/>
        </w:rPr>
        <w:t>Combination of Paramount+ and HBO Max offers consumers a competitive direct-to-consumer service that increases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choice and value by creating a meaningful competitor to the incumbent dominant Netflix and powerhouses Amazon and Disney.</w:t>
      </w:r>
    </w:p>
    <w:p>
      <w:pPr>
        <w:spacing w:after="0" w:line="32" w:lineRule="exact"/>
        <w:rPr>
          <w:rFonts w:ascii="Times New Roman" w:cs="Times New Roman" w:eastAsia="Times New Roman" w:hAnsi="Times New Roman"/>
          <w:sz w:val="14"/>
          <w:szCs w:val="14"/>
          <w:color w:val="auto"/>
        </w:rPr>
      </w:pPr>
    </w:p>
    <w:p>
      <w:pPr>
        <w:ind w:left="860" w:right="100" w:hanging="390"/>
        <w:spacing w:after="0" w:line="262"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Technology leadership: </w:t>
      </w:r>
      <w:r>
        <w:rPr>
          <w:rFonts w:ascii="Times New Roman" w:cs="Times New Roman" w:eastAsia="Times New Roman" w:hAnsi="Times New Roman"/>
          <w:sz w:val="16"/>
          <w:szCs w:val="16"/>
          <w:color w:val="auto"/>
        </w:rPr>
        <w:t>The group’s close technology relationship with Oracle and its ecosystem will provide it with significant engineering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innovation opportunities.</w:t>
      </w:r>
    </w:p>
    <w:p>
      <w:pPr>
        <w:spacing w:after="0" w:line="78" w:lineRule="exact"/>
        <w:rPr>
          <w:rFonts w:ascii="Times New Roman" w:cs="Times New Roman" w:eastAsia="Times New Roman" w:hAnsi="Times New Roman"/>
          <w:sz w:val="16"/>
          <w:szCs w:val="16"/>
          <w:color w:val="auto"/>
        </w:rPr>
      </w:pPr>
    </w:p>
    <w:p>
      <w:pPr>
        <w:ind w:left="860" w:right="300" w:hanging="390"/>
        <w:spacing w:after="0" w:line="248"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Broad sports rights portfolio: </w:t>
      </w:r>
      <w:r>
        <w:rPr>
          <w:rFonts w:ascii="Times New Roman" w:cs="Times New Roman" w:eastAsia="Times New Roman" w:hAnsi="Times New Roman"/>
          <w:sz w:val="16"/>
          <w:szCs w:val="16"/>
          <w:color w:val="auto"/>
        </w:rPr>
        <w:t>The combined company will create a premier platform for global sports across all distribution formats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 sports rights including the NFL, Olympics, UFC, PGA Tour, NHL, Big Ten and Big 12 Football, NCAA College Basketball, and Champions League, with the ability to distribute these rights collectively across all of our platforms.</w:t>
      </w:r>
    </w:p>
    <w:p>
      <w:pPr>
        <w:spacing w:after="0" w:line="89" w:lineRule="exact"/>
        <w:rPr>
          <w:rFonts w:ascii="Times New Roman" w:cs="Times New Roman" w:eastAsia="Times New Roman" w:hAnsi="Times New Roman"/>
          <w:sz w:val="16"/>
          <w:szCs w:val="16"/>
          <w:color w:val="auto"/>
        </w:rPr>
      </w:pPr>
    </w:p>
    <w:p>
      <w:pPr>
        <w:ind w:left="860" w:hanging="390"/>
        <w:spacing w:after="0" w:line="244"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Stronger linear networks: </w:t>
      </w:r>
      <w:r>
        <w:rPr>
          <w:rFonts w:ascii="Times New Roman" w:cs="Times New Roman" w:eastAsia="Times New Roman" w:hAnsi="Times New Roman"/>
          <w:sz w:val="16"/>
          <w:szCs w:val="16"/>
          <w:color w:val="auto"/>
        </w:rPr>
        <w:t>A more diversified and better-scaled suite of cable networks that will deliver content across general entertainment,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sports and news coupled with our CBS Network and stations. This will dramatically improve cash flow and increase efficiencies, leading to a division more capable of managing structural linear declines, while providing advertisers with a more appealing partner that can provide cross-channel activations and sales.</w:t>
      </w:r>
    </w:p>
    <w:p>
      <w:pPr>
        <w:spacing w:after="0" w:line="92" w:lineRule="exact"/>
        <w:rPr>
          <w:rFonts w:ascii="Times New Roman" w:cs="Times New Roman" w:eastAsia="Times New Roman" w:hAnsi="Times New Roman"/>
          <w:sz w:val="16"/>
          <w:szCs w:val="16"/>
          <w:color w:val="auto"/>
        </w:rPr>
      </w:pPr>
    </w:p>
    <w:p>
      <w:pPr>
        <w:ind w:left="860" w:right="20" w:hanging="390"/>
        <w:spacing w:after="0" w:line="244"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Well-positioned to invest in growth: </w:t>
      </w:r>
      <w:r>
        <w:rPr>
          <w:rFonts w:ascii="Times New Roman" w:cs="Times New Roman" w:eastAsia="Times New Roman" w:hAnsi="Times New Roman"/>
          <w:sz w:val="16"/>
          <w:szCs w:val="16"/>
          <w:color w:val="auto"/>
        </w:rPr>
        <w:t>Combined balance sheet and cash flows will enable continued investment in growth initiatives,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demonstrated by the marquee deals announced by Paramount since the close of the Skydance merger – with Trey Parker and Matt Stone, the UFC, the Duffer Brothers and Activision, among others. The combined company’s resources and backing of Paramount’s committed investors will support increased investment in content generation, reinvigorating the media industry and enhancing competition.</w:t>
      </w:r>
    </w:p>
    <w:p>
      <w:pPr>
        <w:spacing w:after="0" w:line="92" w:lineRule="exact"/>
        <w:rPr>
          <w:rFonts w:ascii="Times New Roman" w:cs="Times New Roman" w:eastAsia="Times New Roman" w:hAnsi="Times New Roman"/>
          <w:sz w:val="16"/>
          <w:szCs w:val="16"/>
          <w:color w:val="auto"/>
        </w:rPr>
      </w:pPr>
    </w:p>
    <w:p>
      <w:pPr>
        <w:ind w:left="860" w:right="360" w:hanging="390"/>
        <w:spacing w:after="0" w:line="262"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Disciplined financial approach: </w:t>
      </w:r>
      <w:r>
        <w:rPr>
          <w:rFonts w:ascii="Times New Roman" w:cs="Times New Roman" w:eastAsia="Times New Roman" w:hAnsi="Times New Roman"/>
          <w:sz w:val="16"/>
          <w:szCs w:val="16"/>
          <w:color w:val="auto"/>
        </w:rPr>
        <w:t>Combined business will execute on a $6+ billion cost synergy opportunity, in addition to the more than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 billion in standalone cost efficiencies that Paramount expects to achieve in its current transformation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WBD shareholders can find additional information about Paramount’s superior proposal at </w:t>
      </w:r>
      <w:r>
        <w:rPr>
          <w:rFonts w:ascii="Times New Roman" w:cs="Times New Roman" w:eastAsia="Times New Roman" w:hAnsi="Times New Roman"/>
          <w:sz w:val="16"/>
          <w:szCs w:val="16"/>
          <w:u w:val="single" w:color="auto"/>
          <w:color w:val="auto"/>
        </w:rPr>
        <w:t>www.StrongerHollywood.com</w:t>
      </w:r>
      <w:r>
        <w:rPr>
          <w:rFonts w:ascii="Times New Roman" w:cs="Times New Roman" w:eastAsia="Times New Roman" w:hAnsi="Times New Roman"/>
          <w:sz w:val="16"/>
          <w:szCs w:val="16"/>
          <w:color w:val="auto"/>
        </w:rPr>
        <w:t>.</w:t>
      </w:r>
    </w:p>
    <w:p>
      <w:pPr>
        <w:sectPr>
          <w:pgSz w:w="11900" w:h="16840" w:orient="portrait"/>
          <w:cols w:equalWidth="0" w:num="1">
            <w:col w:w="9780"/>
          </w:cols>
          <w:pgMar w:left="1060" w:top="689" w:right="106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Approvals, Financing and Advisors</w:t>
      </w:r>
    </w:p>
    <w:p>
      <w:pPr>
        <w:spacing w:after="0" w:line="94"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Paramount’s tender offer, which was approved unanimously by its Board of Directors, is scheduled to expire at 5:00 p.m. New York City Time on January 8, 2026, unless the offer is extended. The full terms, conditions and other details of the tender offer are set forth in the offering documents that Paramount is filing today with the Securities and Exchange Commission.</w:t>
      </w:r>
    </w:p>
    <w:p>
      <w:pPr>
        <w:spacing w:after="0" w:line="1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Paramount will today submit a premerger notification filing under the Hart-Scott-Rodino Antitrust Improvements Act of 1976 in connection with its tender offer for WBD and stands ready to secure all necessary regulatory approvals expeditiously.</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proposed transaction will not be subject to any financing condition and will be financed by new equity backstopped by Paramount’s well-capitalized principal equity holders, and $54 billion of debt commitments from Bank of America, Citi and Apollo.</w:t>
      </w:r>
    </w:p>
    <w:p>
      <w:pPr>
        <w:spacing w:after="0" w:line="155" w:lineRule="exact"/>
        <w:rPr>
          <w:sz w:val="20"/>
          <w:szCs w:val="20"/>
          <w:color w:val="auto"/>
        </w:rPr>
      </w:pPr>
    </w:p>
    <w:p>
      <w:pPr>
        <w:ind w:right="200"/>
        <w:spacing w:after="0" w:line="331" w:lineRule="auto"/>
        <w:rPr>
          <w:sz w:val="20"/>
          <w:szCs w:val="20"/>
          <w:color w:val="auto"/>
        </w:rPr>
      </w:pPr>
      <w:r>
        <w:rPr>
          <w:rFonts w:ascii="Times New Roman" w:cs="Times New Roman" w:eastAsia="Times New Roman" w:hAnsi="Times New Roman"/>
          <w:sz w:val="14"/>
          <w:szCs w:val="14"/>
          <w:color w:val="auto"/>
        </w:rPr>
        <w:t>Centerview Partners LLC and RedBird Advisors are acting as lead financial advisors to Paramount, and Bank of America Securities, Citi and M. Klein &amp; Company are also acting as financial advisors. Cravath, Swaine &amp; Moore LLP and Latham &amp; Watkins LLP are acting as legal counsel to Paramount.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 and Webcast</w:t>
      </w:r>
    </w:p>
    <w:p>
      <w:pPr>
        <w:spacing w:after="0" w:line="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 xml:space="preserve">Paramount will conduct a conference call and webcast today at 10:30am ET to discuss its superior offer. A live audio webcast will be available on Paramount’s Investors homepage at ir.paramount.com. The conference call can also be accessed by dialing +1 833 470 1428 and using access code 940762. Please use the </w:t>
      </w:r>
      <w:r>
        <w:rPr>
          <w:rFonts w:ascii="Times New Roman" w:cs="Times New Roman" w:eastAsia="Times New Roman" w:hAnsi="Times New Roman"/>
          <w:sz w:val="16"/>
          <w:szCs w:val="16"/>
          <w:u w:val="single" w:color="auto"/>
          <w:color w:val="auto"/>
        </w:rPr>
        <w:t>following link</w:t>
      </w:r>
      <w:r>
        <w:rPr>
          <w:rFonts w:ascii="Times New Roman" w:cs="Times New Roman" w:eastAsia="Times New Roman" w:hAnsi="Times New Roman"/>
          <w:sz w:val="16"/>
          <w:szCs w:val="16"/>
          <w:color w:val="auto"/>
        </w:rPr>
        <w:t xml:space="preserve"> for global dial-in numbers. Please call five minutes in advance to ensure that you are connected prior to the call. An audio replay of the call will be available in the Events and Webcasts section of Paramount’s Investors homepage.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Paramount, a Skydance Corporation</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Paramount, a Skydance Corporation (NASDAQ: PSKY) is a leading, next-generation global media and entertainment company, comprised of three business segments: Filmed Entertainment, Direct-to-Consumer, and TV Media. Paramount’s portfolio unites legendary brands, including Paramount Pictures, Paramount Television, CBS – America’s most-watched broadcast network, CBS News, CBS Sports, Nickelodeon, MTV, BET, Comedy Central, Showtime, Paramount+, Paramount TV, and Skydance’s Animation, Film, Television, Interactive/Games, and Sports divisions. For more information, please visit </w:t>
      </w:r>
      <w:r>
        <w:rPr>
          <w:rFonts w:ascii="Times New Roman" w:cs="Times New Roman" w:eastAsia="Times New Roman" w:hAnsi="Times New Roman"/>
          <w:sz w:val="16"/>
          <w:szCs w:val="16"/>
          <w:u w:val="single" w:color="auto"/>
          <w:color w:val="auto"/>
        </w:rPr>
        <w:t>https://www.paramount.com/</w:t>
      </w:r>
      <w:r>
        <w:rPr>
          <w:rFonts w:ascii="Times New Roman" w:cs="Times New Roman" w:eastAsia="Times New Roman" w:hAnsi="Times New Roman"/>
          <w:sz w:val="16"/>
          <w:szCs w:val="16"/>
          <w:color w:val="auto"/>
        </w:rPr>
        <w:t>.</w:t>
      </w:r>
    </w:p>
    <w:p>
      <w:pPr>
        <w:sectPr>
          <w:pgSz w:w="11900" w:h="16840" w:orient="portrait"/>
          <w:cols w:equalWidth="0" w:num="1">
            <w:col w:w="9760"/>
          </w:cols>
          <w:pgMar w:left="1060" w:top="687" w:right="108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Cautionary Note Regarding Forward-Looking Statements</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 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w:t>
      </w:r>
    </w:p>
    <w:p>
      <w:pPr>
        <w:sectPr>
          <w:pgSz w:w="11900" w:h="16840" w:orient="portrait"/>
          <w:cols w:equalWidth="0" w:num="1">
            <w:col w:w="9800"/>
          </w:cols>
          <w:pgMar w:left="1060" w:top="687" w:right="1040" w:bottom="1440" w:gutter="0" w:footer="0" w:header="0"/>
        </w:sectPr>
      </w:pPr>
    </w:p>
    <w:bookmarkStart w:id="9" w:name="page10"/>
    <w:bookmarkEnd w:id="9"/>
    <w:p>
      <w:pPr>
        <w:ind w:right="2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Information</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70"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ectPr>
          <w:pgSz w:w="11900" w:h="16840" w:orient="portrait"/>
          <w:cols w:equalWidth="0" w:num="1">
            <w:col w:w="9780"/>
          </w:cols>
          <w:pgMar w:left="1060" w:top="689" w:right="1060" w:bottom="1440" w:gutter="0" w:footer="0" w:header="0"/>
        </w:sectPr>
      </w:pPr>
    </w:p>
    <w:bookmarkStart w:id="10" w:name="page11"/>
    <w:bookmarkEnd w:id="10"/>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Media Contacts: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Paramount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Melissa Zukerman / Laura Watson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msz@paramount.com</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Laura.watson@paramount.com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Brunswick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ParamountSkydance@brunswickgroup.com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Gagnier Communications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 Gagnier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dg@gagnierfc.com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Investor Contacts: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Paramount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Kevin Creighton / Logan Thomas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Kevin.Creighton@paramount.com</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Logan.Thomas@paramount.com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Okapi Partners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 297-0720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Toll-Free: (844) 343-2621</w:t>
      </w:r>
    </w:p>
    <w:p>
      <w:pPr>
        <w:spacing w:after="0"/>
        <w:rPr>
          <w:sz w:val="20"/>
          <w:szCs w:val="20"/>
          <w:color w:val="auto"/>
        </w:rPr>
      </w:pPr>
      <w:r>
        <w:rPr>
          <w:rFonts w:ascii="Times New Roman" w:cs="Times New Roman" w:eastAsia="Times New Roman" w:hAnsi="Times New Roman"/>
          <w:sz w:val="16"/>
          <w:szCs w:val="16"/>
          <w:u w:val="single" w:color="auto"/>
          <w:color w:val="auto"/>
        </w:rPr>
        <w:t>info@okapipartners.com</w:t>
      </w:r>
    </w:p>
    <w:p>
      <w:pPr>
        <w:sectPr>
          <w:pgSz w:w="11900" w:h="16840" w:orient="portrait"/>
          <w:cols w:equalWidth="0" w:num="1">
            <w:col w:w="9780"/>
          </w:cols>
          <w:pgMar w:left="1060" w:top="689" w:right="1060" w:bottom="1440" w:gutter="0" w:footer="0" w:header="0"/>
        </w:sectPr>
      </w:pPr>
    </w:p>
    <w:bookmarkStart w:id="11" w:name="page12"/>
    <w:bookmarkEnd w:id="1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2025-12-08T09:31:17Z</dcterms:created>
  <dcterms:modified xsi:type="dcterms:W3CDTF">2025-12-08T09:31:17Z</dcterms:modified>
</cp:coreProperties>
</file>