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250825</wp:posOffset>
            </wp:positionH>
            <wp:positionV relativeFrom="page">
              <wp:posOffset>671830</wp:posOffset>
            </wp:positionV>
            <wp:extent cx="705485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4850" cy="17145"/>
                    </a:xfrm>
                    <a:prstGeom prst="rect">
                      <a:avLst/>
                    </a:prstGeom>
                    <a:noFill/>
                  </pic:spPr>
                </pic:pic>
              </a:graphicData>
            </a:graphic>
          </wp:anchor>
        </w:drawing>
        <w:t>UNITED STATES</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9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29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24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 xml:space="preserve">Date of Report (Date of earliest event reported): </w:t>
      </w:r>
      <w:r>
        <w:rPr>
          <w:rFonts w:ascii="Times New Roman" w:cs="Times New Roman" w:eastAsia="Times New Roman" w:hAnsi="Times New Roman"/>
          <w:sz w:val="22"/>
          <w:szCs w:val="22"/>
          <w:b w:val="1"/>
          <w:bCs w:val="1"/>
          <w:color w:val="auto"/>
        </w:rPr>
        <w:t>November 10, 2025</w:t>
      </w:r>
    </w:p>
    <w:p>
      <w:pPr>
        <w:spacing w:after="0" w:line="26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00093C"/>
        </w:rPr>
        <w:t>Paramount Skydance Corporation</w:t>
      </w:r>
    </w:p>
    <w:p>
      <w:pPr>
        <w:spacing w:after="0" w:line="5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pacing w:after="0" w:line="127" w:lineRule="exact"/>
        <w:rPr>
          <w:sz w:val="24"/>
          <w:szCs w:val="24"/>
          <w:color w:val="auto"/>
        </w:rPr>
      </w:pPr>
    </w:p>
    <w:tbl>
      <w:tblPr>
        <w:tblLayout w:type="fixed"/>
        <w:tblInd w:w="820" w:type="dxa"/>
        <w:tblCellMar>
          <w:top w:w="0" w:type="dxa"/>
          <w:left w:w="0" w:type="dxa"/>
          <w:bottom w:w="0" w:type="dxa"/>
          <w:right w:w="0" w:type="dxa"/>
        </w:tblCellMar>
      </w:tblPr>
      <w:tr>
        <w:trPr>
          <w:trHeight w:val="234"/>
        </w:trPr>
        <w:tc>
          <w:tcPr>
            <w:tcW w:w="330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40" w:type="dxa"/>
            <w:vAlign w:val="bottom"/>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001-42791</w:t>
            </w:r>
          </w:p>
        </w:tc>
        <w:tc>
          <w:tcPr>
            <w:tcW w:w="27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99-3917985</w:t>
            </w:r>
          </w:p>
        </w:tc>
      </w:tr>
      <w:tr>
        <w:trPr>
          <w:trHeight w:val="189"/>
        </w:trPr>
        <w:tc>
          <w:tcPr>
            <w:tcW w:w="3300" w:type="dxa"/>
            <w:vAlign w:val="bottom"/>
          </w:tcPr>
          <w:p>
            <w:pPr>
              <w:jc w:val="center"/>
              <w:ind w:right="350"/>
              <w:spacing w:after="0" w:line="189"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3040" w:type="dxa"/>
            <w:vAlign w:val="bottom"/>
          </w:tcPr>
          <w:p>
            <w:pPr>
              <w:jc w:val="center"/>
              <w:ind w:right="110"/>
              <w:spacing w:after="0" w:line="189" w:lineRule="exact"/>
              <w:rPr>
                <w:sz w:val="20"/>
                <w:szCs w:val="20"/>
                <w:color w:val="auto"/>
              </w:rPr>
            </w:pPr>
            <w:r>
              <w:rPr>
                <w:rFonts w:ascii="Times New Roman" w:cs="Times New Roman" w:eastAsia="Times New Roman" w:hAnsi="Times New Roman"/>
                <w:sz w:val="18"/>
                <w:szCs w:val="18"/>
                <w:color w:val="auto"/>
              </w:rPr>
              <w:t>(Commission File Number)</w:t>
            </w:r>
          </w:p>
        </w:tc>
        <w:tc>
          <w:tcPr>
            <w:tcW w:w="2740" w:type="dxa"/>
            <w:vAlign w:val="bottom"/>
          </w:tcPr>
          <w:p>
            <w:pPr>
              <w:jc w:val="center"/>
              <w:ind w:left="530"/>
              <w:spacing w:after="0" w:line="189" w:lineRule="exact"/>
              <w:rPr>
                <w:sz w:val="20"/>
                <w:szCs w:val="20"/>
                <w:color w:val="auto"/>
              </w:rPr>
            </w:pPr>
            <w:r>
              <w:rPr>
                <w:rFonts w:ascii="Times New Roman" w:cs="Times New Roman" w:eastAsia="Times New Roman" w:hAnsi="Times New Roman"/>
                <w:sz w:val="18"/>
                <w:szCs w:val="18"/>
                <w:color w:val="auto"/>
              </w:rPr>
              <w:t>(IRS Employer Identification</w:t>
            </w:r>
          </w:p>
        </w:tc>
      </w:tr>
      <w:tr>
        <w:trPr>
          <w:trHeight w:val="234"/>
        </w:trPr>
        <w:tc>
          <w:tcPr>
            <w:tcW w:w="33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incorporation)</w:t>
            </w:r>
          </w:p>
        </w:tc>
        <w:tc>
          <w:tcPr>
            <w:tcW w:w="3040" w:type="dxa"/>
            <w:vAlign w:val="bottom"/>
          </w:tcPr>
          <w:p>
            <w:pPr>
              <w:spacing w:after="0"/>
              <w:rPr>
                <w:sz w:val="20"/>
                <w:szCs w:val="20"/>
                <w:color w:val="auto"/>
              </w:rPr>
            </w:pPr>
          </w:p>
        </w:tc>
        <w:tc>
          <w:tcPr>
            <w:tcW w:w="274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8"/>
              </w:rPr>
              <w:t>Number)</w:t>
            </w:r>
          </w:p>
        </w:tc>
      </w:tr>
      <w:tr>
        <w:trPr>
          <w:trHeight w:val="491"/>
        </w:trPr>
        <w:tc>
          <w:tcPr>
            <w:tcW w:w="330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8"/>
              </w:rPr>
              <w:t>1515 Broadway</w:t>
            </w:r>
          </w:p>
        </w:tc>
        <w:tc>
          <w:tcPr>
            <w:tcW w:w="304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34"/>
        </w:trPr>
        <w:tc>
          <w:tcPr>
            <w:tcW w:w="330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040" w:type="dxa"/>
            <w:vAlign w:val="bottom"/>
          </w:tcPr>
          <w:p>
            <w:pPr>
              <w:spacing w:after="0"/>
              <w:rPr>
                <w:sz w:val="20"/>
                <w:szCs w:val="20"/>
                <w:color w:val="auto"/>
              </w:rPr>
            </w:pPr>
          </w:p>
        </w:tc>
        <w:tc>
          <w:tcPr>
            <w:tcW w:w="274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10036</w:t>
            </w:r>
          </w:p>
        </w:tc>
      </w:tr>
      <w:tr>
        <w:trPr>
          <w:trHeight w:val="234"/>
        </w:trPr>
        <w:tc>
          <w:tcPr>
            <w:tcW w:w="33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40" w:type="dxa"/>
            <w:vAlign w:val="bottom"/>
          </w:tcPr>
          <w:p>
            <w:pPr>
              <w:spacing w:after="0"/>
              <w:rPr>
                <w:sz w:val="20"/>
                <w:szCs w:val="20"/>
                <w:color w:val="auto"/>
              </w:rPr>
            </w:pPr>
          </w:p>
        </w:tc>
        <w:tc>
          <w:tcPr>
            <w:tcW w:w="274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62"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20"/>
          <w:szCs w:val="20"/>
          <w:color w:val="auto"/>
        </w:rPr>
        <w:t xml:space="preserve">Registrant’s telephone number, including area code: </w:t>
      </w:r>
      <w:r>
        <w:rPr>
          <w:rFonts w:ascii="Times New Roman" w:cs="Times New Roman" w:eastAsia="Times New Roman" w:hAnsi="Times New Roman"/>
          <w:sz w:val="20"/>
          <w:szCs w:val="20"/>
          <w:b w:val="1"/>
          <w:bCs w:val="1"/>
          <w:color w:val="auto"/>
        </w:rPr>
        <w:t>(212) 258-6000</w:t>
      </w:r>
    </w:p>
    <w:p>
      <w:pPr>
        <w:spacing w:after="0" w:line="162"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0"/>
          <w:szCs w:val="20"/>
          <w:b w:val="1"/>
          <w:bCs w:val="1"/>
          <w:color w:val="auto"/>
        </w:rPr>
        <w:t>Not Applicable</w:t>
      </w:r>
    </w:p>
    <w:p>
      <w:pPr>
        <w:spacing w:after="0" w:line="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(Former name or former address, if changed since last report)</w:t>
      </w:r>
    </w:p>
    <w:p>
      <w:pPr>
        <w:spacing w:after="0" w:line="140" w:lineRule="exact"/>
        <w:rPr>
          <w:sz w:val="24"/>
          <w:szCs w:val="24"/>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Check the appropriate box below if the Form 8-K filing is intended to simultaneously satisfy the filing obligation of the registrant under any of the following provisions:</w:t>
      </w:r>
    </w:p>
    <w:p>
      <w:pPr>
        <w:spacing w:after="0" w:line="83" w:lineRule="exact"/>
        <w:rPr>
          <w:sz w:val="24"/>
          <w:szCs w:val="24"/>
          <w:color w:val="auto"/>
        </w:rPr>
      </w:pPr>
    </w:p>
    <w:p>
      <w:pPr>
        <w:ind w:left="380" w:hanging="200"/>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380" w:hanging="200"/>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380" w:hanging="200"/>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380" w:hanging="200"/>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Securities registered pursuant to Section 12(b) of the Act:</w:t>
      </w:r>
    </w:p>
    <w:p>
      <w:pPr>
        <w:spacing w:after="0" w:line="146" w:lineRule="exact"/>
        <w:rPr>
          <w:sz w:val="24"/>
          <w:szCs w:val="24"/>
          <w:color w:val="auto"/>
        </w:rPr>
      </w:pPr>
    </w:p>
    <w:tbl>
      <w:tblPr>
        <w:tblLayout w:type="fixed"/>
        <w:tblInd w:w="80" w:type="dxa"/>
        <w:tblCellMar>
          <w:top w:w="0" w:type="dxa"/>
          <w:left w:w="0" w:type="dxa"/>
          <w:bottom w:w="0" w:type="dxa"/>
          <w:right w:w="0" w:type="dxa"/>
        </w:tblCellMar>
      </w:tblPr>
      <w:tr>
        <w:trPr>
          <w:trHeight w:val="215"/>
        </w:trPr>
        <w:tc>
          <w:tcPr>
            <w:tcW w:w="43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4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Class B Common Stock, $0.001 par value</w:t>
            </w:r>
          </w:p>
        </w:tc>
        <w:tc>
          <w:tcPr>
            <w:tcW w:w="120" w:type="dxa"/>
            <w:vAlign w:val="bottom"/>
          </w:tcPr>
          <w:p>
            <w:pPr>
              <w:spacing w:after="0"/>
              <w:rPr>
                <w:sz w:val="17"/>
                <w:szCs w:val="17"/>
                <w:color w:val="auto"/>
              </w:rPr>
            </w:pPr>
          </w:p>
        </w:tc>
        <w:tc>
          <w:tcPr>
            <w:tcW w:w="2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PSKY</w:t>
            </w:r>
          </w:p>
        </w:tc>
        <w:tc>
          <w:tcPr>
            <w:tcW w:w="100" w:type="dxa"/>
            <w:vAlign w:val="bottom"/>
          </w:tcPr>
          <w:p>
            <w:pPr>
              <w:spacing w:after="0"/>
              <w:rPr>
                <w:sz w:val="17"/>
                <w:szCs w:val="17"/>
                <w:color w:val="auto"/>
              </w:rPr>
            </w:pPr>
          </w:p>
        </w:tc>
        <w:tc>
          <w:tcPr>
            <w:tcW w:w="4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36" w:lineRule="exact"/>
        <w:rPr>
          <w:sz w:val="24"/>
          <w:szCs w:val="24"/>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99"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844550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22860</wp:posOffset>
            </wp:positionH>
            <wp:positionV relativeFrom="paragraph">
              <wp:posOffset>120015</wp:posOffset>
            </wp:positionV>
            <wp:extent cx="70034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03415" cy="17145"/>
                    </a:xfrm>
                    <a:prstGeom prst="rect">
                      <a:avLst/>
                    </a:prstGeom>
                    <a:noFill/>
                  </pic:spPr>
                </pic:pic>
              </a:graphicData>
            </a:graphic>
          </wp:anchor>
        </w:drawing>
      </w:r>
    </w:p>
    <w:p>
      <w:pPr>
        <w:sectPr>
          <w:pgSz w:w="11900" w:h="16838" w:orient="portrait"/>
          <w:cols w:equalWidth="0" w:num="1">
            <w:col w:w="11100"/>
          </w:cols>
          <w:pgMar w:left="400" w:top="1280" w:right="399" w:bottom="1440" w:gutter="0" w:footer="0" w:header="0"/>
        </w:sectPr>
      </w:pPr>
    </w:p>
    <w:bookmarkStart w:id="1" w:name="page2"/>
    <w:bookmarkEnd w:id="1"/>
    <w:p>
      <w:pPr>
        <w:ind w:left="20"/>
        <w:spacing w:after="0"/>
        <w:tabs>
          <w:tab w:leader="none" w:pos="1740" w:val="left"/>
        </w:tabs>
        <w:rPr>
          <w:sz w:val="20"/>
          <w:szCs w:val="20"/>
          <w:color w:val="auto"/>
        </w:rPr>
      </w:pPr>
      <w:r>
        <w:rPr>
          <w:rFonts w:ascii="Times New Roman" w:cs="Times New Roman" w:eastAsia="Times New Roman" w:hAnsi="Times New Roman"/>
          <w:sz w:val="20"/>
          <w:szCs w:val="20"/>
          <w:b w:val="1"/>
          <w:bCs w:val="1"/>
          <w:color w:val="auto"/>
        </w:rPr>
        <w:t>Item 2.02</w:t>
      </w:r>
      <w:r>
        <w:rPr>
          <w:sz w:val="20"/>
          <w:szCs w:val="20"/>
          <w:color w:val="auto"/>
        </w:rPr>
        <w:tab/>
      </w:r>
      <w:r>
        <w:rPr>
          <w:rFonts w:ascii="Times New Roman" w:cs="Times New Roman" w:eastAsia="Times New Roman" w:hAnsi="Times New Roman"/>
          <w:sz w:val="19"/>
          <w:szCs w:val="19"/>
          <w:b w:val="1"/>
          <w:bCs w:val="1"/>
          <w:color w:val="auto"/>
        </w:rPr>
        <w:t>Results of Operations and Financial Condition.</w:t>
      </w:r>
    </w:p>
    <w:p>
      <w:pPr>
        <w:spacing w:after="0" w:line="36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20"/>
          <w:szCs w:val="20"/>
          <w:color w:val="231F20"/>
        </w:rPr>
        <w:t>On November 10, 2025, Paramount Skydance Corporation issued a Shareholder Letter announcing its financial results for the third quarter ended September 30, 2025. A copy of the Shareholder Letter is furnished herewith as Exhibit 99 and is incorporated by reference herein in its entirety.</w:t>
      </w:r>
    </w:p>
    <w:p>
      <w:pPr>
        <w:spacing w:after="0" w:line="19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20"/>
          <w:szCs w:val="20"/>
          <w:color w:val="231F20"/>
        </w:rPr>
        <w:t>The information furnished pursuant to this Item 2.02, including Exhibit 99, shall not be deemed “filed” for purposes of Section 18 of the Securities Exchange Act of 1934, as amended (the “Exchange Act”), or otherwise subject to the liabilities under that Section and shall not be deemed to be incorporated by reference into any filings under the Securities Act of 1933, as amended, or the Exchange Act.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Item 9.01</w:t>
            </w:r>
          </w:p>
        </w:tc>
        <w:tc>
          <w:tcPr>
            <w:tcW w:w="9900" w:type="dxa"/>
            <w:vAlign w:val="bottom"/>
            <w:gridSpan w:val="3"/>
          </w:tcPr>
          <w:p>
            <w:pPr>
              <w:ind w:left="420"/>
              <w:spacing w:after="0"/>
              <w:rPr>
                <w:sz w:val="20"/>
                <w:szCs w:val="20"/>
                <w:color w:val="auto"/>
              </w:rPr>
            </w:pPr>
            <w:r>
              <w:rPr>
                <w:rFonts w:ascii="Times New Roman" w:cs="Times New Roman" w:eastAsia="Times New Roman" w:hAnsi="Times New Roman"/>
                <w:sz w:val="20"/>
                <w:szCs w:val="20"/>
                <w:b w:val="1"/>
                <w:bCs w:val="1"/>
                <w:color w:val="auto"/>
              </w:rPr>
              <w:t>Financial Statements and Exhibits.</w:t>
            </w:r>
          </w:p>
        </w:tc>
        <w:tc>
          <w:tcPr>
            <w:tcW w:w="0" w:type="dxa"/>
            <w:vAlign w:val="bottom"/>
          </w:tcPr>
          <w:p>
            <w:pPr>
              <w:spacing w:after="0"/>
              <w:rPr>
                <w:sz w:val="1"/>
                <w:szCs w:val="1"/>
                <w:color w:val="auto"/>
              </w:rPr>
            </w:pPr>
          </w:p>
        </w:tc>
      </w:tr>
      <w:tr>
        <w:trPr>
          <w:trHeight w:val="594"/>
        </w:trPr>
        <w:tc>
          <w:tcPr>
            <w:tcW w:w="13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  Exhibits.</w:t>
            </w:r>
          </w:p>
        </w:tc>
        <w:tc>
          <w:tcPr>
            <w:tcW w:w="1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Exhibit</w:t>
            </w:r>
          </w:p>
        </w:tc>
        <w:tc>
          <w:tcPr>
            <w:tcW w:w="990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b w:val="1"/>
                <w:bCs w:val="1"/>
                <w:color w:val="auto"/>
              </w:rPr>
              <w:t>Description of Exhibit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Borders>
              <w:top w:val="single" w:sz="8" w:color="auto"/>
            </w:tcBorders>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Number</w:t>
            </w:r>
          </w:p>
        </w:tc>
        <w:tc>
          <w:tcPr>
            <w:tcW w:w="620" w:type="dxa"/>
            <w:vAlign w:val="bottom"/>
          </w:tcPr>
          <w:p>
            <w:pPr>
              <w:spacing w:after="0"/>
              <w:rPr>
                <w:sz w:val="14"/>
                <w:szCs w:val="14"/>
                <w:color w:val="auto"/>
              </w:rPr>
            </w:pPr>
          </w:p>
        </w:tc>
        <w:tc>
          <w:tcPr>
            <w:tcW w:w="99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60" w:type="dxa"/>
            <w:vAlign w:val="bottom"/>
            <w:shd w:val="clear" w:color="auto" w:fill="000000"/>
          </w:tcPr>
          <w:p>
            <w:pPr>
              <w:spacing w:after="0"/>
              <w:rPr>
                <w:sz w:val="2"/>
                <w:szCs w:val="2"/>
                <w:color w:val="auto"/>
              </w:rPr>
            </w:pPr>
          </w:p>
        </w:tc>
        <w:tc>
          <w:tcPr>
            <w:tcW w:w="1760" w:type="dxa"/>
            <w:vAlign w:val="bottom"/>
          </w:tcPr>
          <w:p>
            <w:pPr>
              <w:spacing w:after="0"/>
              <w:rPr>
                <w:sz w:val="2"/>
                <w:szCs w:val="2"/>
                <w:color w:val="auto"/>
              </w:rPr>
            </w:pPr>
          </w:p>
        </w:tc>
        <w:tc>
          <w:tcPr>
            <w:tcW w:w="6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13"/>
        </w:trPr>
        <w:tc>
          <w:tcPr>
            <w:tcW w:w="2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99</w:t>
            </w:r>
          </w:p>
        </w:tc>
        <w:tc>
          <w:tcPr>
            <w:tcW w:w="620" w:type="dxa"/>
            <w:vAlign w:val="bottom"/>
          </w:tcPr>
          <w:p>
            <w:pPr>
              <w:spacing w:after="0"/>
              <w:rPr>
                <w:sz w:val="24"/>
                <w:szCs w:val="24"/>
                <w:color w:val="auto"/>
              </w:rPr>
            </w:pPr>
          </w:p>
        </w:tc>
        <w:tc>
          <w:tcPr>
            <w:tcW w:w="990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Shareholder Letter, dated November 10, 2025</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20" w:type="dxa"/>
            <w:vAlign w:val="bottom"/>
            <w:gridSpan w:val="2"/>
            <w:shd w:val="clear" w:color="auto" w:fill="0000FF"/>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7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104</w:t>
            </w:r>
          </w:p>
        </w:tc>
        <w:tc>
          <w:tcPr>
            <w:tcW w:w="620" w:type="dxa"/>
            <w:vAlign w:val="bottom"/>
          </w:tcPr>
          <w:p>
            <w:pPr>
              <w:spacing w:after="0"/>
              <w:rPr>
                <w:sz w:val="24"/>
                <w:szCs w:val="24"/>
                <w:color w:val="auto"/>
              </w:rPr>
            </w:pPr>
          </w:p>
        </w:tc>
        <w:tc>
          <w:tcPr>
            <w:tcW w:w="99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c>
          <w:tcPr>
            <w:tcW w:w="0" w:type="dxa"/>
            <w:vAlign w:val="bottom"/>
          </w:tcPr>
          <w:p>
            <w:pPr>
              <w:spacing w:after="0"/>
              <w:rPr>
                <w:sz w:val="1"/>
                <w:szCs w:val="1"/>
                <w:color w:val="auto"/>
              </w:rPr>
            </w:pPr>
          </w:p>
        </w:tc>
      </w:tr>
      <w:tr>
        <w:trPr>
          <w:trHeight w:val="865"/>
        </w:trPr>
        <w:tc>
          <w:tcPr>
            <w:tcW w:w="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6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23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8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0"/>
          <w:szCs w:val="20"/>
          <w:color w:val="auto"/>
        </w:rPr>
        <w:t>PARAMOUNT SKYDANCE CORPORATION</w:t>
      </w:r>
    </w:p>
    <w:p>
      <w:pPr>
        <w:spacing w:after="0" w:line="297" w:lineRule="exact"/>
        <w:rPr>
          <w:sz w:val="20"/>
          <w:szCs w:val="20"/>
          <w:color w:val="auto"/>
        </w:rPr>
      </w:pPr>
    </w:p>
    <w:p>
      <w:pPr>
        <w:ind w:left="6080"/>
        <w:spacing w:after="0"/>
        <w:tabs>
          <w:tab w:leader="none" w:pos="6580" w:val="left"/>
        </w:tabs>
        <w:rPr>
          <w:sz w:val="20"/>
          <w:szCs w:val="20"/>
          <w:color w:val="auto"/>
        </w:rPr>
      </w:pPr>
      <w:r>
        <w:rPr>
          <w:rFonts w:ascii="Times New Roman" w:cs="Times New Roman" w:eastAsia="Times New Roman" w:hAnsi="Times New Roman"/>
          <w:sz w:val="20"/>
          <w:szCs w:val="20"/>
          <w:color w:val="auto"/>
        </w:rPr>
        <w:t>By:</w:t>
        <w:tab/>
        <w:t>/s/ Makan Delrahim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22860</wp:posOffset>
            </wp:positionV>
            <wp:extent cx="29914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0" w:lineRule="exact"/>
        <w:rPr>
          <w:sz w:val="20"/>
          <w:szCs w:val="20"/>
          <w:color w:val="auto"/>
        </w:rPr>
      </w:pPr>
    </w:p>
    <w:p>
      <w:pPr>
        <w:ind w:left="6540"/>
        <w:spacing w:after="0"/>
        <w:tabs>
          <w:tab w:leader="none" w:pos="7360" w:val="left"/>
        </w:tabs>
        <w:rPr>
          <w:sz w:val="20"/>
          <w:szCs w:val="20"/>
          <w:color w:val="auto"/>
        </w:rPr>
      </w:pPr>
      <w:r>
        <w:rPr>
          <w:rFonts w:ascii="Times New Roman" w:cs="Times New Roman" w:eastAsia="Times New Roman" w:hAnsi="Times New Roman"/>
          <w:sz w:val="20"/>
          <w:szCs w:val="20"/>
          <w:color w:val="auto"/>
        </w:rPr>
        <w:t>Name:</w:t>
        <w:tab/>
        <w:t>Makan Delrahim</w:t>
      </w:r>
    </w:p>
    <w:p>
      <w:pPr>
        <w:spacing w:after="0" w:line="28" w:lineRule="exact"/>
        <w:rPr>
          <w:sz w:val="20"/>
          <w:szCs w:val="20"/>
          <w:color w:val="auto"/>
        </w:rPr>
      </w:pPr>
    </w:p>
    <w:p>
      <w:pPr>
        <w:ind w:left="6540"/>
        <w:spacing w:after="0"/>
        <w:tabs>
          <w:tab w:leader="none" w:pos="73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Chief Legal Officer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November 10, 2025</w:t>
      </w:r>
    </w:p>
    <w:p>
      <w:pPr>
        <w:sectPr>
          <w:pgSz w:w="11900" w:h="16838" w:orient="portrait"/>
          <w:cols w:equalWidth="0" w:num="1">
            <w:col w:w="11020"/>
          </w:cols>
          <w:pgMar w:left="320" w:top="761" w:right="5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466090</wp:posOffset>
            </wp:positionV>
            <wp:extent cx="5760720" cy="1543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60720" cy="154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9080"/>
        <w:spacing w:after="0"/>
        <w:rPr>
          <w:sz w:val="20"/>
          <w:szCs w:val="20"/>
          <w:color w:val="auto"/>
        </w:rPr>
      </w:pPr>
      <w:r>
        <w:rPr>
          <w:rFonts w:ascii="Arial" w:cs="Arial" w:eastAsia="Arial" w:hAnsi="Arial"/>
          <w:sz w:val="22"/>
          <w:szCs w:val="22"/>
          <w:color w:val="auto"/>
        </w:rPr>
        <w:t>November 10, 2025</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Points:</w:t>
      </w:r>
    </w:p>
    <w:p>
      <w:pPr>
        <w:spacing w:after="0" w:line="154" w:lineRule="exact"/>
        <w:rPr>
          <w:sz w:val="20"/>
          <w:szCs w:val="20"/>
          <w:color w:val="auto"/>
        </w:rPr>
      </w:pPr>
    </w:p>
    <w:p>
      <w:pPr>
        <w:ind w:left="660" w:right="220" w:hanging="328"/>
        <w:spacing w:after="0" w:line="253"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color w:val="auto"/>
        </w:rPr>
        <w:t>In the first 100 days, we have taken significant steps to align our business around our North Star priorities: 1) investing in our growth businesses anchored by our creative engines and exceptional storytelling; 2) scaling our direct-to-consumer business globally; and, 3) driving efficiency enterprise-wide with a focus on long-term free cash flow generation.</w:t>
      </w:r>
    </w:p>
    <w:p>
      <w:pPr>
        <w:spacing w:after="0" w:line="13" w:lineRule="exact"/>
        <w:rPr>
          <w:rFonts w:ascii="Arial" w:cs="Arial" w:eastAsia="Arial" w:hAnsi="Arial"/>
          <w:sz w:val="22"/>
          <w:szCs w:val="22"/>
          <w:color w:val="auto"/>
        </w:rPr>
      </w:pPr>
    </w:p>
    <w:p>
      <w:pPr>
        <w:jc w:val="both"/>
        <w:ind w:left="660" w:right="200" w:hanging="328"/>
        <w:spacing w:after="0" w:line="287" w:lineRule="auto"/>
        <w:tabs>
          <w:tab w:leader="none" w:pos="628" w:val="left"/>
        </w:tabs>
        <w:numPr>
          <w:ilvl w:val="0"/>
          <w:numId w:val="2"/>
        </w:numPr>
        <w:rPr>
          <w:rFonts w:ascii="Times New Roman" w:cs="Times New Roman" w:eastAsia="Times New Roman" w:hAnsi="Times New Roman"/>
          <w:sz w:val="21"/>
          <w:szCs w:val="21"/>
          <w:color w:val="auto"/>
        </w:rPr>
      </w:pPr>
      <w:r>
        <w:rPr>
          <w:rFonts w:ascii="Arial" w:cs="Arial" w:eastAsia="Arial" w:hAnsi="Arial"/>
          <w:sz w:val="21"/>
          <w:szCs w:val="21"/>
          <w:color w:val="auto"/>
        </w:rPr>
        <w:t>We have taken early but meaningful steps towards advancing these priorities, including: key leadership hires, high-impact partnerships, increased investment in our studios, and driving efficiency across the organization.</w:t>
      </w:r>
    </w:p>
    <w:p>
      <w:pPr>
        <w:spacing w:after="0" w:line="1" w:lineRule="exact"/>
        <w:rPr>
          <w:rFonts w:ascii="Times New Roman" w:cs="Times New Roman" w:eastAsia="Times New Roman" w:hAnsi="Times New Roman"/>
          <w:sz w:val="21"/>
          <w:szCs w:val="21"/>
          <w:color w:val="auto"/>
        </w:rPr>
      </w:pPr>
    </w:p>
    <w:p>
      <w:pPr>
        <w:ind w:left="660" w:right="80" w:hanging="328"/>
        <w:spacing w:after="0" w:line="267" w:lineRule="auto"/>
        <w:tabs>
          <w:tab w:leader="none" w:pos="628"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color w:val="auto"/>
        </w:rPr>
        <w:t>True to our mission as a creative company, we are committed to increasing our creative output with more high-quality films, TV series, sports, news, and games to growing audiences worldwide.</w:t>
      </w:r>
    </w:p>
    <w:p>
      <w:pPr>
        <w:spacing w:after="0" w:line="3" w:lineRule="exact"/>
        <w:rPr>
          <w:rFonts w:ascii="Times New Roman" w:cs="Times New Roman" w:eastAsia="Times New Roman" w:hAnsi="Times New Roman"/>
          <w:sz w:val="22"/>
          <w:szCs w:val="22"/>
          <w:color w:val="auto"/>
        </w:rPr>
      </w:pPr>
    </w:p>
    <w:p>
      <w:pPr>
        <w:ind w:left="660" w:hanging="328"/>
        <w:spacing w:after="0" w:line="256" w:lineRule="auto"/>
        <w:tabs>
          <w:tab w:leader="none" w:pos="628"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color w:val="auto"/>
        </w:rPr>
        <w:t>We are investing significantly in our DTC business, our top priority – both content and critical back-end tech upgrades – to quickly reach scale in engagement, which will drive subscribers, revenue, and profit, with a more balanced, year-round programming strategy and a focus on profitable growth. On a full-year basis, we expect DTC to be profitable in 2025 with growth in profitability in 2026.</w:t>
      </w:r>
    </w:p>
    <w:p>
      <w:pPr>
        <w:spacing w:after="0" w:line="13" w:lineRule="exact"/>
        <w:rPr>
          <w:rFonts w:ascii="Times New Roman" w:cs="Times New Roman" w:eastAsia="Times New Roman" w:hAnsi="Times New Roman"/>
          <w:sz w:val="22"/>
          <w:szCs w:val="22"/>
          <w:color w:val="auto"/>
        </w:rPr>
      </w:pPr>
    </w:p>
    <w:p>
      <w:pPr>
        <w:ind w:left="660" w:right="260" w:hanging="328"/>
        <w:spacing w:after="0" w:line="230" w:lineRule="auto"/>
        <w:tabs>
          <w:tab w:leader="none" w:pos="628"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color w:val="auto"/>
        </w:rPr>
        <w:t>For 2026, we expect total revenue of $30 billion, led by a healthy acceleration in DTC revenue with global profitability. We expect 2026 adj. OIBDA</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of $3.5 billion and are increasing our run-rate efficiency target from $2 billion to at least $3 billion.</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color w:val="auto"/>
        </w:rPr>
        <w:t>Fellow shareholders,</w:t>
      </w:r>
    </w:p>
    <w:p>
      <w:pPr>
        <w:spacing w:after="0" w:line="139"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Nearly 100 days have passed since we launched the new Paramount, and we are pleased with the progress to date. Our goal in bringing together Paramount and Skydance was to honor a company with over a century of storied history and profound cultural impact, while transforming it for the future through investments in exceptional storytelling, innovative technology, and strategic growth opportunities that will shape the next era of entertainment. Today, we are confident we are on the right path – taking the necessary steps to build a stronger, more enduring company for the future.</w:t>
      </w:r>
    </w:p>
    <w:p>
      <w:pPr>
        <w:spacing w:after="0" w:line="208" w:lineRule="exact"/>
        <w:rPr>
          <w:sz w:val="20"/>
          <w:szCs w:val="20"/>
          <w:color w:val="auto"/>
        </w:rPr>
      </w:pPr>
    </w:p>
    <w:p>
      <w:pPr>
        <w:jc w:val="both"/>
        <w:ind w:right="120"/>
        <w:spacing w:after="0" w:line="264" w:lineRule="auto"/>
        <w:rPr>
          <w:sz w:val="20"/>
          <w:szCs w:val="20"/>
          <w:color w:val="auto"/>
        </w:rPr>
      </w:pPr>
      <w:r>
        <w:rPr>
          <w:rFonts w:ascii="Arial" w:cs="Arial" w:eastAsia="Arial" w:hAnsi="Arial"/>
          <w:sz w:val="22"/>
          <w:szCs w:val="22"/>
          <w:color w:val="auto"/>
        </w:rPr>
        <w:t>Our conviction stems in large part from owning an extraordinary portfolio of world-class brands and assets, including Paramount Pictures, Paramount Television Studios, CBS Television Network, CBS Studios, CBS News, CBS Sports, TV Stations and Syndication, Paramount+, Pluto TV, Nickelodeon, MTV,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22631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168" w:lineRule="exact"/>
        <w:rPr>
          <w:sz w:val="20"/>
          <w:szCs w:val="20"/>
          <w:color w:val="auto"/>
        </w:rPr>
      </w:pPr>
    </w:p>
    <w:p>
      <w:pPr>
        <w:ind w:left="120" w:hanging="112"/>
        <w:spacing w:after="0"/>
        <w:tabs>
          <w:tab w:leader="none" w:pos="120" w:val="left"/>
        </w:tabs>
        <w:numPr>
          <w:ilvl w:val="0"/>
          <w:numId w:val="3"/>
        </w:numPr>
        <w:rPr>
          <w:rFonts w:ascii="Arial" w:cs="Arial" w:eastAsia="Arial" w:hAnsi="Arial"/>
          <w:sz w:val="23"/>
          <w:szCs w:val="23"/>
          <w:color w:val="auto"/>
          <w:vertAlign w:val="superscript"/>
        </w:rPr>
      </w:pPr>
      <w:r>
        <w:rPr>
          <w:rFonts w:ascii="Arial" w:cs="Arial" w:eastAsia="Arial" w:hAnsi="Arial"/>
          <w:sz w:val="14"/>
          <w:szCs w:val="14"/>
          <w:color w:val="auto"/>
        </w:rPr>
        <w:t>Non-GAAP measures are detailed in the Supplemental Disclosures at the end of this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25" w:right="339" w:bottom="1440" w:gutter="0" w:footer="0" w:header="0"/>
        </w:sectPr>
      </w:pPr>
    </w:p>
    <w:bookmarkStart w:id="4" w:name="page5"/>
    <w:bookmarkEnd w:id="4"/>
    <w:p>
      <w:pPr>
        <w:jc w:val="both"/>
        <w:ind w:right="780"/>
        <w:spacing w:after="0" w:line="257" w:lineRule="auto"/>
        <w:rPr>
          <w:sz w:val="20"/>
          <w:szCs w:val="20"/>
          <w:color w:val="auto"/>
        </w:rPr>
      </w:pPr>
      <w:r>
        <w:rPr>
          <w:rFonts w:ascii="Arial" w:cs="Arial" w:eastAsia="Arial" w:hAnsi="Arial"/>
          <w:sz w:val="22"/>
          <w:szCs w:val="22"/>
          <w:color w:val="auto"/>
        </w:rPr>
        <w:t>BET, Comedy Central, Showtime, and Skydance’s Animation, Film, Television, Interactive/Games, and Sports divisions. This diverse and powerful lineup uniquely positions us to drive future growth and engage expanding audiences around the globe.</w:t>
      </w:r>
    </w:p>
    <w:p>
      <w:pPr>
        <w:spacing w:after="0" w:line="213"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It also gives us the scale, diversity, and reach needed to thrive amid disruption. Our industry is undergoing a generational transformation, and at Paramount, we are determined not only to adapt, but to lead – competing with the best in media and entertainment. Our vision is to transform Paramount into the global home of world-class storytelling, powered by one of the industry’s most storied studios, the leading broadcast network, and a global, scaled streaming platform that delivers must-watch programming to audiences everywhere. To achieve this, we must ensure our organization is built to operate at its full potential – equipped with the right tools, resources, and talent, and focused on driving sustainable, long-term growth.</w:t>
      </w:r>
    </w:p>
    <w:p>
      <w:pPr>
        <w:spacing w:after="0" w:line="207" w:lineRule="exact"/>
        <w:rPr>
          <w:sz w:val="20"/>
          <w:szCs w:val="20"/>
          <w:color w:val="auto"/>
        </w:rPr>
      </w:pPr>
    </w:p>
    <w:p>
      <w:pPr>
        <w:ind w:right="360"/>
        <w:spacing w:after="0" w:line="272" w:lineRule="auto"/>
        <w:rPr>
          <w:sz w:val="20"/>
          <w:szCs w:val="20"/>
          <w:color w:val="auto"/>
        </w:rPr>
      </w:pPr>
      <w:r>
        <w:rPr>
          <w:rFonts w:ascii="Arial" w:cs="Arial" w:eastAsia="Arial" w:hAnsi="Arial"/>
          <w:sz w:val="22"/>
          <w:szCs w:val="22"/>
          <w:color w:val="auto"/>
        </w:rPr>
        <w:t>With this in mind, on Day 1 we identified our North Star priorities – areas where we see the greatest opportunity to invest, innovate, and drive meaningful progress:</w:t>
      </w:r>
    </w:p>
    <w:p>
      <w:pPr>
        <w:spacing w:after="0" w:line="48" w:lineRule="exact"/>
        <w:rPr>
          <w:sz w:val="20"/>
          <w:szCs w:val="20"/>
          <w:color w:val="auto"/>
        </w:rPr>
      </w:pPr>
    </w:p>
    <w:p>
      <w:pPr>
        <w:ind w:left="620" w:hanging="288"/>
        <w:spacing w:after="0"/>
        <w:tabs>
          <w:tab w:leader="none" w:pos="620" w:val="left"/>
        </w:tabs>
        <w:numPr>
          <w:ilvl w:val="0"/>
          <w:numId w:val="4"/>
        </w:numPr>
        <w:rPr>
          <w:rFonts w:ascii="Arial" w:cs="Arial" w:eastAsia="Arial" w:hAnsi="Arial"/>
          <w:sz w:val="22"/>
          <w:szCs w:val="22"/>
          <w:color w:val="auto"/>
        </w:rPr>
      </w:pPr>
      <w:r>
        <w:rPr>
          <w:rFonts w:ascii="Arial" w:cs="Arial" w:eastAsia="Arial" w:hAnsi="Arial"/>
          <w:sz w:val="22"/>
          <w:szCs w:val="22"/>
          <w:color w:val="auto"/>
        </w:rPr>
        <w:t>Investing in our growth businesses anchored by our creative engines and exceptional storytelling</w:t>
      </w:r>
    </w:p>
    <w:p>
      <w:pPr>
        <w:spacing w:after="0" w:line="57" w:lineRule="exact"/>
        <w:rPr>
          <w:rFonts w:ascii="Arial" w:cs="Arial" w:eastAsia="Arial" w:hAnsi="Arial"/>
          <w:sz w:val="22"/>
          <w:szCs w:val="22"/>
          <w:color w:val="auto"/>
        </w:rPr>
      </w:pPr>
    </w:p>
    <w:p>
      <w:pPr>
        <w:ind w:left="620" w:hanging="288"/>
        <w:spacing w:after="0"/>
        <w:tabs>
          <w:tab w:leader="none" w:pos="620" w:val="left"/>
        </w:tabs>
        <w:numPr>
          <w:ilvl w:val="0"/>
          <w:numId w:val="4"/>
        </w:numPr>
        <w:rPr>
          <w:rFonts w:ascii="Arial" w:cs="Arial" w:eastAsia="Arial" w:hAnsi="Arial"/>
          <w:sz w:val="22"/>
          <w:szCs w:val="22"/>
          <w:color w:val="auto"/>
        </w:rPr>
      </w:pPr>
      <w:r>
        <w:rPr>
          <w:rFonts w:ascii="Arial" w:cs="Arial" w:eastAsia="Arial" w:hAnsi="Arial"/>
          <w:sz w:val="22"/>
          <w:szCs w:val="22"/>
          <w:color w:val="auto"/>
        </w:rPr>
        <w:t>Scaling our direct-to-consumer business globally</w:t>
      </w:r>
    </w:p>
    <w:p>
      <w:pPr>
        <w:spacing w:after="0" w:line="71" w:lineRule="exact"/>
        <w:rPr>
          <w:rFonts w:ascii="Arial" w:cs="Arial" w:eastAsia="Arial" w:hAnsi="Arial"/>
          <w:sz w:val="22"/>
          <w:szCs w:val="22"/>
          <w:color w:val="auto"/>
        </w:rPr>
      </w:pPr>
    </w:p>
    <w:p>
      <w:pPr>
        <w:ind w:left="620" w:hanging="288"/>
        <w:spacing w:after="0"/>
        <w:tabs>
          <w:tab w:leader="none" w:pos="620" w:val="left"/>
        </w:tabs>
        <w:numPr>
          <w:ilvl w:val="0"/>
          <w:numId w:val="4"/>
        </w:numPr>
        <w:rPr>
          <w:rFonts w:ascii="Arial" w:cs="Arial" w:eastAsia="Arial" w:hAnsi="Arial"/>
          <w:sz w:val="22"/>
          <w:szCs w:val="22"/>
          <w:color w:val="auto"/>
        </w:rPr>
      </w:pPr>
      <w:r>
        <w:rPr>
          <w:rFonts w:ascii="Arial" w:cs="Arial" w:eastAsia="Arial" w:hAnsi="Arial"/>
          <w:sz w:val="22"/>
          <w:szCs w:val="22"/>
          <w:color w:val="auto"/>
        </w:rPr>
        <w:t>Driving efficiency enterprise-wide with a focus on long-term free cash flow generation</w:t>
      </w:r>
    </w:p>
    <w:p>
      <w:pPr>
        <w:spacing w:after="0" w:line="139" w:lineRule="exact"/>
        <w:rPr>
          <w:sz w:val="20"/>
          <w:szCs w:val="20"/>
          <w:color w:val="auto"/>
        </w:rPr>
      </w:pPr>
    </w:p>
    <w:p>
      <w:pPr>
        <w:ind w:right="80"/>
        <w:spacing w:after="0" w:line="253" w:lineRule="auto"/>
        <w:rPr>
          <w:sz w:val="20"/>
          <w:szCs w:val="20"/>
          <w:color w:val="auto"/>
        </w:rPr>
      </w:pPr>
      <w:r>
        <w:rPr>
          <w:rFonts w:ascii="Arial" w:cs="Arial" w:eastAsia="Arial" w:hAnsi="Arial"/>
          <w:sz w:val="22"/>
          <w:szCs w:val="22"/>
          <w:color w:val="auto"/>
        </w:rPr>
        <w:t>Over the past three months, we have taken early but meaningful steps to advance these priorities – making key leadership hires, pursuing high-impact partnerships to deliver even more exceptional stories, sports, and news to our audiences, expanding our world-class roster of creative talent, reigniting performance across our studios, maximizing the value of our highly profitable CBS portfolio, and streamlining overlapping functions to drive efficiency across the organization. Through it all, we’ve stayed true to our guiding purpose: storytelling.</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F4761"/>
        </w:rPr>
        <w:t>Supercharging Our Creative Engine</w:t>
      </w:r>
    </w:p>
    <w:p>
      <w:pPr>
        <w:spacing w:after="0" w:line="152" w:lineRule="exact"/>
        <w:rPr>
          <w:sz w:val="20"/>
          <w:szCs w:val="20"/>
          <w:color w:val="auto"/>
        </w:rPr>
      </w:pPr>
    </w:p>
    <w:p>
      <w:pPr>
        <w:ind w:right="60"/>
        <w:spacing w:after="0" w:line="264" w:lineRule="auto"/>
        <w:rPr>
          <w:sz w:val="20"/>
          <w:szCs w:val="20"/>
          <w:color w:val="auto"/>
        </w:rPr>
      </w:pPr>
      <w:r>
        <w:rPr>
          <w:rFonts w:ascii="Arial" w:cs="Arial" w:eastAsia="Arial" w:hAnsi="Arial"/>
          <w:sz w:val="22"/>
          <w:szCs w:val="22"/>
          <w:color w:val="auto"/>
        </w:rPr>
        <w:t>At Paramount, we are – and always will be – a creative company. Storytelling remains the heart and soul of everything we do. Our mission is to entertain audiences around the world with the best films, television series, sports, news, and games, and we’re committed to continuing to invest boldly in this core strength.</w:t>
      </w:r>
    </w:p>
    <w:p>
      <w:pPr>
        <w:spacing w:after="0" w:line="189" w:lineRule="exact"/>
        <w:rPr>
          <w:sz w:val="20"/>
          <w:szCs w:val="20"/>
          <w:color w:val="auto"/>
        </w:rPr>
      </w:pPr>
    </w:p>
    <w:p>
      <w:pPr>
        <w:spacing w:after="0" w:line="249" w:lineRule="auto"/>
        <w:rPr>
          <w:sz w:val="20"/>
          <w:szCs w:val="20"/>
          <w:color w:val="auto"/>
        </w:rPr>
      </w:pPr>
      <w:r>
        <w:rPr>
          <w:rFonts w:ascii="Arial" w:cs="Arial" w:eastAsia="Arial" w:hAnsi="Arial"/>
          <w:sz w:val="22"/>
          <w:szCs w:val="22"/>
          <w:b w:val="1"/>
          <w:bCs w:val="1"/>
          <w:color w:val="auto"/>
        </w:rPr>
        <w:t>This starts with talent</w:t>
      </w:r>
      <w:r>
        <w:rPr>
          <w:rFonts w:ascii="Arial" w:cs="Arial" w:eastAsia="Arial" w:hAnsi="Arial"/>
          <w:sz w:val="22"/>
          <w:szCs w:val="22"/>
          <w:color w:val="auto"/>
        </w:rPr>
        <w:t>. We’re proud to have a best-in-class roster of creative talent, both in front of and behind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camera. Recent highlights include our five-year exclusive deal with Matt Stone and Trey Parker, co-creators of </w:t>
      </w:r>
      <w:r>
        <w:rPr>
          <w:rFonts w:ascii="Arial" w:cs="Arial" w:eastAsia="Arial" w:hAnsi="Arial"/>
          <w:sz w:val="22"/>
          <w:szCs w:val="22"/>
          <w:i w:val="1"/>
          <w:iCs w:val="1"/>
          <w:color w:val="auto"/>
        </w:rPr>
        <w:t>South</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Park </w:t>
      </w:r>
      <w:r>
        <w:rPr>
          <w:rFonts w:ascii="Arial" w:cs="Arial" w:eastAsia="Arial" w:hAnsi="Arial"/>
          <w:sz w:val="22"/>
          <w:szCs w:val="22"/>
          <w:color w:val="auto"/>
        </w:rPr>
        <w:t>– the top acquisition driver on Paramount+ in Q3; a four-year exclusive pact with the Duffer Brothers, the duo</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behind the global phenomenon </w:t>
      </w:r>
      <w:r>
        <w:rPr>
          <w:rFonts w:ascii="Arial" w:cs="Arial" w:eastAsia="Arial" w:hAnsi="Arial"/>
          <w:sz w:val="22"/>
          <w:szCs w:val="22"/>
          <w:i w:val="1"/>
          <w:iCs w:val="1"/>
          <w:color w:val="auto"/>
        </w:rPr>
        <w:t>Stranger Things</w:t>
      </w:r>
      <w:r>
        <w:rPr>
          <w:rFonts w:ascii="Arial" w:cs="Arial" w:eastAsia="Arial" w:hAnsi="Arial"/>
          <w:sz w:val="22"/>
          <w:szCs w:val="22"/>
          <w:color w:val="auto"/>
        </w:rPr>
        <w:t xml:space="preserve">, that includes feature films, television, and streaming projects starting in 2026; an overall film deal with five-time Oscar-nominated filmmaker James Mangold; a first-look television deal with Jessica Biel and Michelle Purple’s Iron Ocean Productions; a renewed partnership with </w:t>
      </w:r>
      <w:r>
        <w:rPr>
          <w:rFonts w:ascii="Arial" w:cs="Arial" w:eastAsia="Arial" w:hAnsi="Arial"/>
          <w:sz w:val="22"/>
          <w:szCs w:val="22"/>
          <w:i w:val="1"/>
          <w:iCs w:val="1"/>
          <w:color w:val="auto"/>
        </w:rPr>
        <w:t>The Conjuring</w:t>
      </w:r>
      <w:r>
        <w:rPr>
          <w:rFonts w:ascii="Arial" w:cs="Arial" w:eastAsia="Arial" w:hAnsi="Arial"/>
          <w:sz w:val="22"/>
          <w:szCs w:val="22"/>
          <w:color w:val="auto"/>
        </w:rPr>
        <w:t xml:space="preserve"> franchise’s Walter Hamada; as well as a new horror/thriller label for Paramount Pictures in collaboration with </w:t>
      </w:r>
      <w:r>
        <w:rPr>
          <w:rFonts w:ascii="Arial" w:cs="Arial" w:eastAsia="Arial" w:hAnsi="Arial"/>
          <w:sz w:val="22"/>
          <w:szCs w:val="22"/>
          <w:i w:val="1"/>
          <w:iCs w:val="1"/>
          <w:color w:val="auto"/>
        </w:rPr>
        <w:t xml:space="preserve">Weapons </w:t>
      </w:r>
      <w:r>
        <w:rPr>
          <w:rFonts w:ascii="Arial" w:cs="Arial" w:eastAsia="Arial" w:hAnsi="Arial"/>
          <w:sz w:val="22"/>
          <w:szCs w:val="22"/>
          <w:color w:val="auto"/>
        </w:rPr>
        <w:t>producers J.D. Lifshitz and Raphael Margules of BoulderLight Pictures.</w:t>
      </w:r>
    </w:p>
    <w:p>
      <w:pPr>
        <w:spacing w:after="0" w:line="211" w:lineRule="exact"/>
        <w:rPr>
          <w:sz w:val="20"/>
          <w:szCs w:val="20"/>
          <w:color w:val="auto"/>
        </w:rPr>
      </w:pPr>
    </w:p>
    <w:p>
      <w:pPr>
        <w:ind w:right="180"/>
        <w:spacing w:after="0" w:line="285" w:lineRule="auto"/>
        <w:rPr>
          <w:sz w:val="20"/>
          <w:szCs w:val="20"/>
          <w:color w:val="auto"/>
        </w:rPr>
      </w:pPr>
      <w:r>
        <w:rPr>
          <w:rFonts w:ascii="Arial" w:cs="Arial" w:eastAsia="Arial" w:hAnsi="Arial"/>
          <w:sz w:val="22"/>
          <w:szCs w:val="22"/>
          <w:color w:val="auto"/>
        </w:rPr>
        <w:t xml:space="preserve">We also signed a landmark film partnership with Activision to produce </w:t>
      </w:r>
      <w:r>
        <w:rPr>
          <w:rFonts w:ascii="Arial" w:cs="Arial" w:eastAsia="Arial" w:hAnsi="Arial"/>
          <w:sz w:val="22"/>
          <w:szCs w:val="22"/>
          <w:i w:val="1"/>
          <w:iCs w:val="1"/>
          <w:color w:val="auto"/>
        </w:rPr>
        <w:t>Call of Duty,</w:t>
      </w:r>
      <w:r>
        <w:rPr>
          <w:rFonts w:ascii="Arial" w:cs="Arial" w:eastAsia="Arial" w:hAnsi="Arial"/>
          <w:sz w:val="22"/>
          <w:szCs w:val="22"/>
          <w:color w:val="auto"/>
        </w:rPr>
        <w:t xml:space="preserve"> one of the most successful video games of all time – uniting legendary director Peter Berg with visionary writer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304165</wp:posOffset>
            </wp:positionV>
            <wp:extent cx="1011555" cy="308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1155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099" w:right="339" w:bottom="1440" w:gutter="0" w:footer="0" w:header="0"/>
        </w:sectPr>
      </w:pPr>
    </w:p>
    <w:bookmarkStart w:id="5" w:name="page6"/>
    <w:bookmarkEnd w:id="5"/>
    <w:p>
      <w:pPr>
        <w:ind w:right="800"/>
        <w:spacing w:after="0" w:line="252" w:lineRule="auto"/>
        <w:rPr>
          <w:sz w:val="20"/>
          <w:szCs w:val="20"/>
          <w:color w:val="auto"/>
        </w:rPr>
      </w:pPr>
      <w:r>
        <w:rPr>
          <w:rFonts w:ascii="Arial" w:cs="Arial" w:eastAsia="Arial" w:hAnsi="Arial"/>
          <w:sz w:val="22"/>
          <w:szCs w:val="22"/>
          <w:color w:val="auto"/>
        </w:rPr>
        <w:t>creator Taylor Sheridan. While our contract with Sheridan will conclude at the end of 2028, we look forward to continuing our strong partnership over the next several years.</w:t>
      </w:r>
    </w:p>
    <w:p>
      <w:pPr>
        <w:spacing w:after="0" w:line="2" w:lineRule="exact"/>
        <w:rPr>
          <w:sz w:val="20"/>
          <w:szCs w:val="20"/>
          <w:color w:val="auto"/>
        </w:rPr>
      </w:pPr>
    </w:p>
    <w:p>
      <w:pPr>
        <w:ind w:right="20"/>
        <w:spacing w:after="0" w:line="249" w:lineRule="auto"/>
        <w:rPr>
          <w:sz w:val="20"/>
          <w:szCs w:val="20"/>
          <w:color w:val="auto"/>
        </w:rPr>
      </w:pPr>
      <w:r>
        <w:rPr>
          <w:rFonts w:ascii="Arial" w:cs="Arial" w:eastAsia="Arial" w:hAnsi="Arial"/>
          <w:sz w:val="22"/>
          <w:szCs w:val="22"/>
          <w:b w:val="1"/>
          <w:bCs w:val="1"/>
          <w:color w:val="auto"/>
        </w:rPr>
        <w:t>We’ve also taken important steps to streamline our studio and distribution operations under unified leadership</w:t>
      </w:r>
      <w:r>
        <w:rPr>
          <w:rFonts w:ascii="Arial" w:cs="Arial" w:eastAsia="Arial" w:hAnsi="Arial"/>
          <w:sz w:val="22"/>
          <w:szCs w:val="22"/>
          <w:color w:val="auto"/>
        </w:rPr>
        <w:t>. We merged Showtime/MTV Entertainment Studios, Nickelodeon Live Action, and Skydance Television to</w:t>
      </w:r>
      <w:r>
        <w:rPr>
          <w:rFonts w:ascii="Arial" w:cs="Arial" w:eastAsia="Arial" w:hAnsi="Arial"/>
          <w:sz w:val="22"/>
          <w:szCs w:val="22"/>
          <w:b w:val="1"/>
          <w:bCs w:val="1"/>
          <w:color w:val="auto"/>
        </w:rPr>
        <w:t xml:space="preserve"> </w:t>
      </w:r>
      <w:r>
        <w:rPr>
          <w:rFonts w:ascii="Arial" w:cs="Arial" w:eastAsia="Arial" w:hAnsi="Arial"/>
          <w:sz w:val="22"/>
          <w:szCs w:val="22"/>
          <w:color w:val="auto"/>
        </w:rPr>
        <w:t>form the revitalized Paramount Television Studios. In parallel, our media networks have been restructured under one leadership team to combine CBS’s prolific broadcast and studios business across entertainment, sports, and news with iconic cable brands and platforms such as BET, Comedy Central, MTV, and Nickelodeon. Both changes were made with the goal of achieving greater alignment across leadership, resource allocation and efficiency, and creative focus.</w:t>
      </w:r>
    </w:p>
    <w:p>
      <w:pPr>
        <w:spacing w:after="0" w:line="206" w:lineRule="exact"/>
        <w:rPr>
          <w:sz w:val="20"/>
          <w:szCs w:val="20"/>
          <w:color w:val="auto"/>
        </w:rPr>
      </w:pPr>
    </w:p>
    <w:p>
      <w:pPr>
        <w:ind w:right="80"/>
        <w:spacing w:after="0" w:line="252" w:lineRule="auto"/>
        <w:rPr>
          <w:sz w:val="20"/>
          <w:szCs w:val="20"/>
          <w:color w:val="auto"/>
        </w:rPr>
      </w:pPr>
      <w:r>
        <w:rPr>
          <w:rFonts w:ascii="Arial" w:cs="Arial" w:eastAsia="Arial" w:hAnsi="Arial"/>
          <w:sz w:val="22"/>
          <w:szCs w:val="22"/>
          <w:b w:val="1"/>
          <w:bCs w:val="1"/>
          <w:color w:val="auto"/>
        </w:rPr>
        <w:t xml:space="preserve">Additionally, we are taking decisive steps to reinvigorate performance across our studios, particularly within Paramount Pictures. </w:t>
      </w:r>
      <w:r>
        <w:rPr>
          <w:rFonts w:ascii="Arial" w:cs="Arial" w:eastAsia="Arial" w:hAnsi="Arial"/>
          <w:sz w:val="22"/>
          <w:szCs w:val="22"/>
          <w:color w:val="auto"/>
        </w:rPr>
        <w:t>Our 2025 film slate has underperformed, with most titles expected to miss their lifetime profit</w:t>
      </w:r>
      <w:r>
        <w:rPr>
          <w:rFonts w:ascii="Arial" w:cs="Arial" w:eastAsia="Arial" w:hAnsi="Arial"/>
          <w:sz w:val="22"/>
          <w:szCs w:val="22"/>
          <w:b w:val="1"/>
          <w:bCs w:val="1"/>
          <w:color w:val="auto"/>
        </w:rPr>
        <w:t xml:space="preserve"> </w:t>
      </w:r>
      <w:r>
        <w:rPr>
          <w:rFonts w:ascii="Arial" w:cs="Arial" w:eastAsia="Arial" w:hAnsi="Arial"/>
          <w:sz w:val="22"/>
          <w:szCs w:val="22"/>
          <w:color w:val="auto"/>
        </w:rPr>
        <w:t>targets. This presents an opportunity to recalibrate, and we are focused on making the necessary improvements to our future slate. At the same time, we plan to grow our theatrical output to at least 15 films annually beginning in 2026. While this rebuilding process will take time, we are confident that our strategy positions us to deliver quality films that will resonate with audiences worldwide and drive sustainable growth.</w:t>
      </w:r>
    </w:p>
    <w:p>
      <w:pPr>
        <w:spacing w:after="0" w:line="202"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b w:val="1"/>
          <w:bCs w:val="1"/>
          <w:color w:val="auto"/>
        </w:rPr>
        <w:t>Beyond our theatrical initiatives, we anticipate a significant expansion of our total television studio output over the coming years, encompassing titles to be distributed both on our own platforms and licensed to third-parties</w:t>
      </w:r>
      <w:r>
        <w:rPr>
          <w:rFonts w:ascii="Arial" w:cs="Arial" w:eastAsia="Arial" w:hAnsi="Arial"/>
          <w:sz w:val="22"/>
          <w:szCs w:val="22"/>
          <w:color w:val="auto"/>
        </w:rPr>
        <w:t>. We’re complementing this strategy with partnerships that expand our reach – including our seven-year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exclusive media rights deal with the UFC and our landmark agreement with Zuffa Boxing. Both are highly complementary to our existing sports portfolio. Our expansive UFC media rights partnership represents a once-in-a-decade opportunity to become the </w:t>
      </w:r>
      <w:r>
        <w:rPr>
          <w:rFonts w:ascii="Arial" w:cs="Arial" w:eastAsia="Arial" w:hAnsi="Arial"/>
          <w:sz w:val="22"/>
          <w:szCs w:val="22"/>
          <w:i w:val="1"/>
          <w:iCs w:val="1"/>
          <w:color w:val="auto"/>
        </w:rPr>
        <w:t>exclusive</w:t>
      </w:r>
      <w:r>
        <w:rPr>
          <w:rFonts w:ascii="Arial" w:cs="Arial" w:eastAsia="Arial" w:hAnsi="Arial"/>
          <w:sz w:val="22"/>
          <w:szCs w:val="22"/>
          <w:color w:val="auto"/>
        </w:rPr>
        <w:t xml:space="preserve"> home of a major global sport – the most popular sport available through a single distributor – with marquee events every month, across the US, Latin America, and Australia.</w:t>
      </w:r>
    </w:p>
    <w:p>
      <w:pPr>
        <w:spacing w:after="0" w:line="209" w:lineRule="exact"/>
        <w:rPr>
          <w:sz w:val="20"/>
          <w:szCs w:val="20"/>
          <w:color w:val="auto"/>
        </w:rPr>
      </w:pPr>
    </w:p>
    <w:p>
      <w:pPr>
        <w:ind w:right="320"/>
        <w:spacing w:after="0" w:line="272" w:lineRule="auto"/>
        <w:rPr>
          <w:sz w:val="20"/>
          <w:szCs w:val="20"/>
          <w:color w:val="auto"/>
        </w:rPr>
      </w:pPr>
      <w:r>
        <w:rPr>
          <w:rFonts w:ascii="Arial" w:cs="Arial" w:eastAsia="Arial" w:hAnsi="Arial"/>
          <w:sz w:val="22"/>
          <w:szCs w:val="22"/>
          <w:color w:val="auto"/>
        </w:rPr>
        <w:t>As we expand our leadership in live sports, we’re also reinforcing the foundation of our linear television business – where CBS continues to be a key driver of revenue growth and profitability.</w:t>
      </w:r>
    </w:p>
    <w:p>
      <w:pPr>
        <w:spacing w:after="0" w:line="194" w:lineRule="exact"/>
        <w:rPr>
          <w:sz w:val="20"/>
          <w:szCs w:val="20"/>
          <w:color w:val="auto"/>
        </w:rPr>
      </w:pPr>
    </w:p>
    <w:p>
      <w:pPr>
        <w:spacing w:after="0" w:line="249" w:lineRule="auto"/>
        <w:rPr>
          <w:sz w:val="20"/>
          <w:szCs w:val="20"/>
          <w:color w:val="auto"/>
        </w:rPr>
      </w:pPr>
      <w:r>
        <w:rPr>
          <w:rFonts w:ascii="Arial" w:cs="Arial" w:eastAsia="Arial" w:hAnsi="Arial"/>
          <w:sz w:val="22"/>
          <w:szCs w:val="22"/>
          <w:b w:val="1"/>
          <w:bCs w:val="1"/>
          <w:color w:val="auto"/>
        </w:rPr>
        <w:t>CBS is a flagship asset for Paramount, and we’re incredibly pleased with the continued strong performance of the entertainment, sports, and news businesses – both on CBS and Paramount+</w:t>
      </w:r>
      <w:r>
        <w:rPr>
          <w:rFonts w:ascii="Arial" w:cs="Arial" w:eastAsia="Arial" w:hAnsi="Arial"/>
          <w:sz w:val="22"/>
          <w:szCs w:val="22"/>
          <w:color w:val="auto"/>
        </w:rPr>
        <w:t>. While the overall linear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ecosystem faces persistent structural headwinds, CBS continues to perform well, powered by an amazing line-up that includes: </w:t>
      </w:r>
      <w:r>
        <w:rPr>
          <w:rFonts w:ascii="Arial" w:cs="Arial" w:eastAsia="Arial" w:hAnsi="Arial"/>
          <w:sz w:val="22"/>
          <w:szCs w:val="22"/>
          <w:i w:val="1"/>
          <w:iCs w:val="1"/>
          <w:color w:val="auto"/>
        </w:rPr>
        <w:t>Tracker</w:t>
      </w:r>
      <w:r>
        <w:rPr>
          <w:rFonts w:ascii="Arial" w:cs="Arial" w:eastAsia="Arial" w:hAnsi="Arial"/>
          <w:sz w:val="22"/>
          <w:szCs w:val="22"/>
          <w:color w:val="auto"/>
        </w:rPr>
        <w:t xml:space="preserve">, </w:t>
      </w:r>
      <w:r>
        <w:rPr>
          <w:rFonts w:ascii="Arial" w:cs="Arial" w:eastAsia="Arial" w:hAnsi="Arial"/>
          <w:sz w:val="22"/>
          <w:szCs w:val="22"/>
          <w:i w:val="1"/>
          <w:iCs w:val="1"/>
          <w:color w:val="auto"/>
        </w:rPr>
        <w:t>NCIS</w:t>
      </w:r>
      <w:r>
        <w:rPr>
          <w:rFonts w:ascii="Arial" w:cs="Arial" w:eastAsia="Arial" w:hAnsi="Arial"/>
          <w:sz w:val="22"/>
          <w:szCs w:val="22"/>
          <w:color w:val="auto"/>
        </w:rPr>
        <w:t xml:space="preserve">, </w:t>
      </w:r>
      <w:r>
        <w:rPr>
          <w:rFonts w:ascii="Arial" w:cs="Arial" w:eastAsia="Arial" w:hAnsi="Arial"/>
          <w:sz w:val="22"/>
          <w:szCs w:val="22"/>
          <w:i w:val="1"/>
          <w:iCs w:val="1"/>
          <w:color w:val="auto"/>
        </w:rPr>
        <w:t>Boston Blue</w:t>
      </w:r>
      <w:r>
        <w:rPr>
          <w:rFonts w:ascii="Arial" w:cs="Arial" w:eastAsia="Arial" w:hAnsi="Arial"/>
          <w:sz w:val="22"/>
          <w:szCs w:val="22"/>
          <w:color w:val="auto"/>
        </w:rPr>
        <w:t xml:space="preserve">, </w:t>
      </w:r>
      <w:r>
        <w:rPr>
          <w:rFonts w:ascii="Arial" w:cs="Arial" w:eastAsia="Arial" w:hAnsi="Arial"/>
          <w:sz w:val="22"/>
          <w:szCs w:val="22"/>
          <w:i w:val="1"/>
          <w:iCs w:val="1"/>
          <w:color w:val="auto"/>
        </w:rPr>
        <w:t>Matlock</w:t>
      </w:r>
      <w:r>
        <w:rPr>
          <w:rFonts w:ascii="Arial" w:cs="Arial" w:eastAsia="Arial" w:hAnsi="Arial"/>
          <w:sz w:val="22"/>
          <w:szCs w:val="22"/>
          <w:color w:val="auto"/>
        </w:rPr>
        <w:t xml:space="preserve">, </w:t>
      </w:r>
      <w:r>
        <w:rPr>
          <w:rFonts w:ascii="Arial" w:cs="Arial" w:eastAsia="Arial" w:hAnsi="Arial"/>
          <w:sz w:val="22"/>
          <w:szCs w:val="22"/>
          <w:i w:val="1"/>
          <w:iCs w:val="1"/>
          <w:color w:val="auto"/>
        </w:rPr>
        <w:t>60 Minutes</w:t>
      </w:r>
      <w:r>
        <w:rPr>
          <w:rFonts w:ascii="Arial" w:cs="Arial" w:eastAsia="Arial" w:hAnsi="Arial"/>
          <w:sz w:val="22"/>
          <w:szCs w:val="22"/>
          <w:color w:val="auto"/>
        </w:rPr>
        <w:t xml:space="preserve">, </w:t>
      </w:r>
      <w:r>
        <w:rPr>
          <w:rFonts w:ascii="Arial" w:cs="Arial" w:eastAsia="Arial" w:hAnsi="Arial"/>
          <w:sz w:val="22"/>
          <w:szCs w:val="22"/>
          <w:i w:val="1"/>
          <w:iCs w:val="1"/>
          <w:color w:val="auto"/>
        </w:rPr>
        <w:t>Survivor</w:t>
      </w:r>
      <w:r>
        <w:rPr>
          <w:rFonts w:ascii="Arial" w:cs="Arial" w:eastAsia="Arial" w:hAnsi="Arial"/>
          <w:sz w:val="22"/>
          <w:szCs w:val="22"/>
          <w:color w:val="auto"/>
        </w:rPr>
        <w:t xml:space="preserve">, and </w:t>
      </w:r>
      <w:r>
        <w:rPr>
          <w:rFonts w:ascii="Arial" w:cs="Arial" w:eastAsia="Arial" w:hAnsi="Arial"/>
          <w:sz w:val="22"/>
          <w:szCs w:val="22"/>
          <w:i w:val="1"/>
          <w:iCs w:val="1"/>
          <w:color w:val="auto"/>
        </w:rPr>
        <w:t>CBS Sunday Morning</w:t>
      </w:r>
      <w:r>
        <w:rPr>
          <w:rFonts w:ascii="Arial" w:cs="Arial" w:eastAsia="Arial" w:hAnsi="Arial"/>
          <w:sz w:val="22"/>
          <w:szCs w:val="22"/>
          <w:color w:val="auto"/>
        </w:rPr>
        <w:t xml:space="preserve"> , and CBS Sports’ best-in-class offerings, including the NFL, March Madness, UEFA Champions League, the PGA Tour, The Masters, The PGA Championship, the NWSL, and more.</w:t>
      </w:r>
    </w:p>
    <w:p>
      <w:pPr>
        <w:spacing w:after="0" w:line="216" w:lineRule="exact"/>
        <w:rPr>
          <w:sz w:val="20"/>
          <w:szCs w:val="20"/>
          <w:color w:val="auto"/>
        </w:rPr>
      </w:pPr>
    </w:p>
    <w:p>
      <w:pPr>
        <w:ind w:right="100"/>
        <w:spacing w:after="0" w:line="231" w:lineRule="auto"/>
        <w:rPr>
          <w:sz w:val="20"/>
          <w:szCs w:val="20"/>
          <w:color w:val="auto"/>
        </w:rPr>
      </w:pPr>
      <w:r>
        <w:rPr>
          <w:rFonts w:ascii="Arial" w:cs="Arial" w:eastAsia="Arial" w:hAnsi="Arial"/>
          <w:sz w:val="22"/>
          <w:szCs w:val="22"/>
          <w:color w:val="auto"/>
        </w:rPr>
        <w:t xml:space="preserve">Of note, the </w:t>
      </w:r>
      <w:r>
        <w:rPr>
          <w:rFonts w:ascii="Arial" w:cs="Arial" w:eastAsia="Arial" w:hAnsi="Arial"/>
          <w:sz w:val="22"/>
          <w:szCs w:val="22"/>
          <w:i w:val="1"/>
          <w:iCs w:val="1"/>
          <w:color w:val="auto"/>
        </w:rPr>
        <w:t>NFL on CBS</w:t>
      </w:r>
      <w:r>
        <w:rPr>
          <w:rFonts w:ascii="Arial" w:cs="Arial" w:eastAsia="Arial" w:hAnsi="Arial"/>
          <w:sz w:val="22"/>
          <w:szCs w:val="22"/>
          <w:color w:val="auto"/>
        </w:rPr>
        <w:t xml:space="preserve"> had its best October in a decade, averaging more than 19 million viewers </w:t>
      </w:r>
      <w:r>
        <w:rPr>
          <w:rFonts w:ascii="Arial" w:cs="Arial" w:eastAsia="Arial" w:hAnsi="Arial"/>
          <w:sz w:val="28"/>
          <w:szCs w:val="28"/>
          <w:color w:val="auto"/>
          <w:vertAlign w:val="superscript"/>
        </w:rPr>
        <w:t>2</w:t>
      </w:r>
      <w:r>
        <w:rPr>
          <w:rFonts w:ascii="Arial" w:cs="Arial" w:eastAsia="Arial" w:hAnsi="Arial"/>
          <w:sz w:val="22"/>
          <w:szCs w:val="22"/>
          <w:color w:val="auto"/>
        </w:rPr>
        <w:t>. And November is off to a strong start as well, including the highly anticipated November 2</w:t>
      </w:r>
      <w:r>
        <w:rPr>
          <w:rFonts w:ascii="Arial" w:cs="Arial" w:eastAsia="Arial" w:hAnsi="Arial"/>
          <w:sz w:val="28"/>
          <w:szCs w:val="28"/>
          <w:color w:val="auto"/>
          <w:vertAlign w:val="superscript"/>
        </w:rPr>
        <w:t>nd</w:t>
      </w:r>
      <w:r>
        <w:rPr>
          <w:rFonts w:ascii="Arial" w:cs="Arial" w:eastAsia="Arial" w:hAnsi="Arial"/>
          <w:sz w:val="22"/>
          <w:szCs w:val="22"/>
          <w:color w:val="auto"/>
        </w:rPr>
        <w:t xml:space="preserve"> match-up between the Kansas City Chiefs and the Buffalo Bills drawing 31 million viewers and earning Paramount+ its most-streamed game of the 2025 season and the 3</w:t>
      </w:r>
      <w:r>
        <w:rPr>
          <w:rFonts w:ascii="Arial" w:cs="Arial" w:eastAsia="Arial" w:hAnsi="Arial"/>
          <w:sz w:val="11"/>
          <w:szCs w:val="11"/>
          <w:color w:val="auto"/>
        </w:rPr>
        <w:t>rd</w:t>
      </w:r>
      <w:r>
        <w:rPr>
          <w:rFonts w:ascii="Arial" w:cs="Arial" w:eastAsia="Arial" w:hAnsi="Arial"/>
          <w:sz w:val="22"/>
          <w:szCs w:val="22"/>
          <w:color w:val="auto"/>
        </w:rPr>
        <w:t xml:space="preserve"> most-streamed regular season game in the platform’s history. Season to date, the </w:t>
      </w:r>
      <w:r>
        <w:rPr>
          <w:rFonts w:ascii="Arial" w:cs="Arial" w:eastAsia="Arial" w:hAnsi="Arial"/>
          <w:sz w:val="22"/>
          <w:szCs w:val="22"/>
          <w:i w:val="1"/>
          <w:iCs w:val="1"/>
          <w:color w:val="auto"/>
        </w:rPr>
        <w:t>NFL on CBS</w:t>
      </w:r>
      <w:r>
        <w:rPr>
          <w:rFonts w:ascii="Arial" w:cs="Arial" w:eastAsia="Arial" w:hAnsi="Arial"/>
          <w:sz w:val="22"/>
          <w:szCs w:val="22"/>
          <w:color w:val="auto"/>
        </w:rPr>
        <w:t xml:space="preserve"> has had its best viewership since the NFL returned to CBS in 1998 – and we expect strong numbers going forward with CBS Sports set to broadcast the Thanksgiving Day late afternoon matchup – traditionally the most-watched regular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22631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210" w:lineRule="exact"/>
        <w:rPr>
          <w:sz w:val="20"/>
          <w:szCs w:val="20"/>
          <w:color w:val="auto"/>
        </w:rPr>
      </w:pPr>
    </w:p>
    <w:p>
      <w:pPr>
        <w:ind w:left="120" w:hanging="112"/>
        <w:spacing w:after="0"/>
        <w:tabs>
          <w:tab w:leader="none" w:pos="120" w:val="left"/>
        </w:tabs>
        <w:numPr>
          <w:ilvl w:val="0"/>
          <w:numId w:val="5"/>
        </w:numPr>
        <w:rPr>
          <w:rFonts w:ascii="Times New Roman" w:cs="Times New Roman" w:eastAsia="Times New Roman" w:hAnsi="Times New Roman"/>
          <w:sz w:val="23"/>
          <w:szCs w:val="23"/>
          <w:color w:val="auto"/>
          <w:vertAlign w:val="superscript"/>
        </w:rPr>
      </w:pPr>
      <w:r>
        <w:rPr>
          <w:rFonts w:ascii="Arial" w:cs="Arial" w:eastAsia="Arial" w:hAnsi="Arial"/>
          <w:sz w:val="18"/>
          <w:szCs w:val="18"/>
          <w:color w:val="auto"/>
        </w:rPr>
        <w:t>CBS viewership statistics per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1011555" cy="308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11555" cy="308610"/>
                    </a:xfrm>
                    <a:prstGeom prst="rect">
                      <a:avLst/>
                    </a:prstGeom>
                    <a:noFill/>
                  </pic:spPr>
                </pic:pic>
              </a:graphicData>
            </a:graphic>
          </wp:anchor>
        </w:drawing>
      </w:r>
    </w:p>
    <w:p>
      <w:pPr>
        <w:sectPr>
          <w:pgSz w:w="11900" w:h="16838" w:orient="portrait"/>
          <w:cols w:equalWidth="0" w:num="1">
            <w:col w:w="11220"/>
          </w:cols>
          <w:pgMar w:left="320" w:top="109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78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20"/>
          </w:cols>
          <w:pgMar w:left="320" w:top="1099" w:right="359" w:bottom="1440" w:gutter="0" w:footer="0" w:header="0"/>
          <w:type w:val="continuous"/>
        </w:sectPr>
      </w:pPr>
    </w:p>
    <w:bookmarkStart w:id="6" w:name="page7"/>
    <w:bookmarkEnd w:id="6"/>
    <w:p>
      <w:pPr>
        <w:ind w:right="40"/>
        <w:spacing w:after="0" w:line="296" w:lineRule="auto"/>
        <w:rPr>
          <w:sz w:val="20"/>
          <w:szCs w:val="20"/>
          <w:color w:val="auto"/>
        </w:rPr>
      </w:pPr>
      <w:r>
        <w:rPr>
          <w:rFonts w:ascii="Arial" w:cs="Arial" w:eastAsia="Arial" w:hAnsi="Arial"/>
          <w:sz w:val="21"/>
          <w:szCs w:val="21"/>
          <w:color w:val="auto"/>
        </w:rPr>
        <w:t>season game of the year – featuring two of the NFL’s biggest teams, the Chiefs and the Cowboys. To round out the season, we’ll have a full slate of NFL playoffs highlighted by the AFC Championship Game on CBS and Paramount+.</w:t>
      </w:r>
    </w:p>
    <w:p>
      <w:pPr>
        <w:spacing w:after="0" w:line="160" w:lineRule="exact"/>
        <w:rPr>
          <w:sz w:val="20"/>
          <w:szCs w:val="20"/>
          <w:color w:val="auto"/>
        </w:rPr>
      </w:pPr>
    </w:p>
    <w:p>
      <w:pPr>
        <w:ind w:right="40"/>
        <w:spacing w:after="0" w:line="251" w:lineRule="auto"/>
        <w:rPr>
          <w:sz w:val="20"/>
          <w:szCs w:val="20"/>
          <w:color w:val="auto"/>
        </w:rPr>
      </w:pPr>
      <w:r>
        <w:rPr>
          <w:rFonts w:ascii="Arial" w:cs="Arial" w:eastAsia="Arial" w:hAnsi="Arial"/>
          <w:sz w:val="22"/>
          <w:szCs w:val="22"/>
          <w:color w:val="auto"/>
        </w:rPr>
        <w:t>On the news side, we are proud to steward one of the world’s most iconic and trusted news organizations, CBS News. Our mission is clear: to uphold this global platform as a place where people can engage with facts, gain understanding, and seek open exchange. To further this vision, we acquired The Free Press, a leading digital news organization co-founded by Bari Weiss, who now serves as editor-in-chief of CBS News. We are confident that, in the years ahead, CBS News and The Free Press will reach even broader audiences and set the standard for trusted, principled journalism, while redefining how CBS News connects and engages with audiences.</w:t>
      </w:r>
    </w:p>
    <w:p>
      <w:pPr>
        <w:spacing w:after="0" w:line="220" w:lineRule="exact"/>
        <w:rPr>
          <w:sz w:val="20"/>
          <w:szCs w:val="20"/>
          <w:color w:val="auto"/>
        </w:rPr>
      </w:pPr>
    </w:p>
    <w:p>
      <w:pPr>
        <w:spacing w:after="0" w:line="250" w:lineRule="auto"/>
        <w:rPr>
          <w:sz w:val="20"/>
          <w:szCs w:val="20"/>
          <w:color w:val="auto"/>
        </w:rPr>
      </w:pPr>
      <w:r>
        <w:rPr>
          <w:rFonts w:ascii="Arial" w:cs="Arial" w:eastAsia="Arial" w:hAnsi="Arial"/>
          <w:sz w:val="22"/>
          <w:szCs w:val="22"/>
          <w:b w:val="1"/>
          <w:bCs w:val="1"/>
          <w:color w:val="auto"/>
        </w:rPr>
        <w:t>Finally, as we’ve emphasized since day one, empowering our creative partners through technology remains a central focus</w:t>
      </w:r>
      <w:r>
        <w:rPr>
          <w:rFonts w:ascii="Arial" w:cs="Arial" w:eastAsia="Arial" w:hAnsi="Arial"/>
          <w:sz w:val="22"/>
          <w:szCs w:val="22"/>
          <w:color w:val="auto"/>
        </w:rPr>
        <w:t>. This commitment is embodied in some of the recent hires we’ve made – executives from leading</w:t>
      </w:r>
      <w:r>
        <w:rPr>
          <w:rFonts w:ascii="Arial" w:cs="Arial" w:eastAsia="Arial" w:hAnsi="Arial"/>
          <w:sz w:val="22"/>
          <w:szCs w:val="22"/>
          <w:b w:val="1"/>
          <w:bCs w:val="1"/>
          <w:color w:val="auto"/>
        </w:rPr>
        <w:t xml:space="preserve"> </w:t>
      </w:r>
      <w:r>
        <w:rPr>
          <w:rFonts w:ascii="Arial" w:cs="Arial" w:eastAsia="Arial" w:hAnsi="Arial"/>
          <w:sz w:val="22"/>
          <w:szCs w:val="22"/>
          <w:color w:val="auto"/>
        </w:rPr>
        <w:t>technology companies with proven track records scaling businesses and driving transformation. As we form our roadmap for priority areas across production, we see an incredible opportunity in front of us to integrate innovation thoughtfully and responsibly across the business. As we do this, we will always put creators first as we look to enable our partners with the best tools and technology. For us, technology will always serve art – never the other way around.</w:t>
      </w:r>
    </w:p>
    <w:p>
      <w:pPr>
        <w:spacing w:after="0" w:line="209" w:lineRule="exact"/>
        <w:rPr>
          <w:sz w:val="20"/>
          <w:szCs w:val="20"/>
          <w:color w:val="auto"/>
        </w:rPr>
      </w:pPr>
    </w:p>
    <w:p>
      <w:pPr>
        <w:ind w:right="300"/>
        <w:spacing w:after="0" w:line="253" w:lineRule="auto"/>
        <w:rPr>
          <w:sz w:val="20"/>
          <w:szCs w:val="20"/>
          <w:color w:val="auto"/>
        </w:rPr>
      </w:pPr>
      <w:r>
        <w:rPr>
          <w:rFonts w:ascii="Arial" w:cs="Arial" w:eastAsia="Arial" w:hAnsi="Arial"/>
          <w:sz w:val="22"/>
          <w:szCs w:val="22"/>
          <w:color w:val="auto"/>
        </w:rPr>
        <w:t>Through these initiatives and investments, our goal is clear: to empower our creative teams to deliver more high-quality films, television, sports, news, and games to growing audiences worldwide – in ways that are more aligned, efficient, and performance-driven – while continuing to invest strategically in areas where we see meaningful opportunities for growth.</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F4761"/>
        </w:rPr>
        <w:t>Scaling Our Streaming Services</w:t>
      </w:r>
    </w:p>
    <w:p>
      <w:pPr>
        <w:spacing w:after="0" w:line="137" w:lineRule="exact"/>
        <w:rPr>
          <w:sz w:val="20"/>
          <w:szCs w:val="20"/>
          <w:color w:val="auto"/>
        </w:rPr>
      </w:pPr>
    </w:p>
    <w:p>
      <w:pPr>
        <w:spacing w:after="0" w:line="251" w:lineRule="auto"/>
        <w:rPr>
          <w:sz w:val="20"/>
          <w:szCs w:val="20"/>
          <w:color w:val="auto"/>
        </w:rPr>
      </w:pPr>
      <w:r>
        <w:rPr>
          <w:rFonts w:ascii="Arial" w:cs="Arial" w:eastAsia="Arial" w:hAnsi="Arial"/>
          <w:sz w:val="22"/>
          <w:szCs w:val="22"/>
          <w:b w:val="1"/>
          <w:bCs w:val="1"/>
          <w:color w:val="auto"/>
        </w:rPr>
        <w:t>Among these opportunities, our direct-to-consumer business is our top priority</w:t>
      </w:r>
      <w:r>
        <w:rPr>
          <w:rFonts w:ascii="Arial" w:cs="Arial" w:eastAsia="Arial" w:hAnsi="Arial"/>
          <w:sz w:val="22"/>
          <w:szCs w:val="22"/>
          <w:color w:val="auto"/>
        </w:rPr>
        <w:t>, with exceptional storytelling</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continuing to be the single greatest driver of subscriber growth and loyalty. In line with this focus, we are increasing our investment in quality, exclusive programming across our streaming platforms. This includes new seasons of some of our most popular series, including season 3 of </w:t>
      </w:r>
      <w:r>
        <w:rPr>
          <w:rFonts w:ascii="Arial" w:cs="Arial" w:eastAsia="Arial" w:hAnsi="Arial"/>
          <w:sz w:val="22"/>
          <w:szCs w:val="22"/>
          <w:i w:val="1"/>
          <w:iCs w:val="1"/>
          <w:color w:val="auto"/>
        </w:rPr>
        <w:t>Tulsa King</w:t>
      </w:r>
      <w:r>
        <w:rPr>
          <w:rFonts w:ascii="Arial" w:cs="Arial" w:eastAsia="Arial" w:hAnsi="Arial"/>
          <w:sz w:val="22"/>
          <w:szCs w:val="22"/>
          <w:color w:val="auto"/>
        </w:rPr>
        <w:t xml:space="preserve">, which is the most-watched title on Paramount+ worldwide so far in Q4. </w:t>
      </w:r>
      <w:r>
        <w:rPr>
          <w:rFonts w:ascii="Arial" w:cs="Arial" w:eastAsia="Arial" w:hAnsi="Arial"/>
          <w:sz w:val="22"/>
          <w:szCs w:val="22"/>
          <w:i w:val="1"/>
          <w:iCs w:val="1"/>
          <w:color w:val="auto"/>
        </w:rPr>
        <w:t>Mayor of Kingstown</w:t>
      </w:r>
      <w:r>
        <w:rPr>
          <w:rFonts w:ascii="Arial" w:cs="Arial" w:eastAsia="Arial" w:hAnsi="Arial"/>
          <w:sz w:val="22"/>
          <w:szCs w:val="22"/>
          <w:color w:val="auto"/>
        </w:rPr>
        <w:t xml:space="preserve"> launched its fourth season in late October, and the highly anticipated second season of </w:t>
      </w:r>
      <w:r>
        <w:rPr>
          <w:rFonts w:ascii="Arial" w:cs="Arial" w:eastAsia="Arial" w:hAnsi="Arial"/>
          <w:sz w:val="22"/>
          <w:szCs w:val="22"/>
          <w:i w:val="1"/>
          <w:iCs w:val="1"/>
          <w:color w:val="auto"/>
        </w:rPr>
        <w:t>Landman</w:t>
      </w:r>
      <w:r>
        <w:rPr>
          <w:rFonts w:ascii="Arial" w:cs="Arial" w:eastAsia="Arial" w:hAnsi="Arial"/>
          <w:sz w:val="22"/>
          <w:szCs w:val="22"/>
          <w:color w:val="auto"/>
        </w:rPr>
        <w:t xml:space="preserve"> will premiere globally on Sunday, November 16. We also recently announced renewals of hit series </w:t>
      </w:r>
      <w:r>
        <w:rPr>
          <w:rFonts w:ascii="Arial" w:cs="Arial" w:eastAsia="Arial" w:hAnsi="Arial"/>
          <w:sz w:val="22"/>
          <w:szCs w:val="22"/>
          <w:i w:val="1"/>
          <w:iCs w:val="1"/>
          <w:color w:val="auto"/>
        </w:rPr>
        <w:t>Dexter: Resurrection</w:t>
      </w:r>
      <w:r>
        <w:rPr>
          <w:rFonts w:ascii="Arial" w:cs="Arial" w:eastAsia="Arial" w:hAnsi="Arial"/>
          <w:sz w:val="22"/>
          <w:szCs w:val="22"/>
          <w:color w:val="auto"/>
        </w:rPr>
        <w:t xml:space="preserve"> as well as the highly anticipated final seasons of fan favorites </w:t>
      </w:r>
      <w:r>
        <w:rPr>
          <w:rFonts w:ascii="Arial" w:cs="Arial" w:eastAsia="Arial" w:hAnsi="Arial"/>
          <w:sz w:val="22"/>
          <w:szCs w:val="22"/>
          <w:i w:val="1"/>
          <w:iCs w:val="1"/>
          <w:color w:val="auto"/>
        </w:rPr>
        <w:t>Yellowjackets</w:t>
      </w:r>
      <w:r>
        <w:rPr>
          <w:rFonts w:ascii="Arial" w:cs="Arial" w:eastAsia="Arial" w:hAnsi="Arial"/>
          <w:sz w:val="22"/>
          <w:szCs w:val="22"/>
          <w:color w:val="auto"/>
        </w:rPr>
        <w:t xml:space="preserve"> and </w:t>
      </w:r>
      <w:r>
        <w:rPr>
          <w:rFonts w:ascii="Arial" w:cs="Arial" w:eastAsia="Arial" w:hAnsi="Arial"/>
          <w:sz w:val="22"/>
          <w:szCs w:val="22"/>
          <w:i w:val="1"/>
          <w:iCs w:val="1"/>
          <w:color w:val="auto"/>
        </w:rPr>
        <w:t>The</w:t>
      </w:r>
      <w:r>
        <w:rPr>
          <w:rFonts w:ascii="Arial" w:cs="Arial" w:eastAsia="Arial" w:hAnsi="Arial"/>
          <w:sz w:val="22"/>
          <w:szCs w:val="22"/>
          <w:color w:val="auto"/>
        </w:rPr>
        <w:t xml:space="preserve"> </w:t>
      </w:r>
      <w:r>
        <w:rPr>
          <w:rFonts w:ascii="Arial" w:cs="Arial" w:eastAsia="Arial" w:hAnsi="Arial"/>
          <w:sz w:val="22"/>
          <w:szCs w:val="22"/>
          <w:i w:val="1"/>
          <w:iCs w:val="1"/>
          <w:color w:val="auto"/>
        </w:rPr>
        <w:t>Chai</w:t>
      </w:r>
      <w:r>
        <w:rPr>
          <w:rFonts w:ascii="Arial" w:cs="Arial" w:eastAsia="Arial" w:hAnsi="Arial"/>
          <w:sz w:val="22"/>
          <w:szCs w:val="22"/>
          <w:color w:val="auto"/>
        </w:rPr>
        <w:t>.</w:t>
      </w:r>
    </w:p>
    <w:p>
      <w:pPr>
        <w:spacing w:after="0" w:line="206" w:lineRule="exact"/>
        <w:rPr>
          <w:sz w:val="20"/>
          <w:szCs w:val="20"/>
          <w:color w:val="auto"/>
        </w:rPr>
      </w:pPr>
    </w:p>
    <w:p>
      <w:pPr>
        <w:ind w:right="100"/>
        <w:spacing w:after="0" w:line="269" w:lineRule="auto"/>
        <w:rPr>
          <w:sz w:val="20"/>
          <w:szCs w:val="20"/>
          <w:color w:val="auto"/>
        </w:rPr>
      </w:pPr>
      <w:r>
        <w:rPr>
          <w:rFonts w:ascii="Arial" w:cs="Arial" w:eastAsia="Arial" w:hAnsi="Arial"/>
          <w:sz w:val="21"/>
          <w:szCs w:val="21"/>
          <w:b w:val="1"/>
          <w:bCs w:val="1"/>
          <w:color w:val="auto"/>
        </w:rPr>
        <w:t>We also recognize that live sports are a powerful engine for regular engagement – addressing new audiences, increasing retention, and supporting monetization over time</w:t>
      </w:r>
      <w:r>
        <w:rPr>
          <w:rFonts w:ascii="Arial" w:cs="Arial" w:eastAsia="Arial" w:hAnsi="Arial"/>
          <w:sz w:val="21"/>
          <w:szCs w:val="21"/>
          <w:color w:val="auto"/>
        </w:rPr>
        <w:t xml:space="preserve">. It is this belief that underpins our long-term media rights agreements with the UFC – one of the fastest growing sports with over 100 million domestic fans, Zuffa Boxing, and the Professional Bull Riders’ premier tour, </w:t>
      </w:r>
      <w:r>
        <w:rPr>
          <w:rFonts w:ascii="Arial" w:cs="Arial" w:eastAsia="Arial" w:hAnsi="Arial"/>
          <w:sz w:val="21"/>
          <w:szCs w:val="21"/>
          <w:i w:val="1"/>
          <w:iCs w:val="1"/>
          <w:color w:val="auto"/>
        </w:rPr>
        <w:t>Unleash the Beast</w:t>
      </w:r>
      <w:r>
        <w:rPr>
          <w:rFonts w:ascii="Arial" w:cs="Arial" w:eastAsia="Arial" w:hAnsi="Arial"/>
          <w:sz w:val="21"/>
          <w:szCs w:val="21"/>
          <w:color w:val="auto"/>
        </w:rPr>
        <w:t>, starting in the 2026 season.</w:t>
      </w:r>
    </w:p>
    <w:p>
      <w:pPr>
        <w:spacing w:after="0" w:line="202"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We’re especially excited about our plans for the UFC, whose schedule of monthly marquee events will enable us to deliver a year-round lineup of live sports, driving stronger subscriber engagement and retention following CBS Sports’ major events. Additionally, by removing the secondary pay-per-view paywall – historically a key barrier for UFC fans – we’re making these premium events available to every Paramount+ subscriber at no additional cost. We’re excited to deliver this exceptional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1011555"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1155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1099" w:right="359" w:bottom="1440" w:gutter="0" w:footer="0" w:header="0"/>
        </w:sectPr>
      </w:pPr>
    </w:p>
    <w:bookmarkStart w:id="7" w:name="page8"/>
    <w:bookmarkEnd w:id="7"/>
    <w:p>
      <w:pPr>
        <w:ind w:right="220"/>
        <w:spacing w:after="0" w:line="257" w:lineRule="auto"/>
        <w:rPr>
          <w:sz w:val="20"/>
          <w:szCs w:val="20"/>
          <w:color w:val="auto"/>
        </w:rPr>
      </w:pPr>
      <w:r>
        <w:rPr>
          <w:rFonts w:ascii="Arial" w:cs="Arial" w:eastAsia="Arial" w:hAnsi="Arial"/>
          <w:sz w:val="22"/>
          <w:szCs w:val="22"/>
          <w:color w:val="auto"/>
        </w:rPr>
        <w:t>with the cost of an annual subscription to Paramount+ being less than just one UFC pay-per-view event under prior distribution. We’re confident that greater accessibility will lead to significant incremental subscriber growth and greater engagement across our platform, creating long-term value for both us and the UFC.</w:t>
      </w:r>
    </w:p>
    <w:p>
      <w:pPr>
        <w:spacing w:after="0" w:line="211" w:lineRule="exact"/>
        <w:rPr>
          <w:sz w:val="20"/>
          <w:szCs w:val="20"/>
          <w:color w:val="auto"/>
        </w:rPr>
      </w:pPr>
    </w:p>
    <w:p>
      <w:pPr>
        <w:ind w:right="20"/>
        <w:spacing w:after="0" w:line="264" w:lineRule="auto"/>
        <w:rPr>
          <w:sz w:val="20"/>
          <w:szCs w:val="20"/>
          <w:color w:val="auto"/>
        </w:rPr>
      </w:pPr>
      <w:r>
        <w:rPr>
          <w:rFonts w:ascii="Arial" w:cs="Arial" w:eastAsia="Arial" w:hAnsi="Arial"/>
          <w:sz w:val="22"/>
          <w:szCs w:val="22"/>
          <w:b w:val="1"/>
          <w:bCs w:val="1"/>
          <w:color w:val="auto"/>
        </w:rPr>
        <w:t>Of course, live sports are just one part of how we engage audiences. To keep Paramount+ fresh and compelling, our studios will continue to drive original content, while we expand third-party licensing for both Originals and catalog, refreshing our library more regularly</w:t>
      </w:r>
      <w:r>
        <w:rPr>
          <w:rFonts w:ascii="Arial" w:cs="Arial" w:eastAsia="Arial" w:hAnsi="Arial"/>
          <w:sz w:val="22"/>
          <w:szCs w:val="22"/>
          <w:color w:val="auto"/>
        </w:rPr>
        <w:t>.</w:t>
      </w:r>
    </w:p>
    <w:p>
      <w:pPr>
        <w:spacing w:after="0" w:line="180" w:lineRule="exact"/>
        <w:rPr>
          <w:sz w:val="20"/>
          <w:szCs w:val="20"/>
          <w:color w:val="auto"/>
        </w:rPr>
      </w:pPr>
    </w:p>
    <w:p>
      <w:pPr>
        <w:ind w:right="20"/>
        <w:spacing w:after="0" w:line="257" w:lineRule="auto"/>
        <w:rPr>
          <w:sz w:val="20"/>
          <w:szCs w:val="20"/>
          <w:color w:val="auto"/>
        </w:rPr>
      </w:pPr>
      <w:r>
        <w:rPr>
          <w:rFonts w:ascii="Arial" w:cs="Arial" w:eastAsia="Arial" w:hAnsi="Arial"/>
          <w:sz w:val="22"/>
          <w:szCs w:val="22"/>
          <w:color w:val="auto"/>
        </w:rPr>
        <w:t>This approach is designed to deepen viewer engagement and strengthen retention. At the same time, we are investing in a more balanced, year-round programming strategy for our streaming slate. This includes establishing an Originals launch calendar with tentpole releases spread across the year, moving away from the historical concentration around the sports season and year-end surge, which has previously led to uneven engagement.</w:t>
      </w:r>
    </w:p>
    <w:p>
      <w:pPr>
        <w:spacing w:after="0" w:line="197" w:lineRule="exact"/>
        <w:rPr>
          <w:sz w:val="20"/>
          <w:szCs w:val="20"/>
          <w:color w:val="auto"/>
        </w:rPr>
      </w:pPr>
    </w:p>
    <w:p>
      <w:pPr>
        <w:ind w:right="140"/>
        <w:spacing w:after="0" w:line="254" w:lineRule="auto"/>
        <w:rPr>
          <w:sz w:val="20"/>
          <w:szCs w:val="20"/>
          <w:color w:val="auto"/>
        </w:rPr>
      </w:pPr>
      <w:r>
        <w:rPr>
          <w:rFonts w:ascii="Arial" w:cs="Arial" w:eastAsia="Arial" w:hAnsi="Arial"/>
          <w:sz w:val="22"/>
          <w:szCs w:val="22"/>
          <w:color w:val="auto"/>
        </w:rPr>
        <w:t xml:space="preserve">Our ongoing investments in Paramount+ are enhancing the value we deliver to consumers. </w:t>
      </w:r>
      <w:r>
        <w:rPr>
          <w:rFonts w:ascii="Arial" w:cs="Arial" w:eastAsia="Arial" w:hAnsi="Arial"/>
          <w:sz w:val="22"/>
          <w:szCs w:val="22"/>
          <w:b w:val="1"/>
          <w:bCs w:val="1"/>
          <w:color w:val="auto"/>
        </w:rPr>
        <w:t>To support this</w:t>
      </w:r>
      <w:r>
        <w:rPr>
          <w:rFonts w:ascii="Arial" w:cs="Arial" w:eastAsia="Arial" w:hAnsi="Arial"/>
          <w:sz w:val="22"/>
          <w:szCs w:val="22"/>
          <w:color w:val="auto"/>
        </w:rPr>
        <w:t xml:space="preserve"> </w:t>
      </w:r>
      <w:r>
        <w:rPr>
          <w:rFonts w:ascii="Arial" w:cs="Arial" w:eastAsia="Arial" w:hAnsi="Arial"/>
          <w:sz w:val="22"/>
          <w:szCs w:val="22"/>
          <w:b w:val="1"/>
          <w:bCs w:val="1"/>
          <w:color w:val="auto"/>
        </w:rPr>
        <w:t>continued investment, we plan to implement price increases in the US early in the first quarter of 2026, and we recently announced upcoming price adjustments in Canada and Australia</w:t>
      </w:r>
      <w:r>
        <w:rPr>
          <w:rFonts w:ascii="Arial" w:cs="Arial" w:eastAsia="Arial" w:hAnsi="Arial"/>
          <w:sz w:val="22"/>
          <w:szCs w:val="22"/>
          <w:color w:val="auto"/>
        </w:rPr>
        <w:t>. These changes will fuel</w:t>
      </w:r>
      <w:r>
        <w:rPr>
          <w:rFonts w:ascii="Arial" w:cs="Arial" w:eastAsia="Arial" w:hAnsi="Arial"/>
          <w:sz w:val="22"/>
          <w:szCs w:val="22"/>
          <w:b w:val="1"/>
          <w:bCs w:val="1"/>
          <w:color w:val="auto"/>
        </w:rPr>
        <w:t xml:space="preserve"> </w:t>
      </w:r>
      <w:r>
        <w:rPr>
          <w:rFonts w:ascii="Arial" w:cs="Arial" w:eastAsia="Arial" w:hAnsi="Arial"/>
          <w:sz w:val="22"/>
          <w:szCs w:val="22"/>
          <w:color w:val="auto"/>
        </w:rPr>
        <w:t>continued reinvestment in the user experience and deliver an even stronger slate of programming for our customers in the year ahead and beyond.</w:t>
      </w:r>
    </w:p>
    <w:p>
      <w:pPr>
        <w:spacing w:after="0" w:line="200"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b w:val="1"/>
          <w:bCs w:val="1"/>
          <w:color w:val="auto"/>
        </w:rPr>
        <w:t>In addition to delivering a bigger, better slate to Paramount+, we’re sharpening our focus on optimizing our distribution strategy for long-term revenue and profitability</w:t>
      </w:r>
      <w:r>
        <w:rPr>
          <w:rFonts w:ascii="Arial" w:cs="Arial" w:eastAsia="Arial" w:hAnsi="Arial"/>
          <w:sz w:val="22"/>
          <w:szCs w:val="22"/>
          <w:color w:val="auto"/>
        </w:rPr>
        <w:t>. While we remain committed to achieving scale from</w:t>
      </w:r>
      <w:r>
        <w:rPr>
          <w:rFonts w:ascii="Arial" w:cs="Arial" w:eastAsia="Arial" w:hAnsi="Arial"/>
          <w:sz w:val="22"/>
          <w:szCs w:val="22"/>
          <w:b w:val="1"/>
          <w:bCs w:val="1"/>
          <w:color w:val="auto"/>
        </w:rPr>
        <w:t xml:space="preserve"> </w:t>
      </w:r>
      <w:r>
        <w:rPr>
          <w:rFonts w:ascii="Arial" w:cs="Arial" w:eastAsia="Arial" w:hAnsi="Arial"/>
          <w:sz w:val="22"/>
          <w:szCs w:val="22"/>
          <w:color w:val="auto"/>
        </w:rPr>
        <w:t>a subscriber perspective, we will prioritize quality growth that delivers strong returns. This includes shifting away from certain hard bundles and low-margin subscriptions, reducing investment in select international markets without a clear path to sufficient scale, retiring free trials, and reviewing discount practices. Our goal is to build a large, loyal, and profitable subscriber base, ensuring we optimize growth, long-term business value, and support future investments through sound economic decisions.</w:t>
      </w:r>
    </w:p>
    <w:p>
      <w:pPr>
        <w:spacing w:after="0" w:line="207" w:lineRule="exact"/>
        <w:rPr>
          <w:sz w:val="20"/>
          <w:szCs w:val="20"/>
          <w:color w:val="auto"/>
        </w:rPr>
      </w:pPr>
    </w:p>
    <w:p>
      <w:pPr>
        <w:spacing w:after="0" w:line="254" w:lineRule="auto"/>
        <w:rPr>
          <w:sz w:val="20"/>
          <w:szCs w:val="20"/>
          <w:color w:val="auto"/>
        </w:rPr>
      </w:pPr>
      <w:r>
        <w:rPr>
          <w:rFonts w:ascii="Arial" w:cs="Arial" w:eastAsia="Arial" w:hAnsi="Arial"/>
          <w:sz w:val="22"/>
          <w:szCs w:val="22"/>
          <w:b w:val="1"/>
          <w:bCs w:val="1"/>
          <w:color w:val="auto"/>
        </w:rPr>
        <w:t>Under our new leadership, we’ve also reorganized Paramount’s streaming operations to bring greater alignment between our global and regional teams</w:t>
      </w:r>
      <w:r>
        <w:rPr>
          <w:rFonts w:ascii="Arial" w:cs="Arial" w:eastAsia="Arial" w:hAnsi="Arial"/>
          <w:sz w:val="22"/>
          <w:szCs w:val="22"/>
          <w:color w:val="auto"/>
        </w:rPr>
        <w:t>. This structure enables faster decision-making, more agile</w:t>
      </w:r>
      <w:r>
        <w:rPr>
          <w:rFonts w:ascii="Arial" w:cs="Arial" w:eastAsia="Arial" w:hAnsi="Arial"/>
          <w:sz w:val="22"/>
          <w:szCs w:val="22"/>
          <w:b w:val="1"/>
          <w:bCs w:val="1"/>
          <w:color w:val="auto"/>
        </w:rPr>
        <w:t xml:space="preserve"> </w:t>
      </w:r>
      <w:r>
        <w:rPr>
          <w:rFonts w:ascii="Arial" w:cs="Arial" w:eastAsia="Arial" w:hAnsi="Arial"/>
          <w:sz w:val="22"/>
          <w:szCs w:val="22"/>
          <w:color w:val="auto"/>
        </w:rPr>
        <w:t>execution, and a cohesive content and distribution strategy across all markets. We’re also ramping our investment in local content in key regions – including Latin America, Canada, and parts of EMEA – where we see significant growth potential.</w:t>
      </w:r>
    </w:p>
    <w:p>
      <w:pPr>
        <w:spacing w:after="0" w:line="200" w:lineRule="exact"/>
        <w:rPr>
          <w:sz w:val="20"/>
          <w:szCs w:val="20"/>
          <w:color w:val="auto"/>
        </w:rPr>
      </w:pPr>
    </w:p>
    <w:p>
      <w:pPr>
        <w:ind w:right="140"/>
        <w:spacing w:after="0" w:line="254" w:lineRule="auto"/>
        <w:rPr>
          <w:sz w:val="20"/>
          <w:szCs w:val="20"/>
          <w:color w:val="auto"/>
        </w:rPr>
      </w:pPr>
      <w:r>
        <w:rPr>
          <w:rFonts w:ascii="Arial" w:cs="Arial" w:eastAsia="Arial" w:hAnsi="Arial"/>
          <w:sz w:val="22"/>
          <w:szCs w:val="22"/>
          <w:b w:val="1"/>
          <w:bCs w:val="1"/>
          <w:color w:val="auto"/>
        </w:rPr>
        <w:t>Finally, we are making critical upgrades to the backend of our streaming platforms</w:t>
      </w:r>
      <w:r>
        <w:rPr>
          <w:rFonts w:ascii="Arial" w:cs="Arial" w:eastAsia="Arial" w:hAnsi="Arial"/>
          <w:sz w:val="22"/>
          <w:szCs w:val="22"/>
          <w:color w:val="auto"/>
        </w:rPr>
        <w:t>, beginning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implementation of a unified technology stack for both Paramount+ and Pluto TV which will significantly enhance performance, elevate the consumer experience, and drive meaningful cost efficiencies. At the same time, we are exploring how to best build and deploy AI across personalization and recommendations, enabling smarter and more satisfying experiences for audiences while fueling continued innovation across the business.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F4761"/>
        </w:rPr>
        <w:t>Driving Efficiency and Optimizing Investment Enterprise-wide</w:t>
      </w:r>
    </w:p>
    <w:p>
      <w:pPr>
        <w:spacing w:after="0" w:line="150" w:lineRule="exact"/>
        <w:rPr>
          <w:sz w:val="20"/>
          <w:szCs w:val="20"/>
          <w:color w:val="auto"/>
        </w:rPr>
      </w:pPr>
    </w:p>
    <w:p>
      <w:pPr>
        <w:ind w:right="80"/>
        <w:spacing w:after="0" w:line="274" w:lineRule="auto"/>
        <w:rPr>
          <w:sz w:val="20"/>
          <w:szCs w:val="20"/>
          <w:color w:val="auto"/>
        </w:rPr>
      </w:pPr>
      <w:r>
        <w:rPr>
          <w:rFonts w:ascii="Arial" w:cs="Arial" w:eastAsia="Arial" w:hAnsi="Arial"/>
          <w:sz w:val="22"/>
          <w:szCs w:val="22"/>
          <w:b w:val="1"/>
          <w:bCs w:val="1"/>
          <w:color w:val="auto"/>
        </w:rPr>
        <w:t>Our third North Star priority is to enhance efficiency and optimize investment across the enterprise</w:t>
      </w:r>
      <w:r>
        <w:rPr>
          <w:rFonts w:ascii="Arial" w:cs="Arial" w:eastAsia="Arial" w:hAnsi="Arial"/>
          <w:sz w:val="22"/>
          <w:szCs w:val="22"/>
          <w:color w:val="auto"/>
        </w:rPr>
        <w:t>, ensuring</w:t>
      </w:r>
      <w:r>
        <w:rPr>
          <w:rFonts w:ascii="Arial" w:cs="Arial" w:eastAsia="Arial" w:hAnsi="Arial"/>
          <w:sz w:val="22"/>
          <w:szCs w:val="22"/>
          <w:b w:val="1"/>
          <w:bCs w:val="1"/>
          <w:color w:val="auto"/>
        </w:rPr>
        <w:t xml:space="preserve"> </w:t>
      </w:r>
      <w:r>
        <w:rPr>
          <w:rFonts w:ascii="Arial" w:cs="Arial" w:eastAsia="Arial" w:hAnsi="Arial"/>
          <w:sz w:val="22"/>
          <w:szCs w:val="22"/>
          <w:color w:val="auto"/>
        </w:rPr>
        <w:t>disciplined resource allocation that generates long-term, sustainable value – with particular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1011555"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1155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320" w:top="1099" w:right="379" w:bottom="1440" w:gutter="0" w:footer="0" w:header="0"/>
        </w:sectPr>
      </w:pPr>
    </w:p>
    <w:bookmarkStart w:id="8" w:name="page9"/>
    <w:bookmarkEnd w:id="8"/>
    <w:p>
      <w:pPr>
        <w:ind w:right="120"/>
        <w:spacing w:after="0" w:line="257" w:lineRule="auto"/>
        <w:rPr>
          <w:sz w:val="20"/>
          <w:szCs w:val="20"/>
          <w:color w:val="auto"/>
        </w:rPr>
      </w:pPr>
      <w:r>
        <w:rPr>
          <w:rFonts w:ascii="Arial" w:cs="Arial" w:eastAsia="Arial" w:hAnsi="Arial"/>
          <w:sz w:val="22"/>
          <w:szCs w:val="22"/>
          <w:color w:val="auto"/>
        </w:rPr>
        <w:t>emphasis on generating sustainable free cash flow over the long-term. This approach involves making strategic investments in our businesses based on the size of their future opportunities. For instance, in streaming, we will invest more resources to support future growth, while in some areas of our linear business, investment decisions will be focused on optimizing cash flow.</w:t>
      </w:r>
    </w:p>
    <w:p>
      <w:pPr>
        <w:spacing w:after="0" w:line="199" w:lineRule="exact"/>
        <w:rPr>
          <w:sz w:val="20"/>
          <w:szCs w:val="20"/>
          <w:color w:val="auto"/>
        </w:rPr>
      </w:pPr>
    </w:p>
    <w:p>
      <w:pPr>
        <w:ind w:right="860"/>
        <w:spacing w:after="0" w:line="275" w:lineRule="auto"/>
        <w:rPr>
          <w:sz w:val="20"/>
          <w:szCs w:val="20"/>
          <w:color w:val="auto"/>
        </w:rPr>
      </w:pPr>
      <w:r>
        <w:rPr>
          <w:rFonts w:ascii="Arial" w:cs="Arial" w:eastAsia="Arial" w:hAnsi="Arial"/>
          <w:sz w:val="21"/>
          <w:szCs w:val="21"/>
          <w:color w:val="auto"/>
        </w:rPr>
        <w:t>Since the transaction closed, we have been hard at work validating our pre-close plans – confirming both the investments we intended to make and the efficiencies we expected to capture across the organization. As anticipated, some areas have exceeded expectations, while others require additional attention and focus.</w:t>
      </w:r>
    </w:p>
    <w:p>
      <w:pPr>
        <w:spacing w:after="0" w:line="182"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One example is our digital advertising business, which has not yet reached the growth potential we know it can achieve, despite a significant increase in time spent, including on Pluto TV, where engagement continues to grow while lagging other FAST services in the market. To accelerate progress, we have partnered with IPG and Publicis across both ad sales and media buying. We are confident these partnerships will position us for meaningful growth as we continue to strengthen our product and refine our go-to-market strategy.</w:t>
      </w:r>
    </w:p>
    <w:p>
      <w:pPr>
        <w:spacing w:after="0" w:line="206" w:lineRule="exact"/>
        <w:rPr>
          <w:sz w:val="20"/>
          <w:szCs w:val="20"/>
          <w:color w:val="auto"/>
        </w:rPr>
      </w:pPr>
    </w:p>
    <w:p>
      <w:pPr>
        <w:ind w:right="200"/>
        <w:spacing w:after="0" w:line="264" w:lineRule="auto"/>
        <w:rPr>
          <w:sz w:val="20"/>
          <w:szCs w:val="20"/>
          <w:color w:val="auto"/>
        </w:rPr>
      </w:pPr>
      <w:r>
        <w:rPr>
          <w:rFonts w:ascii="Arial" w:cs="Arial" w:eastAsia="Arial" w:hAnsi="Arial"/>
          <w:sz w:val="22"/>
          <w:szCs w:val="22"/>
          <w:color w:val="auto"/>
        </w:rPr>
        <w:t>Additionally, the opportunity to drive additional cost efficiencies has exceeded our expectations. Through disciplined cost management and targeted investments in areas with the highest potential, we are strengthening the business and positioning it for sustainable, long-term success.</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F4761"/>
        </w:rPr>
        <w:t>Company-wide Workstreams</w:t>
      </w:r>
    </w:p>
    <w:p>
      <w:pPr>
        <w:spacing w:after="0" w:line="150" w:lineRule="exact"/>
        <w:rPr>
          <w:sz w:val="20"/>
          <w:szCs w:val="20"/>
          <w:color w:val="auto"/>
        </w:rPr>
      </w:pPr>
    </w:p>
    <w:p>
      <w:pPr>
        <w:ind w:right="140"/>
        <w:spacing w:after="0" w:line="285" w:lineRule="auto"/>
        <w:rPr>
          <w:sz w:val="20"/>
          <w:szCs w:val="20"/>
          <w:color w:val="auto"/>
        </w:rPr>
      </w:pPr>
      <w:r>
        <w:rPr>
          <w:rFonts w:ascii="Arial" w:cs="Arial" w:eastAsia="Arial" w:hAnsi="Arial"/>
          <w:sz w:val="22"/>
          <w:szCs w:val="22"/>
          <w:color w:val="auto"/>
        </w:rPr>
        <w:t xml:space="preserve">These and other ongoing efforts feed into our transformation plan, anchored by </w:t>
      </w:r>
      <w:r>
        <w:rPr>
          <w:rFonts w:ascii="Arial" w:cs="Arial" w:eastAsia="Arial" w:hAnsi="Arial"/>
          <w:sz w:val="22"/>
          <w:szCs w:val="22"/>
          <w:b w:val="1"/>
          <w:bCs w:val="1"/>
          <w:color w:val="auto"/>
        </w:rPr>
        <w:t>four enterprise-wide workstreams</w:t>
      </w:r>
      <w:r>
        <w:rPr>
          <w:rFonts w:ascii="Arial" w:cs="Arial" w:eastAsia="Arial" w:hAnsi="Arial"/>
          <w:sz w:val="22"/>
          <w:szCs w:val="22"/>
          <w:color w:val="auto"/>
        </w:rPr>
        <w:t xml:space="preserve"> </w:t>
      </w:r>
      <w:r>
        <w:rPr>
          <w:rFonts w:ascii="Arial" w:cs="Arial" w:eastAsia="Arial" w:hAnsi="Arial"/>
          <w:sz w:val="22"/>
          <w:szCs w:val="22"/>
          <w:b w:val="1"/>
          <w:bCs w:val="1"/>
          <w:color w:val="auto"/>
        </w:rPr>
        <w:t>focused on unlocking Paramount’s full potential</w:t>
      </w:r>
      <w:r>
        <w:rPr>
          <w:rFonts w:ascii="Arial" w:cs="Arial" w:eastAsia="Arial" w:hAnsi="Arial"/>
          <w:sz w:val="22"/>
          <w:szCs w:val="22"/>
          <w:color w:val="auto"/>
        </w:rPr>
        <w:t>.</w:t>
      </w:r>
    </w:p>
    <w:p>
      <w:pPr>
        <w:spacing w:after="0" w:line="155" w:lineRule="exact"/>
        <w:rPr>
          <w:sz w:val="20"/>
          <w:szCs w:val="20"/>
          <w:color w:val="auto"/>
        </w:rPr>
      </w:pPr>
    </w:p>
    <w:p>
      <w:pPr>
        <w:ind w:right="240"/>
        <w:spacing w:after="0" w:line="254" w:lineRule="auto"/>
        <w:rPr>
          <w:sz w:val="20"/>
          <w:szCs w:val="20"/>
          <w:color w:val="auto"/>
        </w:rPr>
      </w:pPr>
      <w:r>
        <w:rPr>
          <w:rFonts w:ascii="Arial" w:cs="Arial" w:eastAsia="Arial" w:hAnsi="Arial"/>
          <w:sz w:val="22"/>
          <w:szCs w:val="22"/>
          <w:b w:val="1"/>
          <w:bCs w:val="1"/>
          <w:color w:val="auto"/>
        </w:rPr>
        <w:t>The first workstream is making technology a core competency of the company</w:t>
      </w:r>
      <w:r>
        <w:rPr>
          <w:rFonts w:ascii="Arial" w:cs="Arial" w:eastAsia="Arial" w:hAnsi="Arial"/>
          <w:sz w:val="22"/>
          <w:szCs w:val="22"/>
          <w:color w:val="auto"/>
        </w:rPr>
        <w:t>. This will require evolving our</w:t>
      </w:r>
      <w:r>
        <w:rPr>
          <w:rFonts w:ascii="Arial" w:cs="Arial" w:eastAsia="Arial" w:hAnsi="Arial"/>
          <w:sz w:val="22"/>
          <w:szCs w:val="22"/>
          <w:b w:val="1"/>
          <w:bCs w:val="1"/>
          <w:color w:val="auto"/>
        </w:rPr>
        <w:t xml:space="preserve"> </w:t>
      </w:r>
      <w:r>
        <w:rPr>
          <w:rFonts w:ascii="Arial" w:cs="Arial" w:eastAsia="Arial" w:hAnsi="Arial"/>
          <w:sz w:val="22"/>
          <w:szCs w:val="22"/>
          <w:color w:val="auto"/>
        </w:rPr>
        <w:t>culture to embrace a test-and-learn mindset – encouraging experimentation, enabling data-informed decisions, and continuously learning from outcomes. The reality is the pace of our experimentation has slowed in recent quarters due to competing priorities, even as we aim to accelerate innovation. We expect to quickly reverse this trend by prioritizing the critical role of technology across our organization.</w:t>
      </w:r>
    </w:p>
    <w:p>
      <w:pPr>
        <w:spacing w:after="0" w:line="202" w:lineRule="exact"/>
        <w:rPr>
          <w:sz w:val="20"/>
          <w:szCs w:val="20"/>
          <w:color w:val="auto"/>
        </w:rPr>
      </w:pPr>
    </w:p>
    <w:p>
      <w:pPr>
        <w:ind w:right="140"/>
        <w:spacing w:after="0" w:line="253" w:lineRule="auto"/>
        <w:rPr>
          <w:sz w:val="20"/>
          <w:szCs w:val="20"/>
          <w:color w:val="auto"/>
        </w:rPr>
      </w:pPr>
      <w:r>
        <w:rPr>
          <w:rFonts w:ascii="Arial" w:cs="Arial" w:eastAsia="Arial" w:hAnsi="Arial"/>
          <w:sz w:val="22"/>
          <w:szCs w:val="22"/>
          <w:color w:val="auto"/>
        </w:rPr>
        <w:t>At the same time, we are advancing several innovation initiatives, including: a converged back-end platform for our streaming services by the middle of 2026, unifying the company under a single ERP system by early 2027, and leveraging the full scale of our business to optimize cloud computing spend. These initiatives make sense financially and accelerate our ability to productize future innovations including better user experiences, recommendation engines to power search and discovery, and a reimagined digital ads product.</w:t>
      </w:r>
    </w:p>
    <w:p>
      <w:pPr>
        <w:spacing w:after="0" w:line="204" w:lineRule="exact"/>
        <w:rPr>
          <w:sz w:val="20"/>
          <w:szCs w:val="20"/>
          <w:color w:val="auto"/>
        </w:rPr>
      </w:pPr>
    </w:p>
    <w:p>
      <w:pPr>
        <w:ind w:right="160"/>
        <w:spacing w:after="0" w:line="252" w:lineRule="auto"/>
        <w:rPr>
          <w:sz w:val="20"/>
          <w:szCs w:val="20"/>
          <w:color w:val="auto"/>
        </w:rPr>
      </w:pPr>
      <w:r>
        <w:rPr>
          <w:rFonts w:ascii="Arial" w:cs="Arial" w:eastAsia="Arial" w:hAnsi="Arial"/>
          <w:sz w:val="22"/>
          <w:szCs w:val="22"/>
          <w:b w:val="1"/>
          <w:bCs w:val="1"/>
          <w:color w:val="auto"/>
        </w:rPr>
        <w:t>The second workstream is enhancing industrial efficiency and scalability across our operations</w:t>
      </w:r>
      <w:r>
        <w:rPr>
          <w:rFonts w:ascii="Arial" w:cs="Arial" w:eastAsia="Arial" w:hAnsi="Arial"/>
          <w:sz w:val="22"/>
          <w:szCs w:val="22"/>
          <w:color w:val="auto"/>
        </w:rPr>
        <w:t>. Central to</w:t>
      </w:r>
      <w:r>
        <w:rPr>
          <w:rFonts w:ascii="Arial" w:cs="Arial" w:eastAsia="Arial" w:hAnsi="Arial"/>
          <w:sz w:val="22"/>
          <w:szCs w:val="22"/>
          <w:b w:val="1"/>
          <w:bCs w:val="1"/>
          <w:color w:val="auto"/>
        </w:rPr>
        <w:t xml:space="preserve"> </w:t>
      </w:r>
      <w:r>
        <w:rPr>
          <w:rFonts w:ascii="Arial" w:cs="Arial" w:eastAsia="Arial" w:hAnsi="Arial"/>
          <w:sz w:val="22"/>
          <w:szCs w:val="22"/>
          <w:color w:val="auto"/>
        </w:rPr>
        <w:t>this effort is the launch of Global Operations, a new enterprise function that unites Global Business Services, procurement, real estate and facilities, security, and other key functions. The goal is to unlock value, drive efficiency, and strengthen our operating foundation as One Paramount. While similar capabilities are common in other industries, they are rare in ours – especially at the scale and scope we’re envisioning. This initiative will be a core advantage for the company for years to 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480695</wp:posOffset>
            </wp:positionV>
            <wp:extent cx="1011555"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1155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1099" w:right="359" w:bottom="1440" w:gutter="0" w:footer="0" w:header="0"/>
        </w:sectPr>
      </w:pPr>
    </w:p>
    <w:bookmarkStart w:id="9" w:name="page10"/>
    <w:bookmarkEnd w:id="9"/>
    <w:p>
      <w:pPr>
        <w:ind w:right="80"/>
        <w:spacing w:after="0" w:line="253" w:lineRule="auto"/>
        <w:rPr>
          <w:sz w:val="20"/>
          <w:szCs w:val="20"/>
          <w:color w:val="auto"/>
        </w:rPr>
      </w:pPr>
      <w:r>
        <w:rPr>
          <w:rFonts w:ascii="Arial" w:cs="Arial" w:eastAsia="Arial" w:hAnsi="Arial"/>
          <w:sz w:val="22"/>
          <w:szCs w:val="22"/>
          <w:color w:val="auto"/>
        </w:rPr>
        <w:t>Our Global Business Services organization is consolidating many corporate and business units' activities into end-to-end processes that will be optimized through automation, AI, and a global delivery footprint. Of note, our real estate and facilities organization is implementing a robust enterprise-wide plan to optimize our footprint to unify teams – enabling creative excellence, operational effectiveness, and efficient space utilization as we focus on consolidating our owned facilities, where appropriate.</w:t>
      </w:r>
    </w:p>
    <w:p>
      <w:pPr>
        <w:spacing w:after="0" w:line="204" w:lineRule="exact"/>
        <w:rPr>
          <w:sz w:val="20"/>
          <w:szCs w:val="20"/>
          <w:color w:val="auto"/>
        </w:rPr>
      </w:pPr>
    </w:p>
    <w:p>
      <w:pPr>
        <w:ind w:right="120"/>
        <w:spacing w:after="0" w:line="254" w:lineRule="auto"/>
        <w:rPr>
          <w:sz w:val="20"/>
          <w:szCs w:val="20"/>
          <w:color w:val="auto"/>
        </w:rPr>
      </w:pPr>
      <w:r>
        <w:rPr>
          <w:rFonts w:ascii="Arial" w:cs="Arial" w:eastAsia="Arial" w:hAnsi="Arial"/>
          <w:sz w:val="22"/>
          <w:szCs w:val="22"/>
          <w:b w:val="1"/>
          <w:bCs w:val="1"/>
          <w:color w:val="auto"/>
        </w:rPr>
        <w:t>The third workstream is unifying the organization under clear, cohesive leadership</w:t>
      </w:r>
      <w:r>
        <w:rPr>
          <w:rFonts w:ascii="Arial" w:cs="Arial" w:eastAsia="Arial" w:hAnsi="Arial"/>
          <w:sz w:val="22"/>
          <w:szCs w:val="22"/>
          <w:color w:val="auto"/>
        </w:rPr>
        <w:t>. By consolidating core</w:t>
      </w:r>
      <w:r>
        <w:rPr>
          <w:rFonts w:ascii="Arial" w:cs="Arial" w:eastAsia="Arial" w:hAnsi="Arial"/>
          <w:sz w:val="22"/>
          <w:szCs w:val="22"/>
          <w:b w:val="1"/>
          <w:bCs w:val="1"/>
          <w:color w:val="auto"/>
        </w:rPr>
        <w:t xml:space="preserve"> </w:t>
      </w:r>
      <w:r>
        <w:rPr>
          <w:rFonts w:ascii="Arial" w:cs="Arial" w:eastAsia="Arial" w:hAnsi="Arial"/>
          <w:sz w:val="22"/>
          <w:szCs w:val="22"/>
          <w:color w:val="auto"/>
        </w:rPr>
        <w:t>functions where it adds the most value, we eliminate redundancies and foster stronger collaboration across teams. We are reorganizing the company into three business units – Studios, DTC, and TV Media – streamlining operations and breaking down silos. This structure ensures that decisions are made in the best interest of Paramount overall, enabling faster, more effective choices and keeping us agile and aligned with our vision.</w:t>
      </w:r>
    </w:p>
    <w:p>
      <w:pPr>
        <w:spacing w:after="0" w:line="200" w:lineRule="exact"/>
        <w:rPr>
          <w:sz w:val="20"/>
          <w:szCs w:val="20"/>
          <w:color w:val="auto"/>
        </w:rPr>
      </w:pPr>
    </w:p>
    <w:p>
      <w:pPr>
        <w:ind w:right="20"/>
        <w:spacing w:after="0" w:line="254" w:lineRule="auto"/>
        <w:rPr>
          <w:sz w:val="20"/>
          <w:szCs w:val="20"/>
          <w:color w:val="auto"/>
        </w:rPr>
      </w:pPr>
      <w:r>
        <w:rPr>
          <w:rFonts w:ascii="Arial" w:cs="Arial" w:eastAsia="Arial" w:hAnsi="Arial"/>
          <w:sz w:val="22"/>
          <w:szCs w:val="22"/>
          <w:b w:val="1"/>
          <w:bCs w:val="1"/>
          <w:color w:val="auto"/>
        </w:rPr>
        <w:t>The fourth workstream is optimizing our workforce for the future</w:t>
      </w:r>
      <w:r>
        <w:rPr>
          <w:rFonts w:ascii="Arial" w:cs="Arial" w:eastAsia="Arial" w:hAnsi="Arial"/>
          <w:sz w:val="22"/>
          <w:szCs w:val="22"/>
          <w:color w:val="auto"/>
        </w:rPr>
        <w:t>. This represents the culmination of our broader</w:t>
      </w:r>
      <w:r>
        <w:rPr>
          <w:rFonts w:ascii="Arial" w:cs="Arial" w:eastAsia="Arial" w:hAnsi="Arial"/>
          <w:sz w:val="22"/>
          <w:szCs w:val="22"/>
          <w:b w:val="1"/>
          <w:bCs w:val="1"/>
          <w:color w:val="auto"/>
        </w:rPr>
        <w:t xml:space="preserve"> </w:t>
      </w:r>
      <w:r>
        <w:rPr>
          <w:rFonts w:ascii="Arial" w:cs="Arial" w:eastAsia="Arial" w:hAnsi="Arial"/>
          <w:sz w:val="22"/>
          <w:szCs w:val="22"/>
          <w:color w:val="auto"/>
        </w:rPr>
        <w:t>transformation efforts. At the end of October, as part of our commitment to building a more efficient and effectively structured organization, we implemented a significant workforce reduction, impacting approximately 1,000 employees across the company. These were difficult but necessary decisions, and we remain deeply grateful for the meaningful contributions of those impacted.</w:t>
      </w:r>
    </w:p>
    <w:p>
      <w:pPr>
        <w:spacing w:after="0" w:line="202" w:lineRule="exact"/>
        <w:rPr>
          <w:sz w:val="20"/>
          <w:szCs w:val="20"/>
          <w:color w:val="auto"/>
        </w:rPr>
      </w:pPr>
    </w:p>
    <w:p>
      <w:pPr>
        <w:ind w:right="180"/>
        <w:spacing w:after="0" w:line="253" w:lineRule="auto"/>
        <w:rPr>
          <w:sz w:val="20"/>
          <w:szCs w:val="20"/>
          <w:color w:val="auto"/>
        </w:rPr>
      </w:pPr>
      <w:r>
        <w:rPr>
          <w:rFonts w:ascii="Arial" w:cs="Arial" w:eastAsia="Arial" w:hAnsi="Arial"/>
          <w:sz w:val="22"/>
          <w:szCs w:val="22"/>
          <w:color w:val="auto"/>
        </w:rPr>
        <w:t>As part of our broader organizational transformation, we have taken deliberate steps to flatten our structure and enhance agility. Approximately one-quarter of our senior vice presidents and above were impacted by the workforce reduction, enabling us to streamline decision-making and reduce the friction that can prevent great ideas from advancing. By optimizing our leadership layers and overall talent base, we are now better positioned to align resources with our strategic priorities and invest boldly in areas with the greatest long-term potential.</w:t>
      </w:r>
    </w:p>
    <w:p>
      <w:pPr>
        <w:spacing w:after="0" w:line="206" w:lineRule="exact"/>
        <w:rPr>
          <w:sz w:val="20"/>
          <w:szCs w:val="20"/>
          <w:color w:val="auto"/>
        </w:rPr>
      </w:pPr>
    </w:p>
    <w:p>
      <w:pPr>
        <w:ind w:right="60"/>
        <w:spacing w:after="0" w:line="253" w:lineRule="auto"/>
        <w:rPr>
          <w:sz w:val="20"/>
          <w:szCs w:val="20"/>
          <w:color w:val="auto"/>
        </w:rPr>
      </w:pPr>
      <w:r>
        <w:rPr>
          <w:rFonts w:ascii="Arial" w:cs="Arial" w:eastAsia="Arial" w:hAnsi="Arial"/>
          <w:sz w:val="22"/>
          <w:szCs w:val="22"/>
          <w:color w:val="auto"/>
        </w:rPr>
        <w:t>To further unlock Paramount’s full potential and create a more connected, agile organization, we also introduced a phased return-to-office plan beginning in January 2026. Under this plan, employees will transition to being in the office full-time, five days a week. In Phase 1, employees in our LA and NY offices, at the VP level and below, were offered the option of a voluntary severance package if they are unable or unwilling to return to the office full time, and approximately 600 employees chose this option.</w:t>
      </w:r>
    </w:p>
    <w:p>
      <w:pPr>
        <w:spacing w:after="0" w:line="204" w:lineRule="exact"/>
        <w:rPr>
          <w:sz w:val="20"/>
          <w:szCs w:val="20"/>
          <w:color w:val="auto"/>
        </w:rPr>
      </w:pPr>
    </w:p>
    <w:p>
      <w:pPr>
        <w:spacing w:after="0" w:line="250" w:lineRule="auto"/>
        <w:rPr>
          <w:sz w:val="20"/>
          <w:szCs w:val="20"/>
          <w:color w:val="auto"/>
        </w:rPr>
      </w:pPr>
      <w:r>
        <w:rPr>
          <w:rFonts w:ascii="Arial" w:cs="Arial" w:eastAsia="Arial" w:hAnsi="Arial"/>
          <w:sz w:val="22"/>
          <w:szCs w:val="22"/>
          <w:b w:val="1"/>
          <w:bCs w:val="1"/>
          <w:color w:val="auto"/>
        </w:rPr>
        <w:t>In addition to these four enterprise-wide workstreams, we are conducting a comprehensive strategic review of our assets to ensure continued focus on our three North Star priorities</w:t>
      </w:r>
      <w:r>
        <w:rPr>
          <w:rFonts w:ascii="Arial" w:cs="Arial" w:eastAsia="Arial" w:hAnsi="Arial"/>
          <w:sz w:val="22"/>
          <w:szCs w:val="22"/>
          <w:color w:val="auto"/>
        </w:rPr>
        <w:t>. As part of this review, we have</w:t>
      </w:r>
      <w:r>
        <w:rPr>
          <w:rFonts w:ascii="Arial" w:cs="Arial" w:eastAsia="Arial" w:hAnsi="Arial"/>
          <w:sz w:val="22"/>
          <w:szCs w:val="22"/>
          <w:b w:val="1"/>
          <w:bCs w:val="1"/>
          <w:color w:val="auto"/>
        </w:rPr>
        <w:t xml:space="preserve"> </w:t>
      </w:r>
      <w:r>
        <w:rPr>
          <w:rFonts w:ascii="Arial" w:cs="Arial" w:eastAsia="Arial" w:hAnsi="Arial"/>
          <w:sz w:val="22"/>
          <w:szCs w:val="22"/>
          <w:color w:val="auto"/>
        </w:rPr>
        <w:t>divested Televisión Federal, or Telefe, in Argentina, which operates TV stations in Buenos Aires and other domestic markets and maintains distribution agreements with FTA and Pay-TV operators across Argentina and select international regions. Likewise, we are in the process of divesting Chilevision in Chile, which we expect to complete in the first quarter of 2026. These divestitures, identified as non-core to our future growth, will streamline operations and reduce our workforce by approximately 1,600 additional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483870</wp:posOffset>
            </wp:positionV>
            <wp:extent cx="1011555"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1155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1099" w:right="35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i w:val="1"/>
          <w:iCs w:val="1"/>
          <w:color w:val="0F4761"/>
        </w:rPr>
        <w:t>Transformation Savings</w:t>
      </w:r>
    </w:p>
    <w:p>
      <w:pPr>
        <w:spacing w:after="0" w:line="152" w:lineRule="exact"/>
        <w:rPr>
          <w:sz w:val="20"/>
          <w:szCs w:val="20"/>
          <w:color w:val="auto"/>
        </w:rPr>
      </w:pPr>
    </w:p>
    <w:p>
      <w:pPr>
        <w:jc w:val="both"/>
        <w:ind w:right="420"/>
        <w:spacing w:after="0" w:line="265" w:lineRule="exact"/>
        <w:rPr>
          <w:sz w:val="20"/>
          <w:szCs w:val="20"/>
          <w:color w:val="auto"/>
        </w:rPr>
      </w:pPr>
      <w:r>
        <w:rPr>
          <w:rFonts w:ascii="Arial" w:cs="Arial" w:eastAsia="Arial" w:hAnsi="Arial"/>
          <w:sz w:val="22"/>
          <w:szCs w:val="22"/>
          <w:color w:val="auto"/>
        </w:rPr>
        <w:t>Collectively, these actions – along with additional structural efficiencies still to come – reinforce our confidence in achieving at least $3 billion in run</w:t>
      </w:r>
      <w:r>
        <w:rPr>
          <w:rFonts w:ascii="MS PGothic" w:cs="MS PGothic" w:eastAsia="MS PGothic" w:hAnsi="MS PGothic"/>
          <w:sz w:val="22"/>
          <w:szCs w:val="22"/>
          <w:color w:val="auto"/>
        </w:rPr>
        <w:t>‑</w:t>
      </w:r>
      <w:r>
        <w:rPr>
          <w:rFonts w:ascii="Arial" w:cs="Arial" w:eastAsia="Arial" w:hAnsi="Arial"/>
          <w:sz w:val="22"/>
          <w:szCs w:val="22"/>
          <w:color w:val="auto"/>
        </w:rPr>
        <w:t>rate efficiencies, representing an increase of at least $1 billion over our original target outlined at the time of the deal announcement in 2024.</w:t>
      </w:r>
    </w:p>
    <w:p>
      <w:pPr>
        <w:spacing w:after="0" w:line="219" w:lineRule="exact"/>
        <w:rPr>
          <w:sz w:val="20"/>
          <w:szCs w:val="20"/>
          <w:color w:val="auto"/>
        </w:rPr>
      </w:pPr>
    </w:p>
    <w:p>
      <w:pPr>
        <w:ind w:right="100"/>
        <w:spacing w:after="0" w:line="253" w:lineRule="auto"/>
        <w:rPr>
          <w:sz w:val="20"/>
          <w:szCs w:val="20"/>
          <w:color w:val="auto"/>
        </w:rPr>
      </w:pPr>
      <w:r>
        <w:rPr>
          <w:rFonts w:ascii="Arial" w:cs="Arial" w:eastAsia="Arial" w:hAnsi="Arial"/>
          <w:sz w:val="22"/>
          <w:szCs w:val="22"/>
          <w:color w:val="auto"/>
        </w:rPr>
        <w:t>Of the anticipated $3 billion plus in total efficiencies, more than $1.4 billion in run-rate savings will have been executed between the deal announcement and the end of this year, with an additional $1 billion plus in run-rate actions planned for 2026. We expect to complete our transformation program by the end of 2027. Achieving these efficiencies will require targeted one-time investments, estimated at approximately $800 million in 2026 and between $400 and $500 million in 2027.</w:t>
      </w:r>
    </w:p>
    <w:p>
      <w:pPr>
        <w:spacing w:after="0" w:line="206" w:lineRule="exact"/>
        <w:rPr>
          <w:sz w:val="20"/>
          <w:szCs w:val="20"/>
          <w:color w:val="auto"/>
        </w:rPr>
      </w:pPr>
    </w:p>
    <w:p>
      <w:pPr>
        <w:ind w:right="80"/>
        <w:spacing w:after="0" w:line="251" w:lineRule="auto"/>
        <w:rPr>
          <w:sz w:val="20"/>
          <w:szCs w:val="20"/>
          <w:color w:val="auto"/>
        </w:rPr>
      </w:pPr>
      <w:r>
        <w:rPr>
          <w:rFonts w:ascii="Arial" w:cs="Arial" w:eastAsia="Arial" w:hAnsi="Arial"/>
          <w:sz w:val="22"/>
          <w:szCs w:val="22"/>
          <w:color w:val="auto"/>
        </w:rPr>
        <w:t>While streamlining the business, we recognize that growth cannot be achieved through cost-cutting. Accordingly, a portion of the savings generated through our transformation program will be reinvested in growth investments across programming, technology, and strategic partnerships. At the same time, we will rigorously evaluate other areas of spend to maximize margins and drive strong free cash flow generation. To this end, we expect to make incremental programming investments in 2026 in excess of $1.5 billion, which include our DTC investments in the UFC, Paramount+ Originals, and third-party catalog licensing and the ramp in our film slate.</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F4761"/>
        </w:rPr>
        <w:t>Q3 Results and Q4 and 2026 Outlook</w:t>
      </w:r>
    </w:p>
    <w:p>
      <w:pPr>
        <w:spacing w:after="0" w:line="152" w:lineRule="exact"/>
        <w:rPr>
          <w:sz w:val="20"/>
          <w:szCs w:val="20"/>
          <w:color w:val="auto"/>
        </w:rPr>
      </w:pPr>
    </w:p>
    <w:p>
      <w:pPr>
        <w:spacing w:after="0" w:line="264" w:lineRule="auto"/>
        <w:rPr>
          <w:sz w:val="20"/>
          <w:szCs w:val="20"/>
          <w:color w:val="auto"/>
        </w:rPr>
      </w:pPr>
      <w:r>
        <w:rPr>
          <w:rFonts w:ascii="Arial" w:cs="Arial" w:eastAsia="Arial" w:hAnsi="Arial"/>
          <w:sz w:val="22"/>
          <w:szCs w:val="22"/>
          <w:color w:val="auto"/>
        </w:rPr>
        <w:t>Below we discuss our Q3 results and our outlook for Q4 and 2026. Due to reporting requirements associated with our transaction, our Q3 results and cash flows are reported separately for the period July 1 through deal closing on August 6, 2025, and the post close period August 7 through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781050</wp:posOffset>
            </wp:positionV>
            <wp:extent cx="1011555" cy="308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1155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320" w:top="1099" w:right="379" w:bottom="1440" w:gutter="0" w:footer="0" w:header="0"/>
        </w:sectPr>
      </w:pPr>
    </w:p>
    <w:bookmarkStart w:id="11" w:name="page12"/>
    <w:bookmarkEnd w:id="11"/>
    <w:p>
      <w:pPr>
        <w:spacing w:after="0"/>
        <w:rPr>
          <w:sz w:val="20"/>
          <w:szCs w:val="20"/>
          <w:color w:val="auto"/>
        </w:rPr>
      </w:pPr>
      <w:r>
        <w:rPr>
          <w:rFonts w:ascii="Arial" w:cs="Arial" w:eastAsia="Arial" w:hAnsi="Arial"/>
          <w:sz w:val="22"/>
          <w:szCs w:val="22"/>
          <w:color w:val="auto"/>
        </w:rPr>
        <w:t>A summary of Q3 results and our Q4 and 2026 outlook are below:</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24"/>
        </w:trPr>
        <w:tc>
          <w:tcPr>
            <w:tcW w:w="1960" w:type="dxa"/>
            <w:vAlign w:val="bottom"/>
            <w:tcBorders>
              <w:left w:val="single" w:sz="8" w:color="auto"/>
            </w:tcBorders>
            <w:shd w:val="clear" w:color="auto" w:fill="000000"/>
          </w:tcPr>
          <w:p>
            <w:pPr>
              <w:ind w:left="40"/>
              <w:spacing w:after="0"/>
              <w:rPr>
                <w:sz w:val="20"/>
                <w:szCs w:val="20"/>
                <w:color w:val="auto"/>
              </w:rPr>
            </w:pPr>
            <w:r>
              <w:rPr>
                <w:rFonts w:ascii="Arial" w:cs="Arial" w:eastAsia="Arial" w:hAnsi="Arial"/>
                <w:sz w:val="15"/>
                <w:szCs w:val="15"/>
                <w:color w:val="FFFFFF"/>
              </w:rPr>
              <w:t>Q3 2025 Results</w:t>
            </w:r>
          </w:p>
        </w:tc>
        <w:tc>
          <w:tcPr>
            <w:tcW w:w="220" w:type="dxa"/>
            <w:vAlign w:val="bottom"/>
            <w:shd w:val="clear" w:color="auto" w:fill="000000"/>
          </w:tcPr>
          <w:p>
            <w:pPr>
              <w:spacing w:after="0"/>
              <w:rPr>
                <w:sz w:val="19"/>
                <w:szCs w:val="19"/>
                <w:color w:val="auto"/>
              </w:rPr>
            </w:pPr>
          </w:p>
        </w:tc>
        <w:tc>
          <w:tcPr>
            <w:tcW w:w="600" w:type="dxa"/>
            <w:vAlign w:val="bottom"/>
            <w:shd w:val="clear" w:color="auto" w:fill="000000"/>
          </w:tcPr>
          <w:p>
            <w:pPr>
              <w:spacing w:after="0"/>
              <w:rPr>
                <w:sz w:val="19"/>
                <w:szCs w:val="19"/>
                <w:color w:val="auto"/>
              </w:rPr>
            </w:pPr>
          </w:p>
        </w:tc>
        <w:tc>
          <w:tcPr>
            <w:tcW w:w="220" w:type="dxa"/>
            <w:vAlign w:val="bottom"/>
            <w:shd w:val="clear" w:color="auto" w:fill="000000"/>
          </w:tcPr>
          <w:p>
            <w:pPr>
              <w:spacing w:after="0"/>
              <w:rPr>
                <w:sz w:val="19"/>
                <w:szCs w:val="19"/>
                <w:color w:val="auto"/>
              </w:rPr>
            </w:pPr>
          </w:p>
        </w:tc>
        <w:tc>
          <w:tcPr>
            <w:tcW w:w="580" w:type="dxa"/>
            <w:vAlign w:val="bottom"/>
            <w:shd w:val="clear" w:color="auto" w:fill="000000"/>
          </w:tcPr>
          <w:p>
            <w:pPr>
              <w:spacing w:after="0"/>
              <w:rPr>
                <w:sz w:val="19"/>
                <w:szCs w:val="19"/>
                <w:color w:val="auto"/>
              </w:rPr>
            </w:pPr>
          </w:p>
        </w:tc>
        <w:tc>
          <w:tcPr>
            <w:tcW w:w="220" w:type="dxa"/>
            <w:vAlign w:val="bottom"/>
            <w:shd w:val="clear" w:color="auto" w:fill="000000"/>
          </w:tcPr>
          <w:p>
            <w:pPr>
              <w:spacing w:after="0"/>
              <w:rPr>
                <w:sz w:val="19"/>
                <w:szCs w:val="19"/>
                <w:color w:val="auto"/>
              </w:rPr>
            </w:pPr>
          </w:p>
        </w:tc>
        <w:tc>
          <w:tcPr>
            <w:tcW w:w="1400" w:type="dxa"/>
            <w:vAlign w:val="bottom"/>
            <w:gridSpan w:val="4"/>
            <w:shd w:val="clear" w:color="auto" w:fill="000000"/>
          </w:tcPr>
          <w:p>
            <w:pPr>
              <w:jc w:val="right"/>
              <w:ind w:right="364"/>
              <w:spacing w:after="0"/>
              <w:rPr>
                <w:sz w:val="20"/>
                <w:szCs w:val="20"/>
                <w:color w:val="auto"/>
              </w:rPr>
            </w:pPr>
            <w:r>
              <w:rPr>
                <w:rFonts w:ascii="Arial" w:cs="Arial" w:eastAsia="Arial" w:hAnsi="Arial"/>
                <w:sz w:val="15"/>
                <w:szCs w:val="15"/>
                <w:color w:val="FFFFFF"/>
              </w:rPr>
              <w:t>Predecessor</w:t>
            </w:r>
          </w:p>
        </w:tc>
        <w:tc>
          <w:tcPr>
            <w:tcW w:w="500" w:type="dxa"/>
            <w:vAlign w:val="bottom"/>
            <w:shd w:val="clear" w:color="auto" w:fill="000000"/>
          </w:tcPr>
          <w:p>
            <w:pPr>
              <w:spacing w:after="0"/>
              <w:rPr>
                <w:sz w:val="19"/>
                <w:szCs w:val="19"/>
                <w:color w:val="auto"/>
              </w:rPr>
            </w:pPr>
          </w:p>
        </w:tc>
        <w:tc>
          <w:tcPr>
            <w:tcW w:w="620" w:type="dxa"/>
            <w:vAlign w:val="bottom"/>
            <w:shd w:val="clear" w:color="auto" w:fill="000000"/>
          </w:tcPr>
          <w:p>
            <w:pPr>
              <w:spacing w:after="0"/>
              <w:rPr>
                <w:sz w:val="19"/>
                <w:szCs w:val="19"/>
                <w:color w:val="auto"/>
              </w:rPr>
            </w:pPr>
          </w:p>
        </w:tc>
        <w:tc>
          <w:tcPr>
            <w:tcW w:w="280" w:type="dxa"/>
            <w:vAlign w:val="bottom"/>
            <w:shd w:val="clear" w:color="auto" w:fill="000000"/>
          </w:tcPr>
          <w:p>
            <w:pPr>
              <w:spacing w:after="0"/>
              <w:rPr>
                <w:sz w:val="19"/>
                <w:szCs w:val="19"/>
                <w:color w:val="auto"/>
              </w:rPr>
            </w:pPr>
          </w:p>
        </w:tc>
        <w:tc>
          <w:tcPr>
            <w:tcW w:w="1500" w:type="dxa"/>
            <w:vAlign w:val="bottom"/>
            <w:gridSpan w:val="3"/>
            <w:shd w:val="clear" w:color="auto" w:fill="000000"/>
          </w:tcPr>
          <w:p>
            <w:pPr>
              <w:ind w:left="440"/>
              <w:spacing w:after="0"/>
              <w:rPr>
                <w:sz w:val="20"/>
                <w:szCs w:val="20"/>
                <w:color w:val="auto"/>
              </w:rPr>
            </w:pPr>
            <w:r>
              <w:rPr>
                <w:rFonts w:ascii="Arial" w:cs="Arial" w:eastAsia="Arial" w:hAnsi="Arial"/>
                <w:sz w:val="15"/>
                <w:szCs w:val="15"/>
                <w:color w:val="FFFFFF"/>
              </w:rPr>
              <w:t>Successor</w:t>
            </w:r>
          </w:p>
        </w:tc>
        <w:tc>
          <w:tcPr>
            <w:tcW w:w="1540" w:type="dxa"/>
            <w:vAlign w:val="bottom"/>
            <w:shd w:val="clear" w:color="auto" w:fill="000000"/>
          </w:tcPr>
          <w:p>
            <w:pPr>
              <w:spacing w:after="0"/>
              <w:rPr>
                <w:sz w:val="19"/>
                <w:szCs w:val="19"/>
                <w:color w:val="auto"/>
              </w:rPr>
            </w:pPr>
          </w:p>
        </w:tc>
        <w:tc>
          <w:tcPr>
            <w:tcW w:w="560" w:type="dxa"/>
            <w:vAlign w:val="bottom"/>
            <w:shd w:val="clear" w:color="auto" w:fill="000000"/>
          </w:tcPr>
          <w:p>
            <w:pPr>
              <w:spacing w:after="0"/>
              <w:rPr>
                <w:sz w:val="19"/>
                <w:szCs w:val="19"/>
                <w:color w:val="auto"/>
              </w:rPr>
            </w:pPr>
          </w:p>
        </w:tc>
        <w:tc>
          <w:tcPr>
            <w:tcW w:w="1060" w:type="dxa"/>
            <w:vAlign w:val="bottom"/>
            <w:tcBorders>
              <w:right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1960" w:type="dxa"/>
            <w:vAlign w:val="bottom"/>
            <w:tcBorders>
              <w:left w:val="single" w:sz="8" w:color="auto"/>
            </w:tcBorders>
            <w:shd w:val="clear" w:color="auto" w:fill="000000"/>
          </w:tcPr>
          <w:p>
            <w:pPr>
              <w:ind w:left="40"/>
              <w:spacing w:after="0"/>
              <w:rPr>
                <w:sz w:val="20"/>
                <w:szCs w:val="20"/>
                <w:color w:val="auto"/>
              </w:rPr>
            </w:pPr>
            <w:r>
              <w:rPr>
                <w:rFonts w:ascii="Arial" w:cs="Arial" w:eastAsia="Arial" w:hAnsi="Arial"/>
                <w:sz w:val="15"/>
                <w:szCs w:val="15"/>
                <w:i w:val="1"/>
                <w:iCs w:val="1"/>
                <w:color w:val="FFFFFF"/>
              </w:rPr>
              <w:t>$ in millions, except per</w:t>
            </w:r>
          </w:p>
        </w:tc>
        <w:tc>
          <w:tcPr>
            <w:tcW w:w="220" w:type="dxa"/>
            <w:vAlign w:val="bottom"/>
            <w:shd w:val="clear" w:color="auto" w:fill="000000"/>
          </w:tcPr>
          <w:p>
            <w:pPr>
              <w:spacing w:after="0"/>
              <w:rPr>
                <w:sz w:val="22"/>
                <w:szCs w:val="22"/>
                <w:color w:val="auto"/>
              </w:rPr>
            </w:pPr>
          </w:p>
        </w:tc>
        <w:tc>
          <w:tcPr>
            <w:tcW w:w="600" w:type="dxa"/>
            <w:vAlign w:val="bottom"/>
            <w:shd w:val="clear" w:color="auto" w:fill="000000"/>
          </w:tcPr>
          <w:p>
            <w:pPr>
              <w:spacing w:after="0"/>
              <w:rPr>
                <w:sz w:val="22"/>
                <w:szCs w:val="22"/>
                <w:color w:val="auto"/>
              </w:rPr>
            </w:pPr>
          </w:p>
        </w:tc>
        <w:tc>
          <w:tcPr>
            <w:tcW w:w="220" w:type="dxa"/>
            <w:vAlign w:val="bottom"/>
            <w:shd w:val="clear" w:color="auto" w:fill="000000"/>
          </w:tcPr>
          <w:p>
            <w:pPr>
              <w:spacing w:after="0"/>
              <w:rPr>
                <w:sz w:val="22"/>
                <w:szCs w:val="22"/>
                <w:color w:val="auto"/>
              </w:rPr>
            </w:pPr>
          </w:p>
        </w:tc>
        <w:tc>
          <w:tcPr>
            <w:tcW w:w="580" w:type="dxa"/>
            <w:vAlign w:val="bottom"/>
            <w:shd w:val="clear" w:color="auto" w:fill="000000"/>
          </w:tcPr>
          <w:p>
            <w:pPr>
              <w:spacing w:after="0"/>
              <w:rPr>
                <w:sz w:val="22"/>
                <w:szCs w:val="22"/>
                <w:color w:val="auto"/>
              </w:rPr>
            </w:pPr>
          </w:p>
        </w:tc>
        <w:tc>
          <w:tcPr>
            <w:tcW w:w="220" w:type="dxa"/>
            <w:vAlign w:val="bottom"/>
            <w:shd w:val="clear" w:color="auto" w:fill="000000"/>
          </w:tcPr>
          <w:p>
            <w:pPr>
              <w:spacing w:after="0"/>
              <w:rPr>
                <w:sz w:val="22"/>
                <w:szCs w:val="22"/>
                <w:color w:val="auto"/>
              </w:rPr>
            </w:pPr>
          </w:p>
        </w:tc>
        <w:tc>
          <w:tcPr>
            <w:tcW w:w="600" w:type="dxa"/>
            <w:vAlign w:val="bottom"/>
            <w:shd w:val="clear" w:color="auto" w:fill="000000"/>
          </w:tcPr>
          <w:p>
            <w:pPr>
              <w:spacing w:after="0"/>
              <w:rPr>
                <w:sz w:val="22"/>
                <w:szCs w:val="22"/>
                <w:color w:val="auto"/>
              </w:rPr>
            </w:pPr>
          </w:p>
        </w:tc>
        <w:tc>
          <w:tcPr>
            <w:tcW w:w="80" w:type="dxa"/>
            <w:vAlign w:val="bottom"/>
            <w:shd w:val="clear" w:color="auto" w:fill="000000"/>
          </w:tcPr>
          <w:p>
            <w:pPr>
              <w:spacing w:after="0"/>
              <w:rPr>
                <w:sz w:val="22"/>
                <w:szCs w:val="22"/>
                <w:color w:val="auto"/>
              </w:rPr>
            </w:pPr>
          </w:p>
        </w:tc>
        <w:tc>
          <w:tcPr>
            <w:tcW w:w="140" w:type="dxa"/>
            <w:vAlign w:val="bottom"/>
            <w:shd w:val="clear" w:color="auto" w:fill="000000"/>
          </w:tcPr>
          <w:p>
            <w:pPr>
              <w:spacing w:after="0"/>
              <w:rPr>
                <w:sz w:val="22"/>
                <w:szCs w:val="22"/>
                <w:color w:val="auto"/>
              </w:rPr>
            </w:pPr>
          </w:p>
        </w:tc>
        <w:tc>
          <w:tcPr>
            <w:tcW w:w="580" w:type="dxa"/>
            <w:vAlign w:val="bottom"/>
            <w:shd w:val="clear" w:color="auto" w:fill="000000"/>
          </w:tcPr>
          <w:p>
            <w:pPr>
              <w:spacing w:after="0"/>
              <w:rPr>
                <w:sz w:val="22"/>
                <w:szCs w:val="22"/>
                <w:color w:val="auto"/>
              </w:rPr>
            </w:pPr>
          </w:p>
        </w:tc>
        <w:tc>
          <w:tcPr>
            <w:tcW w:w="1400" w:type="dxa"/>
            <w:vAlign w:val="bottom"/>
            <w:gridSpan w:val="3"/>
            <w:shd w:val="clear" w:color="auto" w:fill="000000"/>
          </w:tcPr>
          <w:p>
            <w:pPr>
              <w:ind w:left="340"/>
              <w:spacing w:after="0"/>
              <w:rPr>
                <w:sz w:val="20"/>
                <w:szCs w:val="20"/>
                <w:color w:val="auto"/>
              </w:rPr>
            </w:pPr>
            <w:r>
              <w:rPr>
                <w:rFonts w:ascii="Arial" w:cs="Arial" w:eastAsia="Arial" w:hAnsi="Arial"/>
                <w:sz w:val="15"/>
                <w:szCs w:val="15"/>
                <w:color w:val="FFFFFF"/>
              </w:rPr>
              <w:t>Period From</w:t>
            </w:r>
          </w:p>
        </w:tc>
        <w:tc>
          <w:tcPr>
            <w:tcW w:w="1500" w:type="dxa"/>
            <w:vAlign w:val="bottom"/>
            <w:gridSpan w:val="3"/>
            <w:shd w:val="clear" w:color="auto" w:fill="000000"/>
          </w:tcPr>
          <w:p>
            <w:pPr>
              <w:ind w:left="380"/>
              <w:spacing w:after="0"/>
              <w:rPr>
                <w:sz w:val="20"/>
                <w:szCs w:val="20"/>
                <w:color w:val="auto"/>
              </w:rPr>
            </w:pPr>
            <w:r>
              <w:rPr>
                <w:rFonts w:ascii="Arial" w:cs="Arial" w:eastAsia="Arial" w:hAnsi="Arial"/>
                <w:sz w:val="15"/>
                <w:szCs w:val="15"/>
                <w:color w:val="FFFFFF"/>
              </w:rPr>
              <w:t>Period From</w:t>
            </w:r>
          </w:p>
        </w:tc>
        <w:tc>
          <w:tcPr>
            <w:tcW w:w="1540" w:type="dxa"/>
            <w:vAlign w:val="bottom"/>
            <w:shd w:val="clear" w:color="auto" w:fill="000000"/>
          </w:tcPr>
          <w:p>
            <w:pPr>
              <w:spacing w:after="0"/>
              <w:rPr>
                <w:sz w:val="22"/>
                <w:szCs w:val="22"/>
                <w:color w:val="auto"/>
              </w:rPr>
            </w:pPr>
          </w:p>
        </w:tc>
        <w:tc>
          <w:tcPr>
            <w:tcW w:w="560" w:type="dxa"/>
            <w:vAlign w:val="bottom"/>
            <w:shd w:val="clear" w:color="auto" w:fill="000000"/>
          </w:tcPr>
          <w:p>
            <w:pPr>
              <w:spacing w:after="0"/>
              <w:rPr>
                <w:sz w:val="22"/>
                <w:szCs w:val="22"/>
                <w:color w:val="auto"/>
              </w:rPr>
            </w:pPr>
          </w:p>
        </w:tc>
        <w:tc>
          <w:tcPr>
            <w:tcW w:w="1060" w:type="dxa"/>
            <w:vAlign w:val="bottom"/>
            <w:tcBorders>
              <w:right w:val="single" w:sz="8" w:color="auto"/>
            </w:tcBorders>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960" w:type="dxa"/>
            <w:vAlign w:val="bottom"/>
            <w:tcBorders>
              <w:left w:val="single" w:sz="8" w:color="auto"/>
            </w:tcBorders>
            <w:shd w:val="clear" w:color="auto" w:fill="000000"/>
          </w:tcPr>
          <w:p>
            <w:pPr>
              <w:ind w:left="40"/>
              <w:spacing w:after="0"/>
              <w:rPr>
                <w:sz w:val="20"/>
                <w:szCs w:val="20"/>
                <w:color w:val="auto"/>
              </w:rPr>
            </w:pPr>
            <w:r>
              <w:rPr>
                <w:rFonts w:ascii="Arial" w:cs="Arial" w:eastAsia="Arial" w:hAnsi="Arial"/>
                <w:sz w:val="15"/>
                <w:szCs w:val="15"/>
                <w:i w:val="1"/>
                <w:iCs w:val="1"/>
                <w:color w:val="FFFFFF"/>
              </w:rPr>
              <w:t>share amounts</w:t>
            </w:r>
          </w:p>
        </w:tc>
        <w:tc>
          <w:tcPr>
            <w:tcW w:w="220" w:type="dxa"/>
            <w:vAlign w:val="bottom"/>
            <w:shd w:val="clear" w:color="auto" w:fill="000000"/>
          </w:tcPr>
          <w:p>
            <w:pPr>
              <w:spacing w:after="0"/>
              <w:rPr>
                <w:sz w:val="22"/>
                <w:szCs w:val="22"/>
                <w:color w:val="auto"/>
              </w:rPr>
            </w:pPr>
          </w:p>
        </w:tc>
        <w:tc>
          <w:tcPr>
            <w:tcW w:w="600" w:type="dxa"/>
            <w:vAlign w:val="bottom"/>
            <w:shd w:val="clear" w:color="auto" w:fill="000000"/>
          </w:tcPr>
          <w:p>
            <w:pPr>
              <w:jc w:val="center"/>
              <w:ind w:right="44"/>
              <w:spacing w:after="0"/>
              <w:rPr>
                <w:sz w:val="20"/>
                <w:szCs w:val="20"/>
                <w:color w:val="auto"/>
              </w:rPr>
            </w:pPr>
            <w:r>
              <w:rPr>
                <w:rFonts w:ascii="Arial" w:cs="Arial" w:eastAsia="Arial" w:hAnsi="Arial"/>
                <w:sz w:val="15"/>
                <w:szCs w:val="15"/>
                <w:color w:val="FFFFFF"/>
                <w:w w:val="99"/>
              </w:rPr>
              <w:t>Q3’24</w:t>
            </w:r>
          </w:p>
        </w:tc>
        <w:tc>
          <w:tcPr>
            <w:tcW w:w="220" w:type="dxa"/>
            <w:vAlign w:val="bottom"/>
            <w:shd w:val="clear" w:color="auto" w:fill="000000"/>
          </w:tcPr>
          <w:p>
            <w:pPr>
              <w:spacing w:after="0"/>
              <w:rPr>
                <w:sz w:val="22"/>
                <w:szCs w:val="22"/>
                <w:color w:val="auto"/>
              </w:rPr>
            </w:pPr>
          </w:p>
        </w:tc>
        <w:tc>
          <w:tcPr>
            <w:tcW w:w="580" w:type="dxa"/>
            <w:vAlign w:val="bottom"/>
            <w:shd w:val="clear" w:color="auto" w:fill="000000"/>
          </w:tcPr>
          <w:p>
            <w:pPr>
              <w:jc w:val="center"/>
              <w:ind w:right="24"/>
              <w:spacing w:after="0"/>
              <w:rPr>
                <w:sz w:val="20"/>
                <w:szCs w:val="20"/>
                <w:color w:val="auto"/>
              </w:rPr>
            </w:pPr>
            <w:r>
              <w:rPr>
                <w:rFonts w:ascii="Arial" w:cs="Arial" w:eastAsia="Arial" w:hAnsi="Arial"/>
                <w:sz w:val="15"/>
                <w:szCs w:val="15"/>
                <w:color w:val="FFFFFF"/>
                <w:w w:val="99"/>
              </w:rPr>
              <w:t>Q4’24</w:t>
            </w:r>
          </w:p>
        </w:tc>
        <w:tc>
          <w:tcPr>
            <w:tcW w:w="220" w:type="dxa"/>
            <w:vAlign w:val="bottom"/>
            <w:shd w:val="clear" w:color="auto" w:fill="000000"/>
          </w:tcPr>
          <w:p>
            <w:pPr>
              <w:spacing w:after="0"/>
              <w:rPr>
                <w:sz w:val="22"/>
                <w:szCs w:val="22"/>
                <w:color w:val="auto"/>
              </w:rPr>
            </w:pPr>
          </w:p>
        </w:tc>
        <w:tc>
          <w:tcPr>
            <w:tcW w:w="600" w:type="dxa"/>
            <w:vAlign w:val="bottom"/>
            <w:shd w:val="clear" w:color="auto" w:fill="000000"/>
          </w:tcPr>
          <w:p>
            <w:pPr>
              <w:jc w:val="center"/>
              <w:ind w:right="44"/>
              <w:spacing w:after="0"/>
              <w:rPr>
                <w:sz w:val="20"/>
                <w:szCs w:val="20"/>
                <w:color w:val="auto"/>
              </w:rPr>
            </w:pPr>
            <w:r>
              <w:rPr>
                <w:rFonts w:ascii="Arial" w:cs="Arial" w:eastAsia="Arial" w:hAnsi="Arial"/>
                <w:sz w:val="15"/>
                <w:szCs w:val="15"/>
                <w:color w:val="FFFFFF"/>
                <w:w w:val="99"/>
              </w:rPr>
              <w:t>Q1’25</w:t>
            </w:r>
          </w:p>
        </w:tc>
        <w:tc>
          <w:tcPr>
            <w:tcW w:w="80" w:type="dxa"/>
            <w:vAlign w:val="bottom"/>
            <w:shd w:val="clear" w:color="auto" w:fill="000000"/>
          </w:tcPr>
          <w:p>
            <w:pPr>
              <w:spacing w:after="0"/>
              <w:rPr>
                <w:sz w:val="22"/>
                <w:szCs w:val="22"/>
                <w:color w:val="auto"/>
              </w:rPr>
            </w:pPr>
          </w:p>
        </w:tc>
        <w:tc>
          <w:tcPr>
            <w:tcW w:w="140" w:type="dxa"/>
            <w:vAlign w:val="bottom"/>
            <w:shd w:val="clear" w:color="auto" w:fill="000000"/>
          </w:tcPr>
          <w:p>
            <w:pPr>
              <w:spacing w:after="0"/>
              <w:rPr>
                <w:sz w:val="22"/>
                <w:szCs w:val="22"/>
                <w:color w:val="auto"/>
              </w:rPr>
            </w:pPr>
          </w:p>
        </w:tc>
        <w:tc>
          <w:tcPr>
            <w:tcW w:w="580" w:type="dxa"/>
            <w:vAlign w:val="bottom"/>
            <w:shd w:val="clear" w:color="auto" w:fill="000000"/>
          </w:tcPr>
          <w:p>
            <w:pPr>
              <w:jc w:val="center"/>
              <w:ind w:right="24"/>
              <w:spacing w:after="0"/>
              <w:rPr>
                <w:sz w:val="20"/>
                <w:szCs w:val="20"/>
                <w:color w:val="auto"/>
              </w:rPr>
            </w:pPr>
            <w:r>
              <w:rPr>
                <w:rFonts w:ascii="Arial" w:cs="Arial" w:eastAsia="Arial" w:hAnsi="Arial"/>
                <w:sz w:val="15"/>
                <w:szCs w:val="15"/>
                <w:color w:val="FFFFFF"/>
                <w:w w:val="99"/>
              </w:rPr>
              <w:t>Q2’25</w:t>
            </w:r>
          </w:p>
        </w:tc>
        <w:tc>
          <w:tcPr>
            <w:tcW w:w="1400" w:type="dxa"/>
            <w:vAlign w:val="bottom"/>
            <w:gridSpan w:val="3"/>
            <w:shd w:val="clear" w:color="auto" w:fill="000000"/>
          </w:tcPr>
          <w:p>
            <w:pPr>
              <w:jc w:val="right"/>
              <w:ind w:right="160"/>
              <w:spacing w:after="0"/>
              <w:rPr>
                <w:sz w:val="20"/>
                <w:szCs w:val="20"/>
                <w:color w:val="auto"/>
              </w:rPr>
            </w:pPr>
            <w:r>
              <w:rPr>
                <w:rFonts w:ascii="Arial" w:cs="Arial" w:eastAsia="Arial" w:hAnsi="Arial"/>
                <w:sz w:val="15"/>
                <w:szCs w:val="15"/>
                <w:color w:val="FFFFFF"/>
              </w:rPr>
              <w:t>7/1/25 - 8/6/25</w:t>
            </w:r>
          </w:p>
        </w:tc>
        <w:tc>
          <w:tcPr>
            <w:tcW w:w="1500" w:type="dxa"/>
            <w:vAlign w:val="bottom"/>
            <w:gridSpan w:val="3"/>
            <w:shd w:val="clear" w:color="auto" w:fill="000000"/>
          </w:tcPr>
          <w:p>
            <w:pPr>
              <w:jc w:val="right"/>
              <w:ind w:right="160"/>
              <w:spacing w:after="0"/>
              <w:rPr>
                <w:sz w:val="20"/>
                <w:szCs w:val="20"/>
                <w:color w:val="auto"/>
              </w:rPr>
            </w:pPr>
            <w:r>
              <w:rPr>
                <w:rFonts w:ascii="Arial" w:cs="Arial" w:eastAsia="Arial" w:hAnsi="Arial"/>
                <w:sz w:val="15"/>
                <w:szCs w:val="15"/>
                <w:color w:val="FFFFFF"/>
              </w:rPr>
              <w:t>8/7/25 - 9/30/25</w:t>
            </w:r>
          </w:p>
        </w:tc>
        <w:tc>
          <w:tcPr>
            <w:tcW w:w="1540" w:type="dxa"/>
            <w:vAlign w:val="bottom"/>
            <w:shd w:val="clear" w:color="auto" w:fill="000000"/>
          </w:tcPr>
          <w:p>
            <w:pPr>
              <w:ind w:left="340"/>
              <w:spacing w:after="0"/>
              <w:rPr>
                <w:sz w:val="20"/>
                <w:szCs w:val="20"/>
                <w:color w:val="auto"/>
              </w:rPr>
            </w:pPr>
            <w:r>
              <w:rPr>
                <w:rFonts w:ascii="Arial" w:cs="Arial" w:eastAsia="Arial" w:hAnsi="Arial"/>
                <w:sz w:val="15"/>
                <w:szCs w:val="15"/>
                <w:color w:val="FFFFFF"/>
              </w:rPr>
              <w:t>Q4’25 Forecast</w:t>
            </w:r>
          </w:p>
        </w:tc>
        <w:tc>
          <w:tcPr>
            <w:tcW w:w="1620" w:type="dxa"/>
            <w:vAlign w:val="bottom"/>
            <w:tcBorders>
              <w:right w:val="single" w:sz="8" w:color="auto"/>
            </w:tcBorders>
            <w:gridSpan w:val="2"/>
            <w:shd w:val="clear" w:color="auto" w:fill="000000"/>
          </w:tcPr>
          <w:p>
            <w:pPr>
              <w:jc w:val="right"/>
              <w:ind w:right="204"/>
              <w:spacing w:after="0"/>
              <w:rPr>
                <w:sz w:val="20"/>
                <w:szCs w:val="20"/>
                <w:color w:val="auto"/>
              </w:rPr>
            </w:pPr>
            <w:r>
              <w:rPr>
                <w:rFonts w:ascii="Arial" w:cs="Arial" w:eastAsia="Arial" w:hAnsi="Arial"/>
                <w:sz w:val="15"/>
                <w:szCs w:val="15"/>
                <w:color w:val="FFFFFF"/>
              </w:rPr>
              <w:t>2026 Forecast</w:t>
            </w:r>
          </w:p>
        </w:tc>
        <w:tc>
          <w:tcPr>
            <w:tcW w:w="0" w:type="dxa"/>
            <w:vAlign w:val="bottom"/>
          </w:tcPr>
          <w:p>
            <w:pPr>
              <w:spacing w:after="0"/>
              <w:rPr>
                <w:sz w:val="1"/>
                <w:szCs w:val="1"/>
                <w:color w:val="auto"/>
              </w:rPr>
            </w:pPr>
          </w:p>
        </w:tc>
      </w:tr>
      <w:tr>
        <w:trPr>
          <w:trHeight w:val="100"/>
        </w:trPr>
        <w:tc>
          <w:tcPr>
            <w:tcW w:w="1960" w:type="dxa"/>
            <w:vAlign w:val="bottom"/>
            <w:tcBorders>
              <w:left w:val="single" w:sz="8" w:color="auto"/>
            </w:tcBorders>
            <w:shd w:val="clear" w:color="auto" w:fill="000000"/>
          </w:tcPr>
          <w:p>
            <w:pPr>
              <w:spacing w:after="0"/>
              <w:rPr>
                <w:sz w:val="8"/>
                <w:szCs w:val="8"/>
                <w:color w:val="auto"/>
              </w:rPr>
            </w:pPr>
          </w:p>
        </w:tc>
        <w:tc>
          <w:tcPr>
            <w:tcW w:w="220" w:type="dxa"/>
            <w:vAlign w:val="bottom"/>
            <w:shd w:val="clear" w:color="auto" w:fill="000000"/>
          </w:tcPr>
          <w:p>
            <w:pPr>
              <w:spacing w:after="0"/>
              <w:rPr>
                <w:sz w:val="8"/>
                <w:szCs w:val="8"/>
                <w:color w:val="auto"/>
              </w:rPr>
            </w:pPr>
          </w:p>
        </w:tc>
        <w:tc>
          <w:tcPr>
            <w:tcW w:w="600" w:type="dxa"/>
            <w:vAlign w:val="bottom"/>
            <w:shd w:val="clear" w:color="auto" w:fill="000000"/>
          </w:tcPr>
          <w:p>
            <w:pPr>
              <w:spacing w:after="0"/>
              <w:rPr>
                <w:sz w:val="8"/>
                <w:szCs w:val="8"/>
                <w:color w:val="auto"/>
              </w:rPr>
            </w:pPr>
          </w:p>
        </w:tc>
        <w:tc>
          <w:tcPr>
            <w:tcW w:w="220" w:type="dxa"/>
            <w:vAlign w:val="bottom"/>
            <w:shd w:val="clear" w:color="auto" w:fill="000000"/>
          </w:tcPr>
          <w:p>
            <w:pPr>
              <w:spacing w:after="0"/>
              <w:rPr>
                <w:sz w:val="8"/>
                <w:szCs w:val="8"/>
                <w:color w:val="auto"/>
              </w:rPr>
            </w:pPr>
          </w:p>
        </w:tc>
        <w:tc>
          <w:tcPr>
            <w:tcW w:w="580" w:type="dxa"/>
            <w:vAlign w:val="bottom"/>
            <w:shd w:val="clear" w:color="auto" w:fill="000000"/>
          </w:tcPr>
          <w:p>
            <w:pPr>
              <w:spacing w:after="0"/>
              <w:rPr>
                <w:sz w:val="8"/>
                <w:szCs w:val="8"/>
                <w:color w:val="auto"/>
              </w:rPr>
            </w:pPr>
          </w:p>
        </w:tc>
        <w:tc>
          <w:tcPr>
            <w:tcW w:w="220" w:type="dxa"/>
            <w:vAlign w:val="bottom"/>
            <w:shd w:val="clear" w:color="auto" w:fill="000000"/>
          </w:tcPr>
          <w:p>
            <w:pPr>
              <w:spacing w:after="0"/>
              <w:rPr>
                <w:sz w:val="8"/>
                <w:szCs w:val="8"/>
                <w:color w:val="auto"/>
              </w:rPr>
            </w:pPr>
          </w:p>
        </w:tc>
        <w:tc>
          <w:tcPr>
            <w:tcW w:w="600" w:type="dxa"/>
            <w:vAlign w:val="bottom"/>
            <w:shd w:val="clear" w:color="auto" w:fill="000000"/>
          </w:tcPr>
          <w:p>
            <w:pPr>
              <w:spacing w:after="0"/>
              <w:rPr>
                <w:sz w:val="8"/>
                <w:szCs w:val="8"/>
                <w:color w:val="auto"/>
              </w:rPr>
            </w:pPr>
          </w:p>
        </w:tc>
        <w:tc>
          <w:tcPr>
            <w:tcW w:w="80" w:type="dxa"/>
            <w:vAlign w:val="bottom"/>
            <w:shd w:val="clear" w:color="auto" w:fill="000000"/>
          </w:tcPr>
          <w:p>
            <w:pPr>
              <w:spacing w:after="0"/>
              <w:rPr>
                <w:sz w:val="8"/>
                <w:szCs w:val="8"/>
                <w:color w:val="auto"/>
              </w:rPr>
            </w:pPr>
          </w:p>
        </w:tc>
        <w:tc>
          <w:tcPr>
            <w:tcW w:w="140" w:type="dxa"/>
            <w:vAlign w:val="bottom"/>
            <w:shd w:val="clear" w:color="auto" w:fill="000000"/>
          </w:tcPr>
          <w:p>
            <w:pPr>
              <w:spacing w:after="0"/>
              <w:rPr>
                <w:sz w:val="8"/>
                <w:szCs w:val="8"/>
                <w:color w:val="auto"/>
              </w:rPr>
            </w:pPr>
          </w:p>
        </w:tc>
        <w:tc>
          <w:tcPr>
            <w:tcW w:w="580" w:type="dxa"/>
            <w:vAlign w:val="bottom"/>
            <w:shd w:val="clear" w:color="auto" w:fill="000000"/>
          </w:tcPr>
          <w:p>
            <w:pPr>
              <w:spacing w:after="0"/>
              <w:rPr>
                <w:sz w:val="8"/>
                <w:szCs w:val="8"/>
                <w:color w:val="auto"/>
              </w:rPr>
            </w:pPr>
          </w:p>
        </w:tc>
        <w:tc>
          <w:tcPr>
            <w:tcW w:w="500" w:type="dxa"/>
            <w:vAlign w:val="bottom"/>
            <w:shd w:val="clear" w:color="auto" w:fill="000000"/>
          </w:tcPr>
          <w:p>
            <w:pPr>
              <w:spacing w:after="0"/>
              <w:rPr>
                <w:sz w:val="8"/>
                <w:szCs w:val="8"/>
                <w:color w:val="auto"/>
              </w:rPr>
            </w:pPr>
          </w:p>
        </w:tc>
        <w:tc>
          <w:tcPr>
            <w:tcW w:w="620" w:type="dxa"/>
            <w:vAlign w:val="bottom"/>
            <w:shd w:val="clear" w:color="auto" w:fill="000000"/>
          </w:tcPr>
          <w:p>
            <w:pPr>
              <w:spacing w:after="0"/>
              <w:rPr>
                <w:sz w:val="8"/>
                <w:szCs w:val="8"/>
                <w:color w:val="auto"/>
              </w:rPr>
            </w:pPr>
          </w:p>
        </w:tc>
        <w:tc>
          <w:tcPr>
            <w:tcW w:w="280" w:type="dxa"/>
            <w:vAlign w:val="bottom"/>
            <w:shd w:val="clear" w:color="auto" w:fill="000000"/>
          </w:tcPr>
          <w:p>
            <w:pPr>
              <w:spacing w:after="0"/>
              <w:rPr>
                <w:sz w:val="8"/>
                <w:szCs w:val="8"/>
                <w:color w:val="auto"/>
              </w:rPr>
            </w:pPr>
          </w:p>
        </w:tc>
        <w:tc>
          <w:tcPr>
            <w:tcW w:w="540" w:type="dxa"/>
            <w:vAlign w:val="bottom"/>
            <w:shd w:val="clear" w:color="auto" w:fill="000000"/>
          </w:tcPr>
          <w:p>
            <w:pPr>
              <w:spacing w:after="0"/>
              <w:rPr>
                <w:sz w:val="8"/>
                <w:szCs w:val="8"/>
                <w:color w:val="auto"/>
              </w:rPr>
            </w:pPr>
          </w:p>
        </w:tc>
        <w:tc>
          <w:tcPr>
            <w:tcW w:w="640" w:type="dxa"/>
            <w:vAlign w:val="bottom"/>
            <w:shd w:val="clear" w:color="auto" w:fill="000000"/>
          </w:tcPr>
          <w:p>
            <w:pPr>
              <w:spacing w:after="0"/>
              <w:rPr>
                <w:sz w:val="8"/>
                <w:szCs w:val="8"/>
                <w:color w:val="auto"/>
              </w:rPr>
            </w:pPr>
          </w:p>
        </w:tc>
        <w:tc>
          <w:tcPr>
            <w:tcW w:w="320" w:type="dxa"/>
            <w:vAlign w:val="bottom"/>
            <w:shd w:val="clear" w:color="auto" w:fill="000000"/>
          </w:tcPr>
          <w:p>
            <w:pPr>
              <w:spacing w:after="0"/>
              <w:rPr>
                <w:sz w:val="8"/>
                <w:szCs w:val="8"/>
                <w:color w:val="auto"/>
              </w:rPr>
            </w:pPr>
          </w:p>
        </w:tc>
        <w:tc>
          <w:tcPr>
            <w:tcW w:w="1540" w:type="dxa"/>
            <w:vAlign w:val="bottom"/>
            <w:shd w:val="clear" w:color="auto" w:fill="000000"/>
          </w:tcPr>
          <w:p>
            <w:pPr>
              <w:spacing w:after="0"/>
              <w:rPr>
                <w:sz w:val="8"/>
                <w:szCs w:val="8"/>
                <w:color w:val="auto"/>
              </w:rPr>
            </w:pPr>
          </w:p>
        </w:tc>
        <w:tc>
          <w:tcPr>
            <w:tcW w:w="560" w:type="dxa"/>
            <w:vAlign w:val="bottom"/>
            <w:shd w:val="clear" w:color="auto" w:fill="000000"/>
          </w:tcPr>
          <w:p>
            <w:pPr>
              <w:spacing w:after="0"/>
              <w:rPr>
                <w:sz w:val="8"/>
                <w:szCs w:val="8"/>
                <w:color w:val="auto"/>
              </w:rPr>
            </w:pPr>
          </w:p>
        </w:tc>
        <w:tc>
          <w:tcPr>
            <w:tcW w:w="1060" w:type="dxa"/>
            <w:vAlign w:val="bottom"/>
            <w:tcBorders>
              <w:right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960" w:type="dxa"/>
            <w:vAlign w:val="bottom"/>
            <w:tcBorders>
              <w:left w:val="single" w:sz="8" w:color="auto"/>
            </w:tcBorders>
          </w:tcPr>
          <w:p>
            <w:pPr>
              <w:ind w:left="140"/>
              <w:spacing w:after="0"/>
              <w:rPr>
                <w:sz w:val="20"/>
                <w:szCs w:val="20"/>
                <w:color w:val="auto"/>
              </w:rPr>
            </w:pPr>
            <w:r>
              <w:rPr>
                <w:rFonts w:ascii="Arial" w:cs="Arial" w:eastAsia="Arial" w:hAnsi="Arial"/>
                <w:sz w:val="15"/>
                <w:szCs w:val="15"/>
                <w:color w:val="auto"/>
              </w:rPr>
              <w:t>Direct-to-Consumer</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4"/>
              <w:spacing w:after="0"/>
              <w:rPr>
                <w:sz w:val="20"/>
                <w:szCs w:val="20"/>
                <w:color w:val="auto"/>
              </w:rPr>
            </w:pPr>
            <w:r>
              <w:rPr>
                <w:rFonts w:ascii="Arial" w:cs="Arial" w:eastAsia="Arial" w:hAnsi="Arial"/>
                <w:sz w:val="15"/>
                <w:szCs w:val="15"/>
                <w:color w:val="auto"/>
              </w:rPr>
              <w:t>1,860</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2,013</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4"/>
              <w:spacing w:after="0"/>
              <w:rPr>
                <w:sz w:val="20"/>
                <w:szCs w:val="20"/>
                <w:color w:val="auto"/>
              </w:rPr>
            </w:pPr>
            <w:r>
              <w:rPr>
                <w:rFonts w:ascii="Arial" w:cs="Arial" w:eastAsia="Arial" w:hAnsi="Arial"/>
                <w:sz w:val="15"/>
                <w:szCs w:val="15"/>
                <w:color w:val="auto"/>
              </w:rPr>
              <w:t>2,044</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2,160</w:t>
            </w: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883</w:t>
            </w:r>
          </w:p>
        </w:tc>
        <w:tc>
          <w:tcPr>
            <w:tcW w:w="280" w:type="dxa"/>
            <w:vAlign w:val="bottom"/>
          </w:tcPr>
          <w:p>
            <w:pPr>
              <w:spacing w:after="0"/>
              <w:rPr>
                <w:sz w:val="18"/>
                <w:szCs w:val="18"/>
                <w:color w:val="auto"/>
              </w:rPr>
            </w:pPr>
          </w:p>
        </w:tc>
        <w:tc>
          <w:tcPr>
            <w:tcW w:w="540" w:type="dxa"/>
            <w:vAlign w:val="bottom"/>
          </w:tcPr>
          <w:p>
            <w:pPr>
              <w:ind w:left="440"/>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1,284</w:t>
            </w:r>
          </w:p>
        </w:tc>
        <w:tc>
          <w:tcPr>
            <w:tcW w:w="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960" w:type="dxa"/>
            <w:vAlign w:val="bottom"/>
            <w:tcBorders>
              <w:left w:val="single" w:sz="8" w:color="auto"/>
            </w:tcBorders>
          </w:tcPr>
          <w:p>
            <w:pPr>
              <w:ind w:left="260"/>
              <w:spacing w:after="0"/>
              <w:rPr>
                <w:sz w:val="20"/>
                <w:szCs w:val="20"/>
                <w:color w:val="auto"/>
              </w:rPr>
            </w:pPr>
            <w:r>
              <w:rPr>
                <w:rFonts w:ascii="Arial" w:cs="Arial" w:eastAsia="Arial" w:hAnsi="Arial"/>
                <w:sz w:val="15"/>
                <w:szCs w:val="15"/>
                <w:i w:val="1"/>
                <w:iCs w:val="1"/>
                <w:color w:val="auto"/>
              </w:rPr>
              <w:t>Y/Y Growth (%)</w:t>
            </w:r>
          </w:p>
        </w:tc>
        <w:tc>
          <w:tcPr>
            <w:tcW w:w="220" w:type="dxa"/>
            <w:vAlign w:val="bottom"/>
          </w:tcPr>
          <w:p>
            <w:pPr>
              <w:spacing w:after="0"/>
              <w:rPr>
                <w:sz w:val="21"/>
                <w:szCs w:val="21"/>
                <w:color w:val="auto"/>
              </w:rPr>
            </w:pPr>
          </w:p>
        </w:tc>
        <w:tc>
          <w:tcPr>
            <w:tcW w:w="600" w:type="dxa"/>
            <w:vAlign w:val="bottom"/>
          </w:tcPr>
          <w:p>
            <w:pPr>
              <w:jc w:val="center"/>
              <w:ind w:right="44"/>
              <w:spacing w:after="0"/>
              <w:rPr>
                <w:sz w:val="20"/>
                <w:szCs w:val="20"/>
                <w:color w:val="auto"/>
              </w:rPr>
            </w:pPr>
            <w:r>
              <w:rPr>
                <w:rFonts w:ascii="Arial" w:cs="Arial" w:eastAsia="Arial" w:hAnsi="Arial"/>
                <w:sz w:val="15"/>
                <w:szCs w:val="15"/>
                <w:i w:val="1"/>
                <w:iCs w:val="1"/>
                <w:color w:val="auto"/>
              </w:rPr>
              <w:t>10%</w:t>
            </w:r>
          </w:p>
        </w:tc>
        <w:tc>
          <w:tcPr>
            <w:tcW w:w="220" w:type="dxa"/>
            <w:vAlign w:val="bottom"/>
          </w:tcPr>
          <w:p>
            <w:pPr>
              <w:spacing w:after="0"/>
              <w:rPr>
                <w:sz w:val="21"/>
                <w:szCs w:val="21"/>
                <w:color w:val="auto"/>
              </w:rPr>
            </w:pPr>
          </w:p>
        </w:tc>
        <w:tc>
          <w:tcPr>
            <w:tcW w:w="580" w:type="dxa"/>
            <w:vAlign w:val="bottom"/>
          </w:tcPr>
          <w:p>
            <w:pPr>
              <w:jc w:val="center"/>
              <w:ind w:right="44"/>
              <w:spacing w:after="0"/>
              <w:rPr>
                <w:sz w:val="20"/>
                <w:szCs w:val="20"/>
                <w:color w:val="auto"/>
              </w:rPr>
            </w:pPr>
            <w:r>
              <w:rPr>
                <w:rFonts w:ascii="Arial" w:cs="Arial" w:eastAsia="Arial" w:hAnsi="Arial"/>
                <w:sz w:val="15"/>
                <w:szCs w:val="15"/>
                <w:i w:val="1"/>
                <w:iCs w:val="1"/>
                <w:color w:val="auto"/>
              </w:rPr>
              <w:t>8%</w:t>
            </w:r>
          </w:p>
        </w:tc>
        <w:tc>
          <w:tcPr>
            <w:tcW w:w="220" w:type="dxa"/>
            <w:vAlign w:val="bottom"/>
          </w:tcPr>
          <w:p>
            <w:pPr>
              <w:spacing w:after="0"/>
              <w:rPr>
                <w:sz w:val="21"/>
                <w:szCs w:val="21"/>
                <w:color w:val="auto"/>
              </w:rPr>
            </w:pPr>
          </w:p>
        </w:tc>
        <w:tc>
          <w:tcPr>
            <w:tcW w:w="600" w:type="dxa"/>
            <w:vAlign w:val="bottom"/>
          </w:tcPr>
          <w:p>
            <w:pPr>
              <w:jc w:val="center"/>
              <w:ind w:right="64"/>
              <w:spacing w:after="0"/>
              <w:rPr>
                <w:sz w:val="20"/>
                <w:szCs w:val="20"/>
                <w:color w:val="auto"/>
              </w:rPr>
            </w:pPr>
            <w:r>
              <w:rPr>
                <w:rFonts w:ascii="Arial" w:cs="Arial" w:eastAsia="Arial" w:hAnsi="Arial"/>
                <w:sz w:val="15"/>
                <w:szCs w:val="15"/>
                <w:i w:val="1"/>
                <w:iCs w:val="1"/>
                <w:color w:val="auto"/>
              </w:rPr>
              <w:t>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center"/>
              <w:ind w:right="44"/>
              <w:spacing w:after="0"/>
              <w:rPr>
                <w:sz w:val="20"/>
                <w:szCs w:val="20"/>
                <w:color w:val="auto"/>
              </w:rPr>
            </w:pPr>
            <w:r>
              <w:rPr>
                <w:rFonts w:ascii="Arial" w:cs="Arial" w:eastAsia="Arial" w:hAnsi="Arial"/>
                <w:sz w:val="15"/>
                <w:szCs w:val="15"/>
                <w:i w:val="1"/>
                <w:iCs w:val="1"/>
                <w:color w:val="auto"/>
                <w:w w:val="99"/>
              </w:rPr>
              <w:t>15%</w:t>
            </w: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60" w:type="dxa"/>
            <w:vAlign w:val="bottom"/>
            <w:tcBorders>
              <w:left w:val="single" w:sz="8" w:color="auto"/>
            </w:tcBorders>
          </w:tcPr>
          <w:p>
            <w:pPr>
              <w:ind w:left="140"/>
              <w:spacing w:after="0"/>
              <w:rPr>
                <w:sz w:val="20"/>
                <w:szCs w:val="20"/>
                <w:color w:val="auto"/>
              </w:rPr>
            </w:pPr>
            <w:r>
              <w:rPr>
                <w:rFonts w:ascii="Arial" w:cs="Arial" w:eastAsia="Arial" w:hAnsi="Arial"/>
                <w:sz w:val="15"/>
                <w:szCs w:val="15"/>
                <w:color w:val="auto"/>
              </w:rPr>
              <w:t>TV Media</w:t>
            </w:r>
          </w:p>
        </w:tc>
        <w:tc>
          <w:tcPr>
            <w:tcW w:w="220" w:type="dxa"/>
            <w:vAlign w:val="bottom"/>
          </w:tcPr>
          <w:p>
            <w:pPr>
              <w:spacing w:after="0"/>
              <w:rPr>
                <w:sz w:val="21"/>
                <w:szCs w:val="21"/>
                <w:color w:val="auto"/>
              </w:rPr>
            </w:pPr>
          </w:p>
        </w:tc>
        <w:tc>
          <w:tcPr>
            <w:tcW w:w="600" w:type="dxa"/>
            <w:vAlign w:val="bottom"/>
          </w:tcPr>
          <w:p>
            <w:pPr>
              <w:jc w:val="right"/>
              <w:ind w:right="4"/>
              <w:spacing w:after="0"/>
              <w:rPr>
                <w:sz w:val="20"/>
                <w:szCs w:val="20"/>
                <w:color w:val="auto"/>
              </w:rPr>
            </w:pPr>
            <w:r>
              <w:rPr>
                <w:rFonts w:ascii="Arial" w:cs="Arial" w:eastAsia="Arial" w:hAnsi="Arial"/>
                <w:sz w:val="15"/>
                <w:szCs w:val="15"/>
                <w:color w:val="auto"/>
              </w:rPr>
              <w:t>4,298</w:t>
            </w: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4,979</w:t>
            </w:r>
          </w:p>
        </w:tc>
        <w:tc>
          <w:tcPr>
            <w:tcW w:w="220" w:type="dxa"/>
            <w:vAlign w:val="bottom"/>
          </w:tcPr>
          <w:p>
            <w:pPr>
              <w:spacing w:after="0"/>
              <w:rPr>
                <w:sz w:val="21"/>
                <w:szCs w:val="21"/>
                <w:color w:val="auto"/>
              </w:rPr>
            </w:pPr>
          </w:p>
        </w:tc>
        <w:tc>
          <w:tcPr>
            <w:tcW w:w="600" w:type="dxa"/>
            <w:vAlign w:val="bottom"/>
          </w:tcPr>
          <w:p>
            <w:pPr>
              <w:jc w:val="right"/>
              <w:ind w:right="4"/>
              <w:spacing w:after="0"/>
              <w:rPr>
                <w:sz w:val="20"/>
                <w:szCs w:val="20"/>
                <w:color w:val="auto"/>
              </w:rPr>
            </w:pPr>
            <w:r>
              <w:rPr>
                <w:rFonts w:ascii="Arial" w:cs="Arial" w:eastAsia="Arial" w:hAnsi="Arial"/>
                <w:sz w:val="15"/>
                <w:szCs w:val="15"/>
                <w:color w:val="auto"/>
              </w:rPr>
              <w:t>4,538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4,011</w:t>
            </w:r>
          </w:p>
        </w:tc>
        <w:tc>
          <w:tcPr>
            <w:tcW w:w="5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1,428</w:t>
            </w: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2,368</w:t>
            </w:r>
          </w:p>
        </w:tc>
        <w:tc>
          <w:tcPr>
            <w:tcW w:w="3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60" w:type="dxa"/>
            <w:vAlign w:val="bottom"/>
            <w:tcBorders>
              <w:left w:val="single" w:sz="8" w:color="auto"/>
            </w:tcBorders>
          </w:tcPr>
          <w:p>
            <w:pPr>
              <w:ind w:left="260"/>
              <w:spacing w:after="0"/>
              <w:rPr>
                <w:sz w:val="20"/>
                <w:szCs w:val="20"/>
                <w:color w:val="auto"/>
              </w:rPr>
            </w:pPr>
            <w:r>
              <w:rPr>
                <w:rFonts w:ascii="Arial" w:cs="Arial" w:eastAsia="Arial" w:hAnsi="Arial"/>
                <w:sz w:val="15"/>
                <w:szCs w:val="15"/>
                <w:i w:val="1"/>
                <w:iCs w:val="1"/>
                <w:color w:val="auto"/>
              </w:rPr>
              <w:t>Y/Y Growth (%)</w:t>
            </w:r>
          </w:p>
        </w:tc>
        <w:tc>
          <w:tcPr>
            <w:tcW w:w="220" w:type="dxa"/>
            <w:vAlign w:val="bottom"/>
          </w:tcPr>
          <w:p>
            <w:pPr>
              <w:spacing w:after="0"/>
              <w:rPr>
                <w:sz w:val="21"/>
                <w:szCs w:val="21"/>
                <w:color w:val="auto"/>
              </w:rPr>
            </w:pPr>
          </w:p>
        </w:tc>
        <w:tc>
          <w:tcPr>
            <w:tcW w:w="600" w:type="dxa"/>
            <w:vAlign w:val="bottom"/>
          </w:tcPr>
          <w:p>
            <w:pPr>
              <w:jc w:val="center"/>
              <w:ind w:right="44"/>
              <w:spacing w:after="0"/>
              <w:rPr>
                <w:sz w:val="20"/>
                <w:szCs w:val="20"/>
                <w:color w:val="auto"/>
              </w:rPr>
            </w:pPr>
            <w:r>
              <w:rPr>
                <w:rFonts w:ascii="Arial" w:cs="Arial" w:eastAsia="Arial" w:hAnsi="Arial"/>
                <w:sz w:val="15"/>
                <w:szCs w:val="15"/>
                <w:i w:val="1"/>
                <w:iCs w:val="1"/>
                <w:color w:val="auto"/>
              </w:rPr>
              <w:t>(6)%</w:t>
            </w:r>
          </w:p>
        </w:tc>
        <w:tc>
          <w:tcPr>
            <w:tcW w:w="220" w:type="dxa"/>
            <w:vAlign w:val="bottom"/>
          </w:tcPr>
          <w:p>
            <w:pPr>
              <w:spacing w:after="0"/>
              <w:rPr>
                <w:sz w:val="21"/>
                <w:szCs w:val="21"/>
                <w:color w:val="auto"/>
              </w:rPr>
            </w:pPr>
          </w:p>
        </w:tc>
        <w:tc>
          <w:tcPr>
            <w:tcW w:w="580" w:type="dxa"/>
            <w:vAlign w:val="bottom"/>
          </w:tcPr>
          <w:p>
            <w:pPr>
              <w:jc w:val="center"/>
              <w:ind w:right="64"/>
              <w:spacing w:after="0"/>
              <w:rPr>
                <w:sz w:val="20"/>
                <w:szCs w:val="20"/>
                <w:color w:val="auto"/>
              </w:rPr>
            </w:pPr>
            <w:r>
              <w:rPr>
                <w:rFonts w:ascii="Arial" w:cs="Arial" w:eastAsia="Arial" w:hAnsi="Arial"/>
                <w:sz w:val="15"/>
                <w:szCs w:val="15"/>
                <w:i w:val="1"/>
                <w:iCs w:val="1"/>
                <w:color w:val="auto"/>
              </w:rPr>
              <w:t>(4)%</w:t>
            </w:r>
          </w:p>
        </w:tc>
        <w:tc>
          <w:tcPr>
            <w:tcW w:w="220" w:type="dxa"/>
            <w:vAlign w:val="bottom"/>
          </w:tcPr>
          <w:p>
            <w:pPr>
              <w:spacing w:after="0"/>
              <w:rPr>
                <w:sz w:val="21"/>
                <w:szCs w:val="21"/>
                <w:color w:val="auto"/>
              </w:rPr>
            </w:pPr>
          </w:p>
        </w:tc>
        <w:tc>
          <w:tcPr>
            <w:tcW w:w="600" w:type="dxa"/>
            <w:vAlign w:val="bottom"/>
          </w:tcPr>
          <w:p>
            <w:pPr>
              <w:jc w:val="center"/>
              <w:ind w:right="44"/>
              <w:spacing w:after="0"/>
              <w:rPr>
                <w:sz w:val="20"/>
                <w:szCs w:val="20"/>
                <w:color w:val="auto"/>
              </w:rPr>
            </w:pPr>
            <w:r>
              <w:rPr>
                <w:rFonts w:ascii="Arial" w:cs="Arial" w:eastAsia="Arial" w:hAnsi="Arial"/>
                <w:sz w:val="15"/>
                <w:szCs w:val="15"/>
                <w:i w:val="1"/>
                <w:iCs w:val="1"/>
                <w:color w:val="auto"/>
                <w:w w:val="99"/>
              </w:rPr>
              <w:t>(13)%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center"/>
              <w:ind w:right="64"/>
              <w:spacing w:after="0"/>
              <w:rPr>
                <w:sz w:val="20"/>
                <w:szCs w:val="20"/>
                <w:color w:val="auto"/>
              </w:rPr>
            </w:pPr>
            <w:r>
              <w:rPr>
                <w:rFonts w:ascii="Arial" w:cs="Arial" w:eastAsia="Arial" w:hAnsi="Arial"/>
                <w:sz w:val="15"/>
                <w:szCs w:val="15"/>
                <w:i w:val="1"/>
                <w:iCs w:val="1"/>
                <w:color w:val="auto"/>
              </w:rPr>
              <w:t>(6)%</w:t>
            </w: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60" w:type="dxa"/>
            <w:vAlign w:val="bottom"/>
            <w:tcBorders>
              <w:left w:val="single" w:sz="8" w:color="auto"/>
            </w:tcBorders>
          </w:tcPr>
          <w:p>
            <w:pPr>
              <w:ind w:left="140"/>
              <w:spacing w:after="0"/>
              <w:rPr>
                <w:sz w:val="20"/>
                <w:szCs w:val="20"/>
                <w:color w:val="auto"/>
              </w:rPr>
            </w:pPr>
            <w:r>
              <w:rPr>
                <w:rFonts w:ascii="Arial" w:cs="Arial" w:eastAsia="Arial" w:hAnsi="Arial"/>
                <w:sz w:val="15"/>
                <w:szCs w:val="15"/>
                <w:color w:val="auto"/>
              </w:rPr>
              <w:t>Filmed Entertainment</w:t>
            </w:r>
          </w:p>
        </w:tc>
        <w:tc>
          <w:tcPr>
            <w:tcW w:w="220" w:type="dxa"/>
            <w:vAlign w:val="bottom"/>
          </w:tcPr>
          <w:p>
            <w:pPr>
              <w:spacing w:after="0"/>
              <w:rPr>
                <w:sz w:val="21"/>
                <w:szCs w:val="21"/>
                <w:color w:val="auto"/>
              </w:rPr>
            </w:pPr>
          </w:p>
        </w:tc>
        <w:tc>
          <w:tcPr>
            <w:tcW w:w="600" w:type="dxa"/>
            <w:vAlign w:val="bottom"/>
          </w:tcPr>
          <w:p>
            <w:pPr>
              <w:jc w:val="right"/>
              <w:ind w:right="4"/>
              <w:spacing w:after="0"/>
              <w:rPr>
                <w:sz w:val="20"/>
                <w:szCs w:val="20"/>
                <w:color w:val="auto"/>
              </w:rPr>
            </w:pPr>
            <w:r>
              <w:rPr>
                <w:rFonts w:ascii="Arial" w:cs="Arial" w:eastAsia="Arial" w:hAnsi="Arial"/>
                <w:sz w:val="15"/>
                <w:szCs w:val="15"/>
                <w:color w:val="auto"/>
              </w:rPr>
              <w:t>590</w:t>
            </w: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1,081</w:t>
            </w:r>
          </w:p>
        </w:tc>
        <w:tc>
          <w:tcPr>
            <w:tcW w:w="220" w:type="dxa"/>
            <w:vAlign w:val="bottom"/>
          </w:tcPr>
          <w:p>
            <w:pPr>
              <w:spacing w:after="0"/>
              <w:rPr>
                <w:sz w:val="21"/>
                <w:szCs w:val="21"/>
                <w:color w:val="auto"/>
              </w:rPr>
            </w:pPr>
          </w:p>
        </w:tc>
        <w:tc>
          <w:tcPr>
            <w:tcW w:w="600" w:type="dxa"/>
            <w:vAlign w:val="bottom"/>
          </w:tcPr>
          <w:p>
            <w:pPr>
              <w:jc w:val="right"/>
              <w:ind w:right="4"/>
              <w:spacing w:after="0"/>
              <w:rPr>
                <w:sz w:val="20"/>
                <w:szCs w:val="20"/>
                <w:color w:val="auto"/>
              </w:rPr>
            </w:pPr>
            <w:r>
              <w:rPr>
                <w:rFonts w:ascii="Arial" w:cs="Arial" w:eastAsia="Arial" w:hAnsi="Arial"/>
                <w:sz w:val="15"/>
                <w:szCs w:val="15"/>
                <w:color w:val="auto"/>
              </w:rPr>
              <w:t>627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690</w:t>
            </w:r>
          </w:p>
        </w:tc>
        <w:tc>
          <w:tcPr>
            <w:tcW w:w="5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276</w:t>
            </w: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480</w:t>
            </w:r>
          </w:p>
        </w:tc>
        <w:tc>
          <w:tcPr>
            <w:tcW w:w="3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60" w:type="dxa"/>
            <w:vAlign w:val="bottom"/>
            <w:tcBorders>
              <w:left w:val="single" w:sz="8" w:color="auto"/>
            </w:tcBorders>
          </w:tcPr>
          <w:p>
            <w:pPr>
              <w:ind w:left="260"/>
              <w:spacing w:after="0"/>
              <w:rPr>
                <w:sz w:val="20"/>
                <w:szCs w:val="20"/>
                <w:color w:val="auto"/>
              </w:rPr>
            </w:pPr>
            <w:r>
              <w:rPr>
                <w:rFonts w:ascii="Arial" w:cs="Arial" w:eastAsia="Arial" w:hAnsi="Arial"/>
                <w:sz w:val="15"/>
                <w:szCs w:val="15"/>
                <w:i w:val="1"/>
                <w:iCs w:val="1"/>
                <w:color w:val="auto"/>
              </w:rPr>
              <w:t>Y/Y Growth (%)</w:t>
            </w:r>
          </w:p>
        </w:tc>
        <w:tc>
          <w:tcPr>
            <w:tcW w:w="220" w:type="dxa"/>
            <w:vAlign w:val="bottom"/>
          </w:tcPr>
          <w:p>
            <w:pPr>
              <w:spacing w:after="0"/>
              <w:rPr>
                <w:sz w:val="21"/>
                <w:szCs w:val="21"/>
                <w:color w:val="auto"/>
              </w:rPr>
            </w:pPr>
          </w:p>
        </w:tc>
        <w:tc>
          <w:tcPr>
            <w:tcW w:w="600" w:type="dxa"/>
            <w:vAlign w:val="bottom"/>
          </w:tcPr>
          <w:p>
            <w:pPr>
              <w:jc w:val="center"/>
              <w:ind w:right="44"/>
              <w:spacing w:after="0"/>
              <w:rPr>
                <w:sz w:val="20"/>
                <w:szCs w:val="20"/>
                <w:color w:val="auto"/>
              </w:rPr>
            </w:pPr>
            <w:r>
              <w:rPr>
                <w:rFonts w:ascii="Arial" w:cs="Arial" w:eastAsia="Arial" w:hAnsi="Arial"/>
                <w:sz w:val="15"/>
                <w:szCs w:val="15"/>
                <w:i w:val="1"/>
                <w:iCs w:val="1"/>
                <w:color w:val="auto"/>
                <w:w w:val="99"/>
              </w:rPr>
              <w:t>(34)%</w:t>
            </w:r>
          </w:p>
        </w:tc>
        <w:tc>
          <w:tcPr>
            <w:tcW w:w="220" w:type="dxa"/>
            <w:vAlign w:val="bottom"/>
          </w:tcPr>
          <w:p>
            <w:pPr>
              <w:spacing w:after="0"/>
              <w:rPr>
                <w:sz w:val="21"/>
                <w:szCs w:val="21"/>
                <w:color w:val="auto"/>
              </w:rPr>
            </w:pPr>
          </w:p>
        </w:tc>
        <w:tc>
          <w:tcPr>
            <w:tcW w:w="580" w:type="dxa"/>
            <w:vAlign w:val="bottom"/>
          </w:tcPr>
          <w:p>
            <w:pPr>
              <w:jc w:val="center"/>
              <w:ind w:right="44"/>
              <w:spacing w:after="0"/>
              <w:rPr>
                <w:sz w:val="20"/>
                <w:szCs w:val="20"/>
                <w:color w:val="auto"/>
              </w:rPr>
            </w:pPr>
            <w:r>
              <w:rPr>
                <w:rFonts w:ascii="Arial" w:cs="Arial" w:eastAsia="Arial" w:hAnsi="Arial"/>
                <w:sz w:val="15"/>
                <w:szCs w:val="15"/>
                <w:i w:val="1"/>
                <w:iCs w:val="1"/>
                <w:color w:val="auto"/>
                <w:w w:val="99"/>
              </w:rPr>
              <w:t>67%</w:t>
            </w:r>
          </w:p>
        </w:tc>
        <w:tc>
          <w:tcPr>
            <w:tcW w:w="220" w:type="dxa"/>
            <w:vAlign w:val="bottom"/>
          </w:tcPr>
          <w:p>
            <w:pPr>
              <w:spacing w:after="0"/>
              <w:rPr>
                <w:sz w:val="21"/>
                <w:szCs w:val="21"/>
                <w:color w:val="auto"/>
              </w:rPr>
            </w:pPr>
          </w:p>
        </w:tc>
        <w:tc>
          <w:tcPr>
            <w:tcW w:w="600" w:type="dxa"/>
            <w:vAlign w:val="bottom"/>
          </w:tcPr>
          <w:p>
            <w:pPr>
              <w:jc w:val="center"/>
              <w:ind w:right="64"/>
              <w:spacing w:after="0"/>
              <w:rPr>
                <w:sz w:val="20"/>
                <w:szCs w:val="20"/>
                <w:color w:val="auto"/>
              </w:rPr>
            </w:pPr>
            <w:r>
              <w:rPr>
                <w:rFonts w:ascii="Arial" w:cs="Arial" w:eastAsia="Arial" w:hAnsi="Arial"/>
                <w:sz w:val="15"/>
                <w:szCs w:val="15"/>
                <w:i w:val="1"/>
                <w:iCs w:val="1"/>
                <w:color w:val="auto"/>
              </w:rPr>
              <w:t>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center"/>
              <w:ind w:right="44"/>
              <w:spacing w:after="0"/>
              <w:rPr>
                <w:sz w:val="20"/>
                <w:szCs w:val="20"/>
                <w:color w:val="auto"/>
              </w:rPr>
            </w:pPr>
            <w:r>
              <w:rPr>
                <w:rFonts w:ascii="Arial" w:cs="Arial" w:eastAsia="Arial" w:hAnsi="Arial"/>
                <w:sz w:val="15"/>
                <w:szCs w:val="15"/>
                <w:i w:val="1"/>
                <w:iCs w:val="1"/>
                <w:color w:val="auto"/>
              </w:rPr>
              <w:t>2%</w:t>
            </w: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60" w:type="dxa"/>
            <w:vAlign w:val="bottom"/>
            <w:tcBorders>
              <w:left w:val="single" w:sz="8" w:color="auto"/>
            </w:tcBorders>
          </w:tcPr>
          <w:p>
            <w:pPr>
              <w:ind w:left="40"/>
              <w:spacing w:after="0"/>
              <w:rPr>
                <w:sz w:val="20"/>
                <w:szCs w:val="20"/>
                <w:color w:val="auto"/>
              </w:rPr>
            </w:pPr>
            <w:r>
              <w:rPr>
                <w:rFonts w:ascii="Arial" w:cs="Arial" w:eastAsia="Arial" w:hAnsi="Arial"/>
                <w:sz w:val="15"/>
                <w:szCs w:val="15"/>
                <w:color w:val="auto"/>
              </w:rPr>
              <w:t>Eliminations</w:t>
            </w: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(17)</w:t>
            </w: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(89)</w:t>
            </w: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(12)</w:t>
            </w:r>
          </w:p>
        </w:tc>
        <w:tc>
          <w:tcPr>
            <w:tcW w:w="5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(6)</w:t>
            </w: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(11)</w:t>
            </w:r>
          </w:p>
        </w:tc>
        <w:tc>
          <w:tcPr>
            <w:tcW w:w="3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1960" w:type="dxa"/>
            <w:vAlign w:val="bottom"/>
            <w:tcBorders>
              <w:left w:val="single" w:sz="8" w:color="auto"/>
            </w:tcBorders>
          </w:tcPr>
          <w:p>
            <w:pPr>
              <w:ind w:left="40"/>
              <w:spacing w:after="0"/>
              <w:rPr>
                <w:sz w:val="20"/>
                <w:szCs w:val="20"/>
                <w:color w:val="auto"/>
              </w:rPr>
            </w:pPr>
            <w:r>
              <w:rPr>
                <w:rFonts w:ascii="Arial" w:cs="Arial" w:eastAsia="Arial" w:hAnsi="Arial"/>
                <w:sz w:val="15"/>
                <w:szCs w:val="15"/>
                <w:b w:val="1"/>
                <w:bCs w:val="1"/>
                <w:color w:val="auto"/>
              </w:rPr>
              <w:t>Total Revenue</w:t>
            </w:r>
          </w:p>
        </w:tc>
        <w:tc>
          <w:tcPr>
            <w:tcW w:w="2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0" w:type="dxa"/>
            <w:vAlign w:val="bottom"/>
          </w:tcPr>
          <w:p>
            <w:pPr>
              <w:jc w:val="right"/>
              <w:ind w:right="4"/>
              <w:spacing w:after="0"/>
              <w:rPr>
                <w:sz w:val="20"/>
                <w:szCs w:val="20"/>
                <w:color w:val="auto"/>
              </w:rPr>
            </w:pPr>
            <w:r>
              <w:rPr>
                <w:rFonts w:ascii="Arial" w:cs="Arial" w:eastAsia="Arial" w:hAnsi="Arial"/>
                <w:sz w:val="15"/>
                <w:szCs w:val="15"/>
                <w:b w:val="1"/>
                <w:bCs w:val="1"/>
                <w:color w:val="auto"/>
              </w:rPr>
              <w:t>6,731</w:t>
            </w:r>
          </w:p>
        </w:tc>
        <w:tc>
          <w:tcPr>
            <w:tcW w:w="2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580" w:type="dxa"/>
            <w:vAlign w:val="bottom"/>
          </w:tcPr>
          <w:p>
            <w:pPr>
              <w:jc w:val="right"/>
              <w:spacing w:after="0"/>
              <w:rPr>
                <w:sz w:val="20"/>
                <w:szCs w:val="20"/>
                <w:color w:val="auto"/>
              </w:rPr>
            </w:pPr>
            <w:r>
              <w:rPr>
                <w:rFonts w:ascii="Arial" w:cs="Arial" w:eastAsia="Arial" w:hAnsi="Arial"/>
                <w:sz w:val="15"/>
                <w:szCs w:val="15"/>
                <w:b w:val="1"/>
                <w:bCs w:val="1"/>
                <w:color w:val="auto"/>
              </w:rPr>
              <w:t>7,984</w:t>
            </w:r>
          </w:p>
        </w:tc>
        <w:tc>
          <w:tcPr>
            <w:tcW w:w="2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0" w:type="dxa"/>
            <w:vAlign w:val="bottom"/>
          </w:tcPr>
          <w:p>
            <w:pPr>
              <w:jc w:val="right"/>
              <w:ind w:right="4"/>
              <w:spacing w:after="0"/>
              <w:rPr>
                <w:sz w:val="20"/>
                <w:szCs w:val="20"/>
                <w:color w:val="auto"/>
              </w:rPr>
            </w:pPr>
            <w:r>
              <w:rPr>
                <w:rFonts w:ascii="Arial" w:cs="Arial" w:eastAsia="Arial" w:hAnsi="Arial"/>
                <w:sz w:val="15"/>
                <w:szCs w:val="15"/>
                <w:b w:val="1"/>
                <w:bCs w:val="1"/>
                <w:color w:val="auto"/>
              </w:rPr>
              <w:t>7,192</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580" w:type="dxa"/>
            <w:vAlign w:val="bottom"/>
          </w:tcPr>
          <w:p>
            <w:pPr>
              <w:jc w:val="right"/>
              <w:spacing w:after="0"/>
              <w:rPr>
                <w:sz w:val="20"/>
                <w:szCs w:val="20"/>
                <w:color w:val="auto"/>
              </w:rPr>
            </w:pPr>
            <w:r>
              <w:rPr>
                <w:rFonts w:ascii="Arial" w:cs="Arial" w:eastAsia="Arial" w:hAnsi="Arial"/>
                <w:sz w:val="15"/>
                <w:szCs w:val="15"/>
                <w:b w:val="1"/>
                <w:bCs w:val="1"/>
                <w:color w:val="auto"/>
              </w:rPr>
              <w:t>6,849</w:t>
            </w:r>
          </w:p>
        </w:tc>
        <w:tc>
          <w:tcPr>
            <w:tcW w:w="5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2,581</w:t>
            </w:r>
          </w:p>
        </w:tc>
        <w:tc>
          <w:tcPr>
            <w:tcW w:w="280" w:type="dxa"/>
            <w:vAlign w:val="bottom"/>
          </w:tcPr>
          <w:p>
            <w:pPr>
              <w:spacing w:after="0"/>
              <w:rPr>
                <w:sz w:val="21"/>
                <w:szCs w:val="21"/>
                <w:color w:val="auto"/>
              </w:rPr>
            </w:pPr>
          </w:p>
        </w:tc>
        <w:tc>
          <w:tcPr>
            <w:tcW w:w="540" w:type="dxa"/>
            <w:vAlign w:val="bottom"/>
          </w:tcPr>
          <w:p>
            <w:pPr>
              <w:ind w:left="440"/>
              <w:spacing w:after="0"/>
              <w:rPr>
                <w:sz w:val="20"/>
                <w:szCs w:val="20"/>
                <w:color w:val="auto"/>
              </w:rPr>
            </w:pPr>
            <w:r>
              <w:rPr>
                <w:rFonts w:ascii="Arial" w:cs="Arial" w:eastAsia="Arial" w:hAnsi="Arial"/>
                <w:sz w:val="15"/>
                <w:szCs w:val="15"/>
                <w:b w:val="1"/>
                <w:bCs w:val="1"/>
                <w:color w:val="auto"/>
                <w:w w:val="95"/>
              </w:rPr>
              <w:t>$</w:t>
            </w:r>
          </w:p>
        </w:tc>
        <w:tc>
          <w:tcPr>
            <w:tcW w:w="640" w:type="dxa"/>
            <w:vAlign w:val="bottom"/>
          </w:tcPr>
          <w:p>
            <w:pPr>
              <w:jc w:val="right"/>
              <w:ind w:right="4"/>
              <w:spacing w:after="0"/>
              <w:rPr>
                <w:sz w:val="20"/>
                <w:szCs w:val="20"/>
                <w:color w:val="auto"/>
              </w:rPr>
            </w:pPr>
            <w:r>
              <w:rPr>
                <w:rFonts w:ascii="Arial" w:cs="Arial" w:eastAsia="Arial" w:hAnsi="Arial"/>
                <w:sz w:val="15"/>
                <w:szCs w:val="15"/>
                <w:b w:val="1"/>
                <w:bCs w:val="1"/>
                <w:color w:val="auto"/>
              </w:rPr>
              <w:t>4,121</w:t>
            </w:r>
          </w:p>
        </w:tc>
        <w:tc>
          <w:tcPr>
            <w:tcW w:w="320" w:type="dxa"/>
            <w:vAlign w:val="bottom"/>
          </w:tcPr>
          <w:p>
            <w:pPr>
              <w:spacing w:after="0"/>
              <w:rPr>
                <w:sz w:val="21"/>
                <w:szCs w:val="21"/>
                <w:color w:val="auto"/>
              </w:rPr>
            </w:pPr>
          </w:p>
        </w:tc>
        <w:tc>
          <w:tcPr>
            <w:tcW w:w="1540" w:type="dxa"/>
            <w:vAlign w:val="bottom"/>
          </w:tcPr>
          <w:p>
            <w:pPr>
              <w:jc w:val="center"/>
              <w:ind w:left="104"/>
              <w:spacing w:after="0"/>
              <w:rPr>
                <w:sz w:val="20"/>
                <w:szCs w:val="20"/>
                <w:color w:val="auto"/>
              </w:rPr>
            </w:pPr>
            <w:r>
              <w:rPr>
                <w:rFonts w:ascii="Arial" w:cs="Arial" w:eastAsia="Arial" w:hAnsi="Arial"/>
                <w:sz w:val="15"/>
                <w:szCs w:val="15"/>
                <w:b w:val="1"/>
                <w:bCs w:val="1"/>
                <w:color w:val="auto"/>
              </w:rPr>
              <w:t>$8,100 - $8,300</w:t>
            </w:r>
          </w:p>
        </w:tc>
        <w:tc>
          <w:tcPr>
            <w:tcW w:w="560" w:type="dxa"/>
            <w:vAlign w:val="bottom"/>
          </w:tcPr>
          <w:p>
            <w:pPr>
              <w:jc w:val="right"/>
              <w:ind w:right="4"/>
              <w:spacing w:after="0"/>
              <w:rPr>
                <w:sz w:val="20"/>
                <w:szCs w:val="20"/>
                <w:color w:val="auto"/>
              </w:rPr>
            </w:pPr>
            <w:r>
              <w:rPr>
                <w:rFonts w:ascii="Arial" w:cs="Arial" w:eastAsia="Arial" w:hAnsi="Arial"/>
                <w:sz w:val="15"/>
                <w:szCs w:val="15"/>
                <w:b w:val="1"/>
                <w:bCs w:val="1"/>
                <w:color w:val="auto"/>
              </w:rPr>
              <w:t>$</w:t>
            </w:r>
          </w:p>
        </w:tc>
        <w:tc>
          <w:tcPr>
            <w:tcW w:w="1060" w:type="dxa"/>
            <w:vAlign w:val="bottom"/>
            <w:tcBorders>
              <w:right w:val="single" w:sz="8" w:color="auto"/>
            </w:tcBorders>
          </w:tcPr>
          <w:p>
            <w:pPr>
              <w:jc w:val="right"/>
              <w:ind w:right="304"/>
              <w:spacing w:after="0"/>
              <w:rPr>
                <w:sz w:val="20"/>
                <w:szCs w:val="20"/>
                <w:color w:val="auto"/>
              </w:rPr>
            </w:pPr>
            <w:r>
              <w:rPr>
                <w:rFonts w:ascii="Arial" w:cs="Arial" w:eastAsia="Arial" w:hAnsi="Arial"/>
                <w:sz w:val="15"/>
                <w:szCs w:val="15"/>
                <w:b w:val="1"/>
                <w:bCs w:val="1"/>
                <w:color w:val="auto"/>
              </w:rPr>
              <w:t>30,000</w:t>
            </w:r>
          </w:p>
        </w:tc>
        <w:tc>
          <w:tcPr>
            <w:tcW w:w="0" w:type="dxa"/>
            <w:vAlign w:val="bottom"/>
          </w:tcPr>
          <w:p>
            <w:pPr>
              <w:spacing w:after="0"/>
              <w:rPr>
                <w:sz w:val="1"/>
                <w:szCs w:val="1"/>
                <w:color w:val="auto"/>
              </w:rPr>
            </w:pPr>
          </w:p>
        </w:tc>
      </w:tr>
      <w:tr>
        <w:trPr>
          <w:trHeight w:val="235"/>
        </w:trPr>
        <w:tc>
          <w:tcPr>
            <w:tcW w:w="1960" w:type="dxa"/>
            <w:vAlign w:val="bottom"/>
            <w:tcBorders>
              <w:left w:val="single" w:sz="8" w:color="auto"/>
            </w:tcBorders>
          </w:tcPr>
          <w:p>
            <w:pPr>
              <w:ind w:left="260"/>
              <w:spacing w:after="0"/>
              <w:rPr>
                <w:sz w:val="20"/>
                <w:szCs w:val="20"/>
                <w:color w:val="auto"/>
              </w:rPr>
            </w:pPr>
            <w:r>
              <w:rPr>
                <w:rFonts w:ascii="Arial" w:cs="Arial" w:eastAsia="Arial" w:hAnsi="Arial"/>
                <w:sz w:val="15"/>
                <w:szCs w:val="15"/>
                <w:i w:val="1"/>
                <w:iCs w:val="1"/>
                <w:color w:val="auto"/>
              </w:rPr>
              <w:t>Y/Y Growth (%)</w:t>
            </w:r>
          </w:p>
        </w:tc>
        <w:tc>
          <w:tcPr>
            <w:tcW w:w="220" w:type="dxa"/>
            <w:vAlign w:val="bottom"/>
          </w:tcPr>
          <w:p>
            <w:pPr>
              <w:spacing w:after="0"/>
              <w:rPr>
                <w:sz w:val="20"/>
                <w:szCs w:val="20"/>
                <w:color w:val="auto"/>
              </w:rPr>
            </w:pPr>
          </w:p>
        </w:tc>
        <w:tc>
          <w:tcPr>
            <w:tcW w:w="600" w:type="dxa"/>
            <w:vAlign w:val="bottom"/>
          </w:tcPr>
          <w:p>
            <w:pPr>
              <w:jc w:val="center"/>
              <w:ind w:right="44"/>
              <w:spacing w:after="0"/>
              <w:rPr>
                <w:sz w:val="20"/>
                <w:szCs w:val="20"/>
                <w:color w:val="auto"/>
              </w:rPr>
            </w:pPr>
            <w:r>
              <w:rPr>
                <w:rFonts w:ascii="Arial" w:cs="Arial" w:eastAsia="Arial" w:hAnsi="Arial"/>
                <w:sz w:val="15"/>
                <w:szCs w:val="15"/>
                <w:i w:val="1"/>
                <w:iCs w:val="1"/>
                <w:color w:val="auto"/>
              </w:rPr>
              <w:t>(6)%</w:t>
            </w:r>
          </w:p>
        </w:tc>
        <w:tc>
          <w:tcPr>
            <w:tcW w:w="220" w:type="dxa"/>
            <w:vAlign w:val="bottom"/>
          </w:tcPr>
          <w:p>
            <w:pPr>
              <w:spacing w:after="0"/>
              <w:rPr>
                <w:sz w:val="20"/>
                <w:szCs w:val="20"/>
                <w:color w:val="auto"/>
              </w:rPr>
            </w:pPr>
          </w:p>
        </w:tc>
        <w:tc>
          <w:tcPr>
            <w:tcW w:w="580" w:type="dxa"/>
            <w:vAlign w:val="bottom"/>
          </w:tcPr>
          <w:p>
            <w:pPr>
              <w:jc w:val="center"/>
              <w:ind w:right="44"/>
              <w:spacing w:after="0"/>
              <w:rPr>
                <w:sz w:val="20"/>
                <w:szCs w:val="20"/>
                <w:color w:val="auto"/>
              </w:rPr>
            </w:pPr>
            <w:r>
              <w:rPr>
                <w:rFonts w:ascii="Arial" w:cs="Arial" w:eastAsia="Arial" w:hAnsi="Arial"/>
                <w:sz w:val="15"/>
                <w:szCs w:val="15"/>
                <w:i w:val="1"/>
                <w:iCs w:val="1"/>
                <w:color w:val="auto"/>
              </w:rPr>
              <w:t>5%</w:t>
            </w:r>
          </w:p>
        </w:tc>
        <w:tc>
          <w:tcPr>
            <w:tcW w:w="220" w:type="dxa"/>
            <w:vAlign w:val="bottom"/>
          </w:tcPr>
          <w:p>
            <w:pPr>
              <w:spacing w:after="0"/>
              <w:rPr>
                <w:sz w:val="20"/>
                <w:szCs w:val="20"/>
                <w:color w:val="auto"/>
              </w:rPr>
            </w:pPr>
          </w:p>
        </w:tc>
        <w:tc>
          <w:tcPr>
            <w:tcW w:w="600" w:type="dxa"/>
            <w:vAlign w:val="bottom"/>
          </w:tcPr>
          <w:p>
            <w:pPr>
              <w:jc w:val="center"/>
              <w:ind w:right="44"/>
              <w:spacing w:after="0"/>
              <w:rPr>
                <w:sz w:val="20"/>
                <w:szCs w:val="20"/>
                <w:color w:val="auto"/>
              </w:rPr>
            </w:pPr>
            <w:r>
              <w:rPr>
                <w:rFonts w:ascii="Arial" w:cs="Arial" w:eastAsia="Arial" w:hAnsi="Arial"/>
                <w:sz w:val="15"/>
                <w:szCs w:val="15"/>
                <w:i w:val="1"/>
                <w:iCs w:val="1"/>
                <w:color w:val="auto"/>
              </w:rPr>
              <w:t>(6)%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center"/>
              <w:ind w:right="44"/>
              <w:spacing w:after="0"/>
              <w:rPr>
                <w:sz w:val="20"/>
                <w:szCs w:val="20"/>
                <w:color w:val="auto"/>
              </w:rPr>
            </w:pPr>
            <w:r>
              <w:rPr>
                <w:rFonts w:ascii="Arial" w:cs="Arial" w:eastAsia="Arial" w:hAnsi="Arial"/>
                <w:sz w:val="15"/>
                <w:szCs w:val="15"/>
                <w:i w:val="1"/>
                <w:iCs w:val="1"/>
                <w:color w:val="auto"/>
              </w:rPr>
              <w:t>1%</w:t>
            </w: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1960" w:type="dxa"/>
            <w:vAlign w:val="bottom"/>
            <w:tcBorders>
              <w:left w:val="single" w:sz="8" w:color="auto"/>
            </w:tcBorders>
          </w:tcPr>
          <w:p>
            <w:pPr>
              <w:ind w:left="40"/>
              <w:spacing w:after="0"/>
              <w:rPr>
                <w:sz w:val="20"/>
                <w:szCs w:val="20"/>
                <w:color w:val="auto"/>
              </w:rPr>
            </w:pPr>
            <w:r>
              <w:rPr>
                <w:rFonts w:ascii="Arial" w:cs="Arial" w:eastAsia="Arial" w:hAnsi="Arial"/>
                <w:sz w:val="15"/>
                <w:szCs w:val="15"/>
                <w:b w:val="1"/>
                <w:bCs w:val="1"/>
                <w:color w:val="auto"/>
              </w:rPr>
              <w:t>Operating Income (Loss)</w:t>
            </w:r>
          </w:p>
        </w:tc>
        <w:tc>
          <w:tcPr>
            <w:tcW w:w="2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0" w:type="dxa"/>
            <w:vAlign w:val="bottom"/>
          </w:tcPr>
          <w:p>
            <w:pPr>
              <w:jc w:val="right"/>
              <w:ind w:right="4"/>
              <w:spacing w:after="0"/>
              <w:rPr>
                <w:sz w:val="20"/>
                <w:szCs w:val="20"/>
                <w:color w:val="auto"/>
              </w:rPr>
            </w:pPr>
            <w:r>
              <w:rPr>
                <w:rFonts w:ascii="Arial" w:cs="Arial" w:eastAsia="Arial" w:hAnsi="Arial"/>
                <w:sz w:val="15"/>
                <w:szCs w:val="15"/>
                <w:b w:val="1"/>
                <w:bCs w:val="1"/>
                <w:color w:val="auto"/>
              </w:rPr>
              <w:t>337</w:t>
            </w:r>
          </w:p>
        </w:tc>
        <w:tc>
          <w:tcPr>
            <w:tcW w:w="2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580" w:type="dxa"/>
            <w:vAlign w:val="bottom"/>
          </w:tcPr>
          <w:p>
            <w:pPr>
              <w:jc w:val="right"/>
              <w:spacing w:after="0"/>
              <w:rPr>
                <w:sz w:val="20"/>
                <w:szCs w:val="20"/>
                <w:color w:val="auto"/>
              </w:rPr>
            </w:pPr>
            <w:r>
              <w:rPr>
                <w:rFonts w:ascii="Arial" w:cs="Arial" w:eastAsia="Arial" w:hAnsi="Arial"/>
                <w:sz w:val="15"/>
                <w:szCs w:val="15"/>
                <w:b w:val="1"/>
                <w:bCs w:val="1"/>
                <w:color w:val="auto"/>
              </w:rPr>
              <w:t>129</w:t>
            </w:r>
          </w:p>
        </w:tc>
        <w:tc>
          <w:tcPr>
            <w:tcW w:w="2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0" w:type="dxa"/>
            <w:vAlign w:val="bottom"/>
          </w:tcPr>
          <w:p>
            <w:pPr>
              <w:jc w:val="right"/>
              <w:ind w:right="4"/>
              <w:spacing w:after="0"/>
              <w:rPr>
                <w:sz w:val="20"/>
                <w:szCs w:val="20"/>
                <w:color w:val="auto"/>
              </w:rPr>
            </w:pPr>
            <w:r>
              <w:rPr>
                <w:rFonts w:ascii="Arial" w:cs="Arial" w:eastAsia="Arial" w:hAnsi="Arial"/>
                <w:sz w:val="15"/>
                <w:szCs w:val="15"/>
                <w:b w:val="1"/>
                <w:bCs w:val="1"/>
                <w:color w:val="auto"/>
              </w:rPr>
              <w:t>550</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580" w:type="dxa"/>
            <w:vAlign w:val="bottom"/>
          </w:tcPr>
          <w:p>
            <w:pPr>
              <w:jc w:val="right"/>
              <w:spacing w:after="0"/>
              <w:rPr>
                <w:sz w:val="20"/>
                <w:szCs w:val="20"/>
                <w:color w:val="auto"/>
              </w:rPr>
            </w:pPr>
            <w:r>
              <w:rPr>
                <w:rFonts w:ascii="Arial" w:cs="Arial" w:eastAsia="Arial" w:hAnsi="Arial"/>
                <w:sz w:val="15"/>
                <w:szCs w:val="15"/>
                <w:b w:val="1"/>
                <w:bCs w:val="1"/>
                <w:color w:val="auto"/>
              </w:rPr>
              <w:t>399</w:t>
            </w:r>
          </w:p>
        </w:tc>
        <w:tc>
          <w:tcPr>
            <w:tcW w:w="5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80</w:t>
            </w:r>
          </w:p>
        </w:tc>
        <w:tc>
          <w:tcPr>
            <w:tcW w:w="280" w:type="dxa"/>
            <w:vAlign w:val="bottom"/>
          </w:tcPr>
          <w:p>
            <w:pPr>
              <w:spacing w:after="0"/>
              <w:rPr>
                <w:sz w:val="21"/>
                <w:szCs w:val="21"/>
                <w:color w:val="auto"/>
              </w:rPr>
            </w:pPr>
          </w:p>
        </w:tc>
        <w:tc>
          <w:tcPr>
            <w:tcW w:w="540" w:type="dxa"/>
            <w:vAlign w:val="bottom"/>
          </w:tcPr>
          <w:p>
            <w:pPr>
              <w:ind w:left="440"/>
              <w:spacing w:after="0"/>
              <w:rPr>
                <w:sz w:val="20"/>
                <w:szCs w:val="20"/>
                <w:color w:val="auto"/>
              </w:rPr>
            </w:pPr>
            <w:r>
              <w:rPr>
                <w:rFonts w:ascii="Arial" w:cs="Arial" w:eastAsia="Arial" w:hAnsi="Arial"/>
                <w:sz w:val="15"/>
                <w:szCs w:val="15"/>
                <w:b w:val="1"/>
                <w:bCs w:val="1"/>
                <w:color w:val="auto"/>
                <w:w w:val="95"/>
              </w:rPr>
              <w:t>$</w:t>
            </w:r>
          </w:p>
        </w:tc>
        <w:tc>
          <w:tcPr>
            <w:tcW w:w="640" w:type="dxa"/>
            <w:vAlign w:val="bottom"/>
          </w:tcPr>
          <w:p>
            <w:pPr>
              <w:jc w:val="right"/>
              <w:ind w:right="4"/>
              <w:spacing w:after="0"/>
              <w:rPr>
                <w:sz w:val="20"/>
                <w:szCs w:val="20"/>
                <w:color w:val="auto"/>
              </w:rPr>
            </w:pPr>
            <w:r>
              <w:rPr>
                <w:rFonts w:ascii="Arial" w:cs="Arial" w:eastAsia="Arial" w:hAnsi="Arial"/>
                <w:sz w:val="15"/>
                <w:szCs w:val="15"/>
                <w:b w:val="1"/>
                <w:bCs w:val="1"/>
                <w:color w:val="auto"/>
              </w:rPr>
              <w:t>244</w:t>
            </w:r>
          </w:p>
        </w:tc>
        <w:tc>
          <w:tcPr>
            <w:tcW w:w="3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1960" w:type="dxa"/>
            <w:vAlign w:val="bottom"/>
            <w:tcBorders>
              <w:left w:val="single" w:sz="8" w:color="auto"/>
            </w:tcBorders>
          </w:tcPr>
          <w:p>
            <w:pPr>
              <w:ind w:left="260"/>
              <w:spacing w:after="0"/>
              <w:rPr>
                <w:sz w:val="20"/>
                <w:szCs w:val="20"/>
                <w:color w:val="auto"/>
              </w:rPr>
            </w:pPr>
            <w:r>
              <w:rPr>
                <w:rFonts w:ascii="Arial" w:cs="Arial" w:eastAsia="Arial" w:hAnsi="Arial"/>
                <w:sz w:val="15"/>
                <w:szCs w:val="15"/>
                <w:i w:val="1"/>
                <w:iCs w:val="1"/>
                <w:color w:val="auto"/>
              </w:rPr>
              <w:t>Operating Margin (%)</w:t>
            </w:r>
          </w:p>
        </w:tc>
        <w:tc>
          <w:tcPr>
            <w:tcW w:w="220" w:type="dxa"/>
            <w:vAlign w:val="bottom"/>
          </w:tcPr>
          <w:p>
            <w:pPr>
              <w:spacing w:after="0"/>
              <w:rPr>
                <w:sz w:val="20"/>
                <w:szCs w:val="20"/>
                <w:color w:val="auto"/>
              </w:rPr>
            </w:pPr>
          </w:p>
        </w:tc>
        <w:tc>
          <w:tcPr>
            <w:tcW w:w="600" w:type="dxa"/>
            <w:vAlign w:val="bottom"/>
          </w:tcPr>
          <w:p>
            <w:pPr>
              <w:jc w:val="center"/>
              <w:ind w:right="44"/>
              <w:spacing w:after="0"/>
              <w:rPr>
                <w:sz w:val="20"/>
                <w:szCs w:val="20"/>
                <w:color w:val="auto"/>
              </w:rPr>
            </w:pPr>
            <w:r>
              <w:rPr>
                <w:rFonts w:ascii="Arial" w:cs="Arial" w:eastAsia="Arial" w:hAnsi="Arial"/>
                <w:sz w:val="15"/>
                <w:szCs w:val="15"/>
                <w:i w:val="1"/>
                <w:iCs w:val="1"/>
                <w:color w:val="auto"/>
              </w:rPr>
              <w:t>5.0%</w:t>
            </w:r>
          </w:p>
        </w:tc>
        <w:tc>
          <w:tcPr>
            <w:tcW w:w="220" w:type="dxa"/>
            <w:vAlign w:val="bottom"/>
          </w:tcPr>
          <w:p>
            <w:pPr>
              <w:spacing w:after="0"/>
              <w:rPr>
                <w:sz w:val="20"/>
                <w:szCs w:val="20"/>
                <w:color w:val="auto"/>
              </w:rPr>
            </w:pPr>
          </w:p>
        </w:tc>
        <w:tc>
          <w:tcPr>
            <w:tcW w:w="580" w:type="dxa"/>
            <w:vAlign w:val="bottom"/>
          </w:tcPr>
          <w:p>
            <w:pPr>
              <w:jc w:val="center"/>
              <w:ind w:right="44"/>
              <w:spacing w:after="0"/>
              <w:rPr>
                <w:sz w:val="20"/>
                <w:szCs w:val="20"/>
                <w:color w:val="auto"/>
              </w:rPr>
            </w:pPr>
            <w:r>
              <w:rPr>
                <w:rFonts w:ascii="Arial" w:cs="Arial" w:eastAsia="Arial" w:hAnsi="Arial"/>
                <w:sz w:val="15"/>
                <w:szCs w:val="15"/>
                <w:i w:val="1"/>
                <w:iCs w:val="1"/>
                <w:color w:val="auto"/>
                <w:w w:val="99"/>
              </w:rPr>
              <w:t>1.6%</w:t>
            </w:r>
          </w:p>
        </w:tc>
        <w:tc>
          <w:tcPr>
            <w:tcW w:w="220" w:type="dxa"/>
            <w:vAlign w:val="bottom"/>
          </w:tcPr>
          <w:p>
            <w:pPr>
              <w:spacing w:after="0"/>
              <w:rPr>
                <w:sz w:val="20"/>
                <w:szCs w:val="20"/>
                <w:color w:val="auto"/>
              </w:rPr>
            </w:pPr>
          </w:p>
        </w:tc>
        <w:tc>
          <w:tcPr>
            <w:tcW w:w="600" w:type="dxa"/>
            <w:vAlign w:val="bottom"/>
          </w:tcPr>
          <w:p>
            <w:pPr>
              <w:jc w:val="center"/>
              <w:ind w:right="44"/>
              <w:spacing w:after="0"/>
              <w:rPr>
                <w:sz w:val="20"/>
                <w:szCs w:val="20"/>
                <w:color w:val="auto"/>
              </w:rPr>
            </w:pPr>
            <w:r>
              <w:rPr>
                <w:rFonts w:ascii="Arial" w:cs="Arial" w:eastAsia="Arial" w:hAnsi="Arial"/>
                <w:sz w:val="15"/>
                <w:szCs w:val="15"/>
                <w:i w:val="1"/>
                <w:iCs w:val="1"/>
                <w:color w:val="auto"/>
              </w:rPr>
              <w:t>7.6%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center"/>
              <w:ind w:right="44"/>
              <w:spacing w:after="0"/>
              <w:rPr>
                <w:sz w:val="20"/>
                <w:szCs w:val="20"/>
                <w:color w:val="auto"/>
              </w:rPr>
            </w:pPr>
            <w:r>
              <w:rPr>
                <w:rFonts w:ascii="Arial" w:cs="Arial" w:eastAsia="Arial" w:hAnsi="Arial"/>
                <w:sz w:val="15"/>
                <w:szCs w:val="15"/>
                <w:i w:val="1"/>
                <w:iCs w:val="1"/>
                <w:color w:val="auto"/>
                <w:w w:val="99"/>
              </w:rPr>
              <w:t>5.8%</w:t>
            </w:r>
          </w:p>
        </w:tc>
        <w:tc>
          <w:tcPr>
            <w:tcW w:w="500" w:type="dxa"/>
            <w:vAlign w:val="bottom"/>
          </w:tcPr>
          <w:p>
            <w:pPr>
              <w:spacing w:after="0"/>
              <w:rPr>
                <w:sz w:val="20"/>
                <w:szCs w:val="20"/>
                <w:color w:val="auto"/>
              </w:rPr>
            </w:pPr>
          </w:p>
        </w:tc>
        <w:tc>
          <w:tcPr>
            <w:tcW w:w="620" w:type="dxa"/>
            <w:vAlign w:val="bottom"/>
          </w:tcPr>
          <w:p>
            <w:pPr>
              <w:jc w:val="right"/>
              <w:ind w:right="124"/>
              <w:spacing w:after="0"/>
              <w:rPr>
                <w:sz w:val="20"/>
                <w:szCs w:val="20"/>
                <w:color w:val="auto"/>
              </w:rPr>
            </w:pPr>
            <w:r>
              <w:rPr>
                <w:rFonts w:ascii="Arial" w:cs="Arial" w:eastAsia="Arial" w:hAnsi="Arial"/>
                <w:sz w:val="15"/>
                <w:szCs w:val="15"/>
                <w:i w:val="1"/>
                <w:iCs w:val="1"/>
                <w:color w:val="auto"/>
              </w:rPr>
              <w:t>3.1%</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jc w:val="right"/>
              <w:ind w:right="144"/>
              <w:spacing w:after="0"/>
              <w:rPr>
                <w:sz w:val="20"/>
                <w:szCs w:val="20"/>
                <w:color w:val="auto"/>
              </w:rPr>
            </w:pPr>
            <w:r>
              <w:rPr>
                <w:rFonts w:ascii="Arial" w:cs="Arial" w:eastAsia="Arial" w:hAnsi="Arial"/>
                <w:sz w:val="15"/>
                <w:szCs w:val="15"/>
                <w:i w:val="1"/>
                <w:iCs w:val="1"/>
                <w:color w:val="auto"/>
              </w:rPr>
              <w:t>5.9%</w:t>
            </w:r>
          </w:p>
        </w:tc>
        <w:tc>
          <w:tcPr>
            <w:tcW w:w="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1960" w:type="dxa"/>
            <w:vAlign w:val="bottom"/>
            <w:tcBorders>
              <w:left w:val="single" w:sz="8" w:color="auto"/>
            </w:tcBorders>
          </w:tcPr>
          <w:p>
            <w:pPr>
              <w:ind w:left="40"/>
              <w:spacing w:after="0"/>
              <w:rPr>
                <w:sz w:val="20"/>
                <w:szCs w:val="20"/>
                <w:color w:val="auto"/>
              </w:rPr>
            </w:pPr>
            <w:r>
              <w:rPr>
                <w:rFonts w:ascii="Arial" w:cs="Arial" w:eastAsia="Arial" w:hAnsi="Arial"/>
                <w:sz w:val="15"/>
                <w:szCs w:val="15"/>
                <w:b w:val="1"/>
                <w:bCs w:val="1"/>
                <w:color w:val="auto"/>
              </w:rPr>
              <w:t>Net Earnings (Loss)</w:t>
            </w:r>
          </w:p>
        </w:tc>
        <w:tc>
          <w:tcPr>
            <w:tcW w:w="2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0" w:type="dxa"/>
            <w:vAlign w:val="bottom"/>
          </w:tcPr>
          <w:p>
            <w:pPr>
              <w:jc w:val="right"/>
              <w:ind w:right="4"/>
              <w:spacing w:after="0"/>
              <w:rPr>
                <w:sz w:val="20"/>
                <w:szCs w:val="20"/>
                <w:color w:val="auto"/>
              </w:rPr>
            </w:pPr>
            <w:r>
              <w:rPr>
                <w:rFonts w:ascii="Arial" w:cs="Arial" w:eastAsia="Arial" w:hAnsi="Arial"/>
                <w:sz w:val="15"/>
                <w:szCs w:val="15"/>
                <w:b w:val="1"/>
                <w:bCs w:val="1"/>
                <w:color w:val="auto"/>
              </w:rPr>
              <w:t>1</w:t>
            </w:r>
          </w:p>
        </w:tc>
        <w:tc>
          <w:tcPr>
            <w:tcW w:w="2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580" w:type="dxa"/>
            <w:vAlign w:val="bottom"/>
          </w:tcPr>
          <w:p>
            <w:pPr>
              <w:jc w:val="right"/>
              <w:spacing w:after="0"/>
              <w:rPr>
                <w:sz w:val="20"/>
                <w:szCs w:val="20"/>
                <w:color w:val="auto"/>
              </w:rPr>
            </w:pPr>
            <w:r>
              <w:rPr>
                <w:rFonts w:ascii="Arial" w:cs="Arial" w:eastAsia="Arial" w:hAnsi="Arial"/>
                <w:sz w:val="15"/>
                <w:szCs w:val="15"/>
                <w:b w:val="1"/>
                <w:bCs w:val="1"/>
                <w:color w:val="auto"/>
              </w:rPr>
              <w:t>(224)</w:t>
            </w:r>
          </w:p>
        </w:tc>
        <w:tc>
          <w:tcPr>
            <w:tcW w:w="2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0" w:type="dxa"/>
            <w:vAlign w:val="bottom"/>
          </w:tcPr>
          <w:p>
            <w:pPr>
              <w:jc w:val="right"/>
              <w:ind w:right="4"/>
              <w:spacing w:after="0"/>
              <w:rPr>
                <w:sz w:val="20"/>
                <w:szCs w:val="20"/>
                <w:color w:val="auto"/>
              </w:rPr>
            </w:pPr>
            <w:r>
              <w:rPr>
                <w:rFonts w:ascii="Arial" w:cs="Arial" w:eastAsia="Arial" w:hAnsi="Arial"/>
                <w:sz w:val="15"/>
                <w:szCs w:val="15"/>
                <w:b w:val="1"/>
                <w:bCs w:val="1"/>
                <w:color w:val="auto"/>
              </w:rPr>
              <w:t>152</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580" w:type="dxa"/>
            <w:vAlign w:val="bottom"/>
          </w:tcPr>
          <w:p>
            <w:pPr>
              <w:jc w:val="right"/>
              <w:spacing w:after="0"/>
              <w:rPr>
                <w:sz w:val="20"/>
                <w:szCs w:val="20"/>
                <w:color w:val="auto"/>
              </w:rPr>
            </w:pPr>
            <w:r>
              <w:rPr>
                <w:rFonts w:ascii="Arial" w:cs="Arial" w:eastAsia="Arial" w:hAnsi="Arial"/>
                <w:sz w:val="15"/>
                <w:szCs w:val="15"/>
                <w:b w:val="1"/>
                <w:bCs w:val="1"/>
                <w:color w:val="auto"/>
              </w:rPr>
              <w:t>57</w:t>
            </w:r>
          </w:p>
        </w:tc>
        <w:tc>
          <w:tcPr>
            <w:tcW w:w="5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(244)</w:t>
            </w:r>
          </w:p>
        </w:tc>
        <w:tc>
          <w:tcPr>
            <w:tcW w:w="280" w:type="dxa"/>
            <w:vAlign w:val="bottom"/>
          </w:tcPr>
          <w:p>
            <w:pPr>
              <w:spacing w:after="0"/>
              <w:rPr>
                <w:sz w:val="21"/>
                <w:szCs w:val="21"/>
                <w:color w:val="auto"/>
              </w:rPr>
            </w:pPr>
          </w:p>
        </w:tc>
        <w:tc>
          <w:tcPr>
            <w:tcW w:w="540" w:type="dxa"/>
            <w:vAlign w:val="bottom"/>
          </w:tcPr>
          <w:p>
            <w:pPr>
              <w:ind w:left="440"/>
              <w:spacing w:after="0"/>
              <w:rPr>
                <w:sz w:val="20"/>
                <w:szCs w:val="20"/>
                <w:color w:val="auto"/>
              </w:rPr>
            </w:pPr>
            <w:r>
              <w:rPr>
                <w:rFonts w:ascii="Arial" w:cs="Arial" w:eastAsia="Arial" w:hAnsi="Arial"/>
                <w:sz w:val="15"/>
                <w:szCs w:val="15"/>
                <w:b w:val="1"/>
                <w:bCs w:val="1"/>
                <w:color w:val="auto"/>
                <w:w w:val="95"/>
              </w:rPr>
              <w:t>$</w:t>
            </w:r>
          </w:p>
        </w:tc>
        <w:tc>
          <w:tcPr>
            <w:tcW w:w="640" w:type="dxa"/>
            <w:vAlign w:val="bottom"/>
          </w:tcPr>
          <w:p>
            <w:pPr>
              <w:jc w:val="right"/>
              <w:spacing w:after="0"/>
              <w:rPr>
                <w:sz w:val="20"/>
                <w:szCs w:val="20"/>
                <w:color w:val="auto"/>
              </w:rPr>
            </w:pPr>
            <w:r>
              <w:rPr>
                <w:rFonts w:ascii="Arial" w:cs="Arial" w:eastAsia="Arial" w:hAnsi="Arial"/>
                <w:sz w:val="15"/>
                <w:szCs w:val="15"/>
                <w:b w:val="1"/>
                <w:bCs w:val="1"/>
                <w:color w:val="auto"/>
              </w:rPr>
              <w:t>(13)</w:t>
            </w:r>
          </w:p>
        </w:tc>
        <w:tc>
          <w:tcPr>
            <w:tcW w:w="3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1960" w:type="dxa"/>
            <w:vAlign w:val="bottom"/>
            <w:tcBorders>
              <w:left w:val="single" w:sz="8" w:color="auto"/>
            </w:tcBorders>
          </w:tcPr>
          <w:p>
            <w:pPr>
              <w:ind w:left="40"/>
              <w:spacing w:after="0"/>
              <w:rPr>
                <w:sz w:val="20"/>
                <w:szCs w:val="20"/>
                <w:color w:val="auto"/>
              </w:rPr>
            </w:pPr>
            <w:r>
              <w:rPr>
                <w:rFonts w:ascii="Arial" w:cs="Arial" w:eastAsia="Arial" w:hAnsi="Arial"/>
                <w:sz w:val="15"/>
                <w:szCs w:val="15"/>
                <w:b w:val="1"/>
                <w:bCs w:val="1"/>
                <w:color w:val="auto"/>
              </w:rPr>
              <w:t xml:space="preserve">Diluted EPS </w:t>
            </w:r>
            <w:r>
              <w:rPr>
                <w:rFonts w:ascii="Arial" w:cs="Arial" w:eastAsia="Arial" w:hAnsi="Arial"/>
                <w:sz w:val="19"/>
                <w:szCs w:val="19"/>
                <w:b w:val="1"/>
                <w:bCs w:val="1"/>
                <w:color w:val="auto"/>
                <w:vertAlign w:val="superscript"/>
              </w:rPr>
              <w:t>(1)</w:t>
            </w:r>
          </w:p>
        </w:tc>
        <w:tc>
          <w:tcPr>
            <w:tcW w:w="2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0" w:type="dxa"/>
            <w:vAlign w:val="bottom"/>
          </w:tcPr>
          <w:p>
            <w:pPr>
              <w:jc w:val="right"/>
              <w:ind w:right="4"/>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580" w:type="dxa"/>
            <w:vAlign w:val="bottom"/>
          </w:tcPr>
          <w:p>
            <w:pPr>
              <w:jc w:val="right"/>
              <w:spacing w:after="0"/>
              <w:rPr>
                <w:sz w:val="20"/>
                <w:szCs w:val="20"/>
                <w:color w:val="auto"/>
              </w:rPr>
            </w:pPr>
            <w:r>
              <w:rPr>
                <w:rFonts w:ascii="Arial" w:cs="Arial" w:eastAsia="Arial" w:hAnsi="Arial"/>
                <w:sz w:val="15"/>
                <w:szCs w:val="15"/>
                <w:b w:val="1"/>
                <w:bCs w:val="1"/>
                <w:color w:val="auto"/>
              </w:rPr>
              <w:t>(.33)</w:t>
            </w:r>
          </w:p>
        </w:tc>
        <w:tc>
          <w:tcPr>
            <w:tcW w:w="2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0" w:type="dxa"/>
            <w:vAlign w:val="bottom"/>
          </w:tcPr>
          <w:p>
            <w:pPr>
              <w:jc w:val="right"/>
              <w:ind w:right="4"/>
              <w:spacing w:after="0"/>
              <w:rPr>
                <w:sz w:val="20"/>
                <w:szCs w:val="20"/>
                <w:color w:val="auto"/>
              </w:rPr>
            </w:pPr>
            <w:r>
              <w:rPr>
                <w:rFonts w:ascii="Arial" w:cs="Arial" w:eastAsia="Arial" w:hAnsi="Arial"/>
                <w:sz w:val="15"/>
                <w:szCs w:val="15"/>
                <w:b w:val="1"/>
                <w:bCs w:val="1"/>
                <w:color w:val="auto"/>
              </w:rPr>
              <w:t>.22</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580" w:type="dxa"/>
            <w:vAlign w:val="bottom"/>
          </w:tcPr>
          <w:p>
            <w:pPr>
              <w:jc w:val="right"/>
              <w:spacing w:after="0"/>
              <w:rPr>
                <w:sz w:val="20"/>
                <w:szCs w:val="20"/>
                <w:color w:val="auto"/>
              </w:rPr>
            </w:pPr>
            <w:r>
              <w:rPr>
                <w:rFonts w:ascii="Arial" w:cs="Arial" w:eastAsia="Arial" w:hAnsi="Arial"/>
                <w:sz w:val="15"/>
                <w:szCs w:val="15"/>
                <w:b w:val="1"/>
                <w:bCs w:val="1"/>
                <w:color w:val="auto"/>
              </w:rPr>
              <w:t>.08</w:t>
            </w:r>
          </w:p>
        </w:tc>
        <w:tc>
          <w:tcPr>
            <w:tcW w:w="5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(.36)</w:t>
            </w:r>
          </w:p>
        </w:tc>
        <w:tc>
          <w:tcPr>
            <w:tcW w:w="280" w:type="dxa"/>
            <w:vAlign w:val="bottom"/>
          </w:tcPr>
          <w:p>
            <w:pPr>
              <w:spacing w:after="0"/>
              <w:rPr>
                <w:sz w:val="24"/>
                <w:szCs w:val="24"/>
                <w:color w:val="auto"/>
              </w:rPr>
            </w:pPr>
          </w:p>
        </w:tc>
        <w:tc>
          <w:tcPr>
            <w:tcW w:w="540" w:type="dxa"/>
            <w:vAlign w:val="bottom"/>
          </w:tcPr>
          <w:p>
            <w:pPr>
              <w:ind w:left="440"/>
              <w:spacing w:after="0"/>
              <w:rPr>
                <w:sz w:val="20"/>
                <w:szCs w:val="20"/>
                <w:color w:val="auto"/>
              </w:rPr>
            </w:pPr>
            <w:r>
              <w:rPr>
                <w:rFonts w:ascii="Arial" w:cs="Arial" w:eastAsia="Arial" w:hAnsi="Arial"/>
                <w:sz w:val="15"/>
                <w:szCs w:val="15"/>
                <w:b w:val="1"/>
                <w:bCs w:val="1"/>
                <w:color w:val="auto"/>
                <w:w w:val="95"/>
              </w:rPr>
              <w:t>$</w:t>
            </w:r>
          </w:p>
        </w:tc>
        <w:tc>
          <w:tcPr>
            <w:tcW w:w="640" w:type="dxa"/>
            <w:vAlign w:val="bottom"/>
          </w:tcPr>
          <w:p>
            <w:pPr>
              <w:jc w:val="right"/>
              <w:spacing w:after="0"/>
              <w:rPr>
                <w:sz w:val="20"/>
                <w:szCs w:val="20"/>
                <w:color w:val="auto"/>
              </w:rPr>
            </w:pPr>
            <w:r>
              <w:rPr>
                <w:rFonts w:ascii="Arial" w:cs="Arial" w:eastAsia="Arial" w:hAnsi="Arial"/>
                <w:sz w:val="15"/>
                <w:szCs w:val="15"/>
                <w:b w:val="1"/>
                <w:bCs w:val="1"/>
                <w:color w:val="auto"/>
              </w:rPr>
              <w:t>(.01)</w:t>
            </w: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960" w:type="dxa"/>
            <w:vAlign w:val="bottom"/>
            <w:tcBorders>
              <w:left w:val="single" w:sz="8" w:color="auto"/>
            </w:tcBorders>
          </w:tcPr>
          <w:p>
            <w:pPr>
              <w:ind w:left="40"/>
              <w:spacing w:after="0"/>
              <w:rPr>
                <w:sz w:val="20"/>
                <w:szCs w:val="20"/>
                <w:color w:val="auto"/>
              </w:rPr>
            </w:pPr>
            <w:r>
              <w:rPr>
                <w:rFonts w:ascii="Arial" w:cs="Arial" w:eastAsia="Arial" w:hAnsi="Arial"/>
                <w:sz w:val="15"/>
                <w:szCs w:val="15"/>
                <w:b w:val="1"/>
                <w:bCs w:val="1"/>
                <w:color w:val="auto"/>
              </w:rPr>
              <w:t>Adjusted OIBDA</w:t>
            </w:r>
          </w:p>
        </w:tc>
        <w:tc>
          <w:tcPr>
            <w:tcW w:w="2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0" w:type="dxa"/>
            <w:vAlign w:val="bottom"/>
          </w:tcPr>
          <w:p>
            <w:pPr>
              <w:jc w:val="right"/>
              <w:ind w:right="4"/>
              <w:spacing w:after="0"/>
              <w:rPr>
                <w:sz w:val="20"/>
                <w:szCs w:val="20"/>
                <w:color w:val="auto"/>
              </w:rPr>
            </w:pPr>
            <w:r>
              <w:rPr>
                <w:rFonts w:ascii="Arial" w:cs="Arial" w:eastAsia="Arial" w:hAnsi="Arial"/>
                <w:sz w:val="15"/>
                <w:szCs w:val="15"/>
                <w:b w:val="1"/>
                <w:bCs w:val="1"/>
                <w:color w:val="auto"/>
              </w:rPr>
              <w:t>858</w:t>
            </w:r>
          </w:p>
        </w:tc>
        <w:tc>
          <w:tcPr>
            <w:tcW w:w="2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580" w:type="dxa"/>
            <w:vAlign w:val="bottom"/>
          </w:tcPr>
          <w:p>
            <w:pPr>
              <w:jc w:val="right"/>
              <w:spacing w:after="0"/>
              <w:rPr>
                <w:sz w:val="20"/>
                <w:szCs w:val="20"/>
                <w:color w:val="auto"/>
              </w:rPr>
            </w:pPr>
            <w:r>
              <w:rPr>
                <w:rFonts w:ascii="Arial" w:cs="Arial" w:eastAsia="Arial" w:hAnsi="Arial"/>
                <w:sz w:val="15"/>
                <w:szCs w:val="15"/>
                <w:b w:val="1"/>
                <w:bCs w:val="1"/>
                <w:color w:val="auto"/>
              </w:rPr>
              <w:t>406</w:t>
            </w:r>
          </w:p>
        </w:tc>
        <w:tc>
          <w:tcPr>
            <w:tcW w:w="2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0" w:type="dxa"/>
            <w:vAlign w:val="bottom"/>
          </w:tcPr>
          <w:p>
            <w:pPr>
              <w:jc w:val="right"/>
              <w:ind w:right="4"/>
              <w:spacing w:after="0"/>
              <w:rPr>
                <w:sz w:val="20"/>
                <w:szCs w:val="20"/>
                <w:color w:val="auto"/>
              </w:rPr>
            </w:pPr>
            <w:r>
              <w:rPr>
                <w:rFonts w:ascii="Arial" w:cs="Arial" w:eastAsia="Arial" w:hAnsi="Arial"/>
                <w:sz w:val="15"/>
                <w:szCs w:val="15"/>
                <w:b w:val="1"/>
                <w:bCs w:val="1"/>
                <w:color w:val="auto"/>
              </w:rPr>
              <w:t>688</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580" w:type="dxa"/>
            <w:vAlign w:val="bottom"/>
          </w:tcPr>
          <w:p>
            <w:pPr>
              <w:jc w:val="right"/>
              <w:spacing w:after="0"/>
              <w:rPr>
                <w:sz w:val="20"/>
                <w:szCs w:val="20"/>
                <w:color w:val="auto"/>
              </w:rPr>
            </w:pPr>
            <w:r>
              <w:rPr>
                <w:rFonts w:ascii="Arial" w:cs="Arial" w:eastAsia="Arial" w:hAnsi="Arial"/>
                <w:sz w:val="15"/>
                <w:szCs w:val="15"/>
                <w:b w:val="1"/>
                <w:bCs w:val="1"/>
                <w:color w:val="auto"/>
              </w:rPr>
              <w:t>824</w:t>
            </w:r>
          </w:p>
        </w:tc>
        <w:tc>
          <w:tcPr>
            <w:tcW w:w="5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297</w:t>
            </w:r>
          </w:p>
        </w:tc>
        <w:tc>
          <w:tcPr>
            <w:tcW w:w="280" w:type="dxa"/>
            <w:vAlign w:val="bottom"/>
          </w:tcPr>
          <w:p>
            <w:pPr>
              <w:spacing w:after="0"/>
              <w:rPr>
                <w:sz w:val="24"/>
                <w:szCs w:val="24"/>
                <w:color w:val="auto"/>
              </w:rPr>
            </w:pPr>
          </w:p>
        </w:tc>
        <w:tc>
          <w:tcPr>
            <w:tcW w:w="540" w:type="dxa"/>
            <w:vAlign w:val="bottom"/>
          </w:tcPr>
          <w:p>
            <w:pPr>
              <w:ind w:left="440"/>
              <w:spacing w:after="0"/>
              <w:rPr>
                <w:sz w:val="20"/>
                <w:szCs w:val="20"/>
                <w:color w:val="auto"/>
              </w:rPr>
            </w:pPr>
            <w:r>
              <w:rPr>
                <w:rFonts w:ascii="Arial" w:cs="Arial" w:eastAsia="Arial" w:hAnsi="Arial"/>
                <w:sz w:val="15"/>
                <w:szCs w:val="15"/>
                <w:b w:val="1"/>
                <w:bCs w:val="1"/>
                <w:color w:val="auto"/>
                <w:w w:val="95"/>
              </w:rPr>
              <w:t>$</w:t>
            </w:r>
          </w:p>
        </w:tc>
        <w:tc>
          <w:tcPr>
            <w:tcW w:w="640" w:type="dxa"/>
            <w:vAlign w:val="bottom"/>
          </w:tcPr>
          <w:p>
            <w:pPr>
              <w:jc w:val="right"/>
              <w:ind w:right="4"/>
              <w:spacing w:after="0"/>
              <w:rPr>
                <w:sz w:val="20"/>
                <w:szCs w:val="20"/>
                <w:color w:val="auto"/>
              </w:rPr>
            </w:pPr>
            <w:r>
              <w:rPr>
                <w:rFonts w:ascii="Arial" w:cs="Arial" w:eastAsia="Arial" w:hAnsi="Arial"/>
                <w:sz w:val="15"/>
                <w:szCs w:val="15"/>
                <w:b w:val="1"/>
                <w:bCs w:val="1"/>
                <w:color w:val="auto"/>
              </w:rPr>
              <w:t>655</w:t>
            </w:r>
          </w:p>
        </w:tc>
        <w:tc>
          <w:tcPr>
            <w:tcW w:w="320" w:type="dxa"/>
            <w:vAlign w:val="bottom"/>
          </w:tcPr>
          <w:p>
            <w:pPr>
              <w:spacing w:after="0"/>
              <w:rPr>
                <w:sz w:val="24"/>
                <w:szCs w:val="24"/>
                <w:color w:val="auto"/>
              </w:rPr>
            </w:pPr>
          </w:p>
        </w:tc>
        <w:tc>
          <w:tcPr>
            <w:tcW w:w="1540" w:type="dxa"/>
            <w:vAlign w:val="bottom"/>
          </w:tcPr>
          <w:p>
            <w:pPr>
              <w:jc w:val="center"/>
              <w:ind w:left="104"/>
              <w:spacing w:after="0"/>
              <w:rPr>
                <w:sz w:val="20"/>
                <w:szCs w:val="20"/>
                <w:color w:val="auto"/>
              </w:rPr>
            </w:pPr>
            <w:r>
              <w:rPr>
                <w:rFonts w:ascii="Arial" w:cs="Arial" w:eastAsia="Arial" w:hAnsi="Arial"/>
                <w:sz w:val="15"/>
                <w:szCs w:val="15"/>
                <w:b w:val="1"/>
                <w:bCs w:val="1"/>
                <w:color w:val="auto"/>
                <w:w w:val="99"/>
              </w:rPr>
              <w:t>$500 - $600</w:t>
            </w:r>
          </w:p>
        </w:tc>
        <w:tc>
          <w:tcPr>
            <w:tcW w:w="560" w:type="dxa"/>
            <w:vAlign w:val="bottom"/>
          </w:tcPr>
          <w:p>
            <w:pPr>
              <w:jc w:val="right"/>
              <w:ind w:right="4"/>
              <w:spacing w:after="0"/>
              <w:rPr>
                <w:sz w:val="20"/>
                <w:szCs w:val="20"/>
                <w:color w:val="auto"/>
              </w:rPr>
            </w:pPr>
            <w:r>
              <w:rPr>
                <w:rFonts w:ascii="Arial" w:cs="Arial" w:eastAsia="Arial" w:hAnsi="Arial"/>
                <w:sz w:val="15"/>
                <w:szCs w:val="15"/>
                <w:b w:val="1"/>
                <w:bCs w:val="1"/>
                <w:color w:val="auto"/>
              </w:rPr>
              <w:t>$</w:t>
            </w:r>
          </w:p>
        </w:tc>
        <w:tc>
          <w:tcPr>
            <w:tcW w:w="1060" w:type="dxa"/>
            <w:vAlign w:val="bottom"/>
            <w:tcBorders>
              <w:right w:val="single" w:sz="8" w:color="auto"/>
            </w:tcBorders>
          </w:tcPr>
          <w:p>
            <w:pPr>
              <w:jc w:val="right"/>
              <w:ind w:right="304"/>
              <w:spacing w:after="0"/>
              <w:rPr>
                <w:sz w:val="20"/>
                <w:szCs w:val="20"/>
                <w:color w:val="auto"/>
              </w:rPr>
            </w:pPr>
            <w:r>
              <w:rPr>
                <w:rFonts w:ascii="Arial" w:cs="Arial" w:eastAsia="Arial" w:hAnsi="Arial"/>
                <w:sz w:val="15"/>
                <w:szCs w:val="15"/>
                <w:b w:val="1"/>
                <w:bCs w:val="1"/>
                <w:color w:val="auto"/>
              </w:rPr>
              <w:t>3,500</w:t>
            </w:r>
          </w:p>
        </w:tc>
        <w:tc>
          <w:tcPr>
            <w:tcW w:w="0" w:type="dxa"/>
            <w:vAlign w:val="bottom"/>
          </w:tcPr>
          <w:p>
            <w:pPr>
              <w:spacing w:after="0"/>
              <w:rPr>
                <w:sz w:val="1"/>
                <w:szCs w:val="1"/>
                <w:color w:val="auto"/>
              </w:rPr>
            </w:pPr>
          </w:p>
        </w:tc>
      </w:tr>
      <w:tr>
        <w:trPr>
          <w:trHeight w:val="235"/>
        </w:trPr>
        <w:tc>
          <w:tcPr>
            <w:tcW w:w="1960" w:type="dxa"/>
            <w:vAlign w:val="bottom"/>
            <w:tcBorders>
              <w:left w:val="single" w:sz="8" w:color="auto"/>
            </w:tcBorders>
          </w:tcPr>
          <w:p>
            <w:pPr>
              <w:ind w:left="260"/>
              <w:spacing w:after="0"/>
              <w:rPr>
                <w:sz w:val="20"/>
                <w:szCs w:val="20"/>
                <w:color w:val="auto"/>
              </w:rPr>
            </w:pPr>
            <w:r>
              <w:rPr>
                <w:rFonts w:ascii="Arial" w:cs="Arial" w:eastAsia="Arial" w:hAnsi="Arial"/>
                <w:sz w:val="15"/>
                <w:szCs w:val="15"/>
                <w:i w:val="1"/>
                <w:iCs w:val="1"/>
                <w:color w:val="auto"/>
              </w:rPr>
              <w:t>Adj. OIBDA Margin (%)</w:t>
            </w:r>
          </w:p>
        </w:tc>
        <w:tc>
          <w:tcPr>
            <w:tcW w:w="220" w:type="dxa"/>
            <w:vAlign w:val="bottom"/>
          </w:tcPr>
          <w:p>
            <w:pPr>
              <w:spacing w:after="0"/>
              <w:rPr>
                <w:sz w:val="20"/>
                <w:szCs w:val="20"/>
                <w:color w:val="auto"/>
              </w:rPr>
            </w:pPr>
          </w:p>
        </w:tc>
        <w:tc>
          <w:tcPr>
            <w:tcW w:w="600" w:type="dxa"/>
            <w:vAlign w:val="bottom"/>
          </w:tcPr>
          <w:p>
            <w:pPr>
              <w:jc w:val="center"/>
              <w:ind w:right="44"/>
              <w:spacing w:after="0"/>
              <w:rPr>
                <w:sz w:val="20"/>
                <w:szCs w:val="20"/>
                <w:color w:val="auto"/>
              </w:rPr>
            </w:pPr>
            <w:r>
              <w:rPr>
                <w:rFonts w:ascii="Arial" w:cs="Arial" w:eastAsia="Arial" w:hAnsi="Arial"/>
                <w:sz w:val="15"/>
                <w:szCs w:val="15"/>
                <w:i w:val="1"/>
                <w:iCs w:val="1"/>
                <w:color w:val="auto"/>
              </w:rPr>
              <w:t>12.7%</w:t>
            </w:r>
          </w:p>
        </w:tc>
        <w:tc>
          <w:tcPr>
            <w:tcW w:w="220" w:type="dxa"/>
            <w:vAlign w:val="bottom"/>
          </w:tcPr>
          <w:p>
            <w:pPr>
              <w:spacing w:after="0"/>
              <w:rPr>
                <w:sz w:val="20"/>
                <w:szCs w:val="20"/>
                <w:color w:val="auto"/>
              </w:rPr>
            </w:pPr>
          </w:p>
        </w:tc>
        <w:tc>
          <w:tcPr>
            <w:tcW w:w="580" w:type="dxa"/>
            <w:vAlign w:val="bottom"/>
          </w:tcPr>
          <w:p>
            <w:pPr>
              <w:jc w:val="center"/>
              <w:ind w:right="44"/>
              <w:spacing w:after="0"/>
              <w:rPr>
                <w:sz w:val="20"/>
                <w:szCs w:val="20"/>
                <w:color w:val="auto"/>
              </w:rPr>
            </w:pPr>
            <w:r>
              <w:rPr>
                <w:rFonts w:ascii="Arial" w:cs="Arial" w:eastAsia="Arial" w:hAnsi="Arial"/>
                <w:sz w:val="15"/>
                <w:szCs w:val="15"/>
                <w:i w:val="1"/>
                <w:iCs w:val="1"/>
                <w:color w:val="auto"/>
                <w:w w:val="99"/>
              </w:rPr>
              <w:t>5.1%</w:t>
            </w:r>
          </w:p>
        </w:tc>
        <w:tc>
          <w:tcPr>
            <w:tcW w:w="220" w:type="dxa"/>
            <w:vAlign w:val="bottom"/>
          </w:tcPr>
          <w:p>
            <w:pPr>
              <w:spacing w:after="0"/>
              <w:rPr>
                <w:sz w:val="20"/>
                <w:szCs w:val="20"/>
                <w:color w:val="auto"/>
              </w:rPr>
            </w:pPr>
          </w:p>
        </w:tc>
        <w:tc>
          <w:tcPr>
            <w:tcW w:w="600" w:type="dxa"/>
            <w:vAlign w:val="bottom"/>
          </w:tcPr>
          <w:p>
            <w:pPr>
              <w:jc w:val="center"/>
              <w:ind w:right="44"/>
              <w:spacing w:after="0"/>
              <w:rPr>
                <w:sz w:val="20"/>
                <w:szCs w:val="20"/>
                <w:color w:val="auto"/>
              </w:rPr>
            </w:pPr>
            <w:r>
              <w:rPr>
                <w:rFonts w:ascii="Arial" w:cs="Arial" w:eastAsia="Arial" w:hAnsi="Arial"/>
                <w:sz w:val="15"/>
                <w:szCs w:val="15"/>
                <w:i w:val="1"/>
                <w:iCs w:val="1"/>
                <w:color w:val="auto"/>
              </w:rPr>
              <w:t>9.6%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center"/>
              <w:ind w:right="44"/>
              <w:spacing w:after="0"/>
              <w:rPr>
                <w:sz w:val="20"/>
                <w:szCs w:val="20"/>
                <w:color w:val="auto"/>
              </w:rPr>
            </w:pPr>
            <w:r>
              <w:rPr>
                <w:rFonts w:ascii="Arial" w:cs="Arial" w:eastAsia="Arial" w:hAnsi="Arial"/>
                <w:sz w:val="15"/>
                <w:szCs w:val="15"/>
                <w:i w:val="1"/>
                <w:iCs w:val="1"/>
                <w:color w:val="auto"/>
                <w:w w:val="98"/>
              </w:rPr>
              <w:t>12.0%</w:t>
            </w:r>
          </w:p>
        </w:tc>
        <w:tc>
          <w:tcPr>
            <w:tcW w:w="500" w:type="dxa"/>
            <w:vAlign w:val="bottom"/>
          </w:tcPr>
          <w:p>
            <w:pPr>
              <w:spacing w:after="0"/>
              <w:rPr>
                <w:sz w:val="20"/>
                <w:szCs w:val="20"/>
                <w:color w:val="auto"/>
              </w:rPr>
            </w:pPr>
          </w:p>
        </w:tc>
        <w:tc>
          <w:tcPr>
            <w:tcW w:w="620" w:type="dxa"/>
            <w:vAlign w:val="bottom"/>
          </w:tcPr>
          <w:p>
            <w:pPr>
              <w:jc w:val="right"/>
              <w:ind w:right="84"/>
              <w:spacing w:after="0"/>
              <w:rPr>
                <w:sz w:val="20"/>
                <w:szCs w:val="20"/>
                <w:color w:val="auto"/>
              </w:rPr>
            </w:pPr>
            <w:r>
              <w:rPr>
                <w:rFonts w:ascii="Arial" w:cs="Arial" w:eastAsia="Arial" w:hAnsi="Arial"/>
                <w:sz w:val="15"/>
                <w:szCs w:val="15"/>
                <w:i w:val="1"/>
                <w:iCs w:val="1"/>
                <w:color w:val="auto"/>
              </w:rPr>
              <w:t>11.5%</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jc w:val="right"/>
              <w:ind w:right="104"/>
              <w:spacing w:after="0"/>
              <w:rPr>
                <w:sz w:val="20"/>
                <w:szCs w:val="20"/>
                <w:color w:val="auto"/>
              </w:rPr>
            </w:pPr>
            <w:r>
              <w:rPr>
                <w:rFonts w:ascii="Arial" w:cs="Arial" w:eastAsia="Arial" w:hAnsi="Arial"/>
                <w:sz w:val="15"/>
                <w:szCs w:val="15"/>
                <w:i w:val="1"/>
                <w:iCs w:val="1"/>
                <w:color w:val="auto"/>
              </w:rPr>
              <w:t>15.9%</w:t>
            </w:r>
          </w:p>
        </w:tc>
        <w:tc>
          <w:tcPr>
            <w:tcW w:w="320" w:type="dxa"/>
            <w:vAlign w:val="bottom"/>
          </w:tcPr>
          <w:p>
            <w:pPr>
              <w:spacing w:after="0"/>
              <w:rPr>
                <w:sz w:val="20"/>
                <w:szCs w:val="20"/>
                <w:color w:val="auto"/>
              </w:rPr>
            </w:pPr>
          </w:p>
        </w:tc>
        <w:tc>
          <w:tcPr>
            <w:tcW w:w="1540" w:type="dxa"/>
            <w:vAlign w:val="bottom"/>
          </w:tcPr>
          <w:p>
            <w:pPr>
              <w:jc w:val="center"/>
              <w:ind w:left="104"/>
              <w:spacing w:after="0"/>
              <w:rPr>
                <w:sz w:val="20"/>
                <w:szCs w:val="20"/>
                <w:color w:val="auto"/>
              </w:rPr>
            </w:pPr>
            <w:r>
              <w:rPr>
                <w:rFonts w:ascii="Arial" w:cs="Arial" w:eastAsia="Arial" w:hAnsi="Arial"/>
                <w:sz w:val="15"/>
                <w:szCs w:val="15"/>
                <w:i w:val="1"/>
                <w:iCs w:val="1"/>
                <w:color w:val="auto"/>
              </w:rPr>
              <w:t>6.7%</w:t>
            </w:r>
          </w:p>
        </w:tc>
        <w:tc>
          <w:tcPr>
            <w:tcW w:w="560" w:type="dxa"/>
            <w:vAlign w:val="bottom"/>
          </w:tcPr>
          <w:p>
            <w:pPr>
              <w:spacing w:after="0"/>
              <w:rPr>
                <w:sz w:val="20"/>
                <w:szCs w:val="20"/>
                <w:color w:val="auto"/>
              </w:rPr>
            </w:pPr>
          </w:p>
        </w:tc>
        <w:tc>
          <w:tcPr>
            <w:tcW w:w="1060" w:type="dxa"/>
            <w:vAlign w:val="bottom"/>
            <w:tcBorders>
              <w:right w:val="single" w:sz="8" w:color="auto"/>
            </w:tcBorders>
          </w:tcPr>
          <w:p>
            <w:pPr>
              <w:jc w:val="right"/>
              <w:ind w:right="484"/>
              <w:spacing w:after="0"/>
              <w:rPr>
                <w:sz w:val="20"/>
                <w:szCs w:val="20"/>
                <w:color w:val="auto"/>
              </w:rPr>
            </w:pPr>
            <w:r>
              <w:rPr>
                <w:rFonts w:ascii="Arial" w:cs="Arial" w:eastAsia="Arial" w:hAnsi="Arial"/>
                <w:sz w:val="15"/>
                <w:szCs w:val="15"/>
                <w:i w:val="1"/>
                <w:iCs w:val="1"/>
                <w:color w:val="auto"/>
              </w:rPr>
              <w:t>11.7%</w:t>
            </w:r>
          </w:p>
        </w:tc>
        <w:tc>
          <w:tcPr>
            <w:tcW w:w="0" w:type="dxa"/>
            <w:vAlign w:val="bottom"/>
          </w:tcPr>
          <w:p>
            <w:pPr>
              <w:spacing w:after="0"/>
              <w:rPr>
                <w:sz w:val="1"/>
                <w:szCs w:val="1"/>
                <w:color w:val="auto"/>
              </w:rPr>
            </w:pPr>
          </w:p>
        </w:tc>
      </w:tr>
      <w:tr>
        <w:trPr>
          <w:trHeight w:val="365"/>
        </w:trPr>
        <w:tc>
          <w:tcPr>
            <w:tcW w:w="1960" w:type="dxa"/>
            <w:vAlign w:val="bottom"/>
            <w:tcBorders>
              <w:left w:val="single" w:sz="8" w:color="auto"/>
            </w:tcBorders>
          </w:tcPr>
          <w:p>
            <w:pPr>
              <w:ind w:left="40"/>
              <w:spacing w:after="0"/>
              <w:rPr>
                <w:sz w:val="20"/>
                <w:szCs w:val="20"/>
                <w:color w:val="auto"/>
              </w:rPr>
            </w:pPr>
            <w:r>
              <w:rPr>
                <w:rFonts w:ascii="Arial" w:cs="Arial" w:eastAsia="Arial" w:hAnsi="Arial"/>
                <w:sz w:val="15"/>
                <w:szCs w:val="15"/>
                <w:b w:val="1"/>
                <w:bCs w:val="1"/>
                <w:color w:val="auto"/>
              </w:rPr>
              <w:t>Net Cash Provided by</w:t>
            </w:r>
          </w:p>
        </w:tc>
        <w:tc>
          <w:tcPr>
            <w:tcW w:w="2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60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265</w:t>
            </w:r>
          </w:p>
        </w:tc>
        <w:tc>
          <w:tcPr>
            <w:tcW w:w="2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5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168</w:t>
            </w:r>
          </w:p>
        </w:tc>
        <w:tc>
          <w:tcPr>
            <w:tcW w:w="2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60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180</w:t>
            </w:r>
          </w:p>
        </w:tc>
        <w:tc>
          <w:tcPr>
            <w:tcW w:w="80" w:type="dxa"/>
            <w:vAlign w:val="bottom"/>
          </w:tcPr>
          <w:p>
            <w:pPr>
              <w:spacing w:after="0"/>
              <w:rPr>
                <w:sz w:val="24"/>
                <w:szCs w:val="24"/>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5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159</w:t>
            </w:r>
          </w:p>
        </w:tc>
        <w:tc>
          <w:tcPr>
            <w:tcW w:w="5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(175)</w:t>
            </w:r>
          </w:p>
        </w:tc>
        <w:tc>
          <w:tcPr>
            <w:tcW w:w="280" w:type="dxa"/>
            <w:vAlign w:val="bottom"/>
          </w:tcPr>
          <w:p>
            <w:pPr>
              <w:spacing w:after="0"/>
              <w:rPr>
                <w:sz w:val="24"/>
                <w:szCs w:val="24"/>
                <w:color w:val="auto"/>
              </w:rPr>
            </w:pPr>
          </w:p>
        </w:tc>
        <w:tc>
          <w:tcPr>
            <w:tcW w:w="540" w:type="dxa"/>
            <w:vAlign w:val="bottom"/>
            <w:vMerge w:val="restart"/>
          </w:tcPr>
          <w:p>
            <w:pPr>
              <w:ind w:left="440"/>
              <w:spacing w:after="0"/>
              <w:rPr>
                <w:sz w:val="20"/>
                <w:szCs w:val="20"/>
                <w:color w:val="auto"/>
              </w:rPr>
            </w:pPr>
            <w:r>
              <w:rPr>
                <w:rFonts w:ascii="Arial" w:cs="Arial" w:eastAsia="Arial" w:hAnsi="Arial"/>
                <w:sz w:val="15"/>
                <w:szCs w:val="15"/>
                <w:b w:val="1"/>
                <w:bCs w:val="1"/>
                <w:color w:val="auto"/>
                <w:w w:val="95"/>
              </w:rPr>
              <w:t>$</w:t>
            </w:r>
          </w:p>
        </w:tc>
        <w:tc>
          <w:tcPr>
            <w:tcW w:w="64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268</w:t>
            </w: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960" w:type="dxa"/>
            <w:vAlign w:val="bottom"/>
            <w:tcBorders>
              <w:left w:val="single" w:sz="8" w:color="auto"/>
            </w:tcBorders>
            <w:vMerge w:val="restart"/>
          </w:tcPr>
          <w:p>
            <w:pPr>
              <w:ind w:left="200"/>
              <w:spacing w:after="0"/>
              <w:rPr>
                <w:sz w:val="20"/>
                <w:szCs w:val="20"/>
                <w:color w:val="auto"/>
              </w:rPr>
            </w:pPr>
            <w:r>
              <w:rPr>
                <w:rFonts w:ascii="Arial" w:cs="Arial" w:eastAsia="Arial" w:hAnsi="Arial"/>
                <w:sz w:val="15"/>
                <w:szCs w:val="15"/>
                <w:b w:val="1"/>
                <w:bCs w:val="1"/>
                <w:color w:val="auto"/>
              </w:rPr>
              <w:t>Operating Activities</w:t>
            </w:r>
          </w:p>
        </w:tc>
        <w:tc>
          <w:tcPr>
            <w:tcW w:w="22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960" w:type="dxa"/>
            <w:vAlign w:val="bottom"/>
            <w:tcBorders>
              <w:left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1960" w:type="dxa"/>
            <w:vAlign w:val="bottom"/>
            <w:tcBorders>
              <w:left w:val="single" w:sz="8" w:color="auto"/>
            </w:tcBorders>
          </w:tcPr>
          <w:p>
            <w:pPr>
              <w:ind w:left="40"/>
              <w:spacing w:after="0"/>
              <w:rPr>
                <w:sz w:val="20"/>
                <w:szCs w:val="20"/>
                <w:color w:val="auto"/>
              </w:rPr>
            </w:pPr>
            <w:r>
              <w:rPr>
                <w:rFonts w:ascii="Arial" w:cs="Arial" w:eastAsia="Arial" w:hAnsi="Arial"/>
                <w:sz w:val="15"/>
                <w:szCs w:val="15"/>
                <w:b w:val="1"/>
                <w:bCs w:val="1"/>
                <w:color w:val="auto"/>
              </w:rPr>
              <w:t>Free Cash Flow</w:t>
            </w:r>
          </w:p>
        </w:tc>
        <w:tc>
          <w:tcPr>
            <w:tcW w:w="2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0" w:type="dxa"/>
            <w:vAlign w:val="bottom"/>
          </w:tcPr>
          <w:p>
            <w:pPr>
              <w:jc w:val="right"/>
              <w:ind w:right="4"/>
              <w:spacing w:after="0"/>
              <w:rPr>
                <w:sz w:val="20"/>
                <w:szCs w:val="20"/>
                <w:color w:val="auto"/>
              </w:rPr>
            </w:pPr>
            <w:r>
              <w:rPr>
                <w:rFonts w:ascii="Arial" w:cs="Arial" w:eastAsia="Arial" w:hAnsi="Arial"/>
                <w:sz w:val="15"/>
                <w:szCs w:val="15"/>
                <w:b w:val="1"/>
                <w:bCs w:val="1"/>
                <w:color w:val="auto"/>
              </w:rPr>
              <w:t>214</w:t>
            </w:r>
          </w:p>
        </w:tc>
        <w:tc>
          <w:tcPr>
            <w:tcW w:w="2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580" w:type="dxa"/>
            <w:vAlign w:val="bottom"/>
          </w:tcPr>
          <w:p>
            <w:pPr>
              <w:jc w:val="right"/>
              <w:spacing w:after="0"/>
              <w:rPr>
                <w:sz w:val="20"/>
                <w:szCs w:val="20"/>
                <w:color w:val="auto"/>
              </w:rPr>
            </w:pPr>
            <w:r>
              <w:rPr>
                <w:rFonts w:ascii="Arial" w:cs="Arial" w:eastAsia="Arial" w:hAnsi="Arial"/>
                <w:sz w:val="15"/>
                <w:szCs w:val="15"/>
                <w:b w:val="1"/>
                <w:bCs w:val="1"/>
                <w:color w:val="auto"/>
              </w:rPr>
              <w:t>56</w:t>
            </w:r>
          </w:p>
        </w:tc>
        <w:tc>
          <w:tcPr>
            <w:tcW w:w="2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0" w:type="dxa"/>
            <w:vAlign w:val="bottom"/>
          </w:tcPr>
          <w:p>
            <w:pPr>
              <w:jc w:val="right"/>
              <w:ind w:right="4"/>
              <w:spacing w:after="0"/>
              <w:rPr>
                <w:sz w:val="20"/>
                <w:szCs w:val="20"/>
                <w:color w:val="auto"/>
              </w:rPr>
            </w:pPr>
            <w:r>
              <w:rPr>
                <w:rFonts w:ascii="Arial" w:cs="Arial" w:eastAsia="Arial" w:hAnsi="Arial"/>
                <w:sz w:val="15"/>
                <w:szCs w:val="15"/>
                <w:b w:val="1"/>
                <w:bCs w:val="1"/>
                <w:color w:val="auto"/>
              </w:rPr>
              <w:t>123</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580" w:type="dxa"/>
            <w:vAlign w:val="bottom"/>
          </w:tcPr>
          <w:p>
            <w:pPr>
              <w:jc w:val="right"/>
              <w:spacing w:after="0"/>
              <w:rPr>
                <w:sz w:val="20"/>
                <w:szCs w:val="20"/>
                <w:color w:val="auto"/>
              </w:rPr>
            </w:pPr>
            <w:r>
              <w:rPr>
                <w:rFonts w:ascii="Arial" w:cs="Arial" w:eastAsia="Arial" w:hAnsi="Arial"/>
                <w:sz w:val="15"/>
                <w:szCs w:val="15"/>
                <w:b w:val="1"/>
                <w:bCs w:val="1"/>
                <w:color w:val="auto"/>
              </w:rPr>
              <w:t>114</w:t>
            </w:r>
          </w:p>
        </w:tc>
        <w:tc>
          <w:tcPr>
            <w:tcW w:w="5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(207)</w:t>
            </w:r>
          </w:p>
        </w:tc>
        <w:tc>
          <w:tcPr>
            <w:tcW w:w="280" w:type="dxa"/>
            <w:vAlign w:val="bottom"/>
          </w:tcPr>
          <w:p>
            <w:pPr>
              <w:spacing w:after="0"/>
              <w:rPr>
                <w:sz w:val="21"/>
                <w:szCs w:val="21"/>
                <w:color w:val="auto"/>
              </w:rPr>
            </w:pPr>
          </w:p>
        </w:tc>
        <w:tc>
          <w:tcPr>
            <w:tcW w:w="540" w:type="dxa"/>
            <w:vAlign w:val="bottom"/>
          </w:tcPr>
          <w:p>
            <w:pPr>
              <w:ind w:left="440"/>
              <w:spacing w:after="0"/>
              <w:rPr>
                <w:sz w:val="20"/>
                <w:szCs w:val="20"/>
                <w:color w:val="auto"/>
              </w:rPr>
            </w:pPr>
            <w:r>
              <w:rPr>
                <w:rFonts w:ascii="Arial" w:cs="Arial" w:eastAsia="Arial" w:hAnsi="Arial"/>
                <w:sz w:val="15"/>
                <w:szCs w:val="15"/>
                <w:b w:val="1"/>
                <w:bCs w:val="1"/>
                <w:color w:val="auto"/>
                <w:w w:val="95"/>
              </w:rPr>
              <w:t>$</w:t>
            </w:r>
          </w:p>
        </w:tc>
        <w:tc>
          <w:tcPr>
            <w:tcW w:w="640" w:type="dxa"/>
            <w:vAlign w:val="bottom"/>
          </w:tcPr>
          <w:p>
            <w:pPr>
              <w:jc w:val="right"/>
              <w:ind w:right="4"/>
              <w:spacing w:after="0"/>
              <w:rPr>
                <w:sz w:val="20"/>
                <w:szCs w:val="20"/>
                <w:color w:val="auto"/>
              </w:rPr>
            </w:pPr>
            <w:r>
              <w:rPr>
                <w:rFonts w:ascii="Arial" w:cs="Arial" w:eastAsia="Arial" w:hAnsi="Arial"/>
                <w:sz w:val="15"/>
                <w:szCs w:val="15"/>
                <w:b w:val="1"/>
                <w:bCs w:val="1"/>
                <w:color w:val="auto"/>
              </w:rPr>
              <w:t>222</w:t>
            </w:r>
          </w:p>
        </w:tc>
        <w:tc>
          <w:tcPr>
            <w:tcW w:w="3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1960" w:type="dxa"/>
            <w:vAlign w:val="bottom"/>
            <w:tcBorders>
              <w:left w:val="single" w:sz="8" w:color="auto"/>
            </w:tcBorders>
          </w:tcPr>
          <w:p>
            <w:pPr>
              <w:ind w:left="40"/>
              <w:spacing w:after="0"/>
              <w:rPr>
                <w:sz w:val="20"/>
                <w:szCs w:val="20"/>
                <w:color w:val="auto"/>
              </w:rPr>
            </w:pPr>
            <w:r>
              <w:rPr>
                <w:rFonts w:ascii="Arial" w:cs="Arial" w:eastAsia="Arial" w:hAnsi="Arial"/>
                <w:sz w:val="15"/>
                <w:szCs w:val="15"/>
                <w:b w:val="1"/>
                <w:bCs w:val="1"/>
                <w:color w:val="auto"/>
              </w:rPr>
              <w:t xml:space="preserve">Shares Outstanding </w:t>
            </w:r>
            <w:r>
              <w:rPr>
                <w:rFonts w:ascii="Arial" w:cs="Arial" w:eastAsia="Arial" w:hAnsi="Arial"/>
                <w:sz w:val="19"/>
                <w:szCs w:val="19"/>
                <w:b w:val="1"/>
                <w:bCs w:val="1"/>
                <w:color w:val="auto"/>
                <w:vertAlign w:val="superscript"/>
              </w:rPr>
              <w:t>(2)</w:t>
            </w:r>
          </w:p>
        </w:tc>
        <w:tc>
          <w:tcPr>
            <w:tcW w:w="220" w:type="dxa"/>
            <w:vAlign w:val="bottom"/>
          </w:tcPr>
          <w:p>
            <w:pPr>
              <w:spacing w:after="0"/>
              <w:rPr>
                <w:sz w:val="24"/>
                <w:szCs w:val="24"/>
                <w:color w:val="auto"/>
              </w:rPr>
            </w:pPr>
          </w:p>
        </w:tc>
        <w:tc>
          <w:tcPr>
            <w:tcW w:w="600" w:type="dxa"/>
            <w:vAlign w:val="bottom"/>
          </w:tcPr>
          <w:p>
            <w:pPr>
              <w:jc w:val="right"/>
              <w:ind w:right="4"/>
              <w:spacing w:after="0"/>
              <w:rPr>
                <w:sz w:val="20"/>
                <w:szCs w:val="20"/>
                <w:color w:val="auto"/>
              </w:rPr>
            </w:pPr>
            <w:r>
              <w:rPr>
                <w:rFonts w:ascii="Arial" w:cs="Arial" w:eastAsia="Arial" w:hAnsi="Arial"/>
                <w:sz w:val="15"/>
                <w:szCs w:val="15"/>
                <w:b w:val="1"/>
                <w:bCs w:val="1"/>
                <w:color w:val="auto"/>
              </w:rPr>
              <w:t>670</w:t>
            </w:r>
          </w:p>
        </w:tc>
        <w:tc>
          <w:tcPr>
            <w:tcW w:w="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5"/>
                <w:szCs w:val="15"/>
                <w:b w:val="1"/>
                <w:bCs w:val="1"/>
                <w:color w:val="auto"/>
              </w:rPr>
              <w:t>669</w:t>
            </w:r>
          </w:p>
        </w:tc>
        <w:tc>
          <w:tcPr>
            <w:tcW w:w="220" w:type="dxa"/>
            <w:vAlign w:val="bottom"/>
          </w:tcPr>
          <w:p>
            <w:pPr>
              <w:spacing w:after="0"/>
              <w:rPr>
                <w:sz w:val="24"/>
                <w:szCs w:val="24"/>
                <w:color w:val="auto"/>
              </w:rPr>
            </w:pPr>
          </w:p>
        </w:tc>
        <w:tc>
          <w:tcPr>
            <w:tcW w:w="600" w:type="dxa"/>
            <w:vAlign w:val="bottom"/>
          </w:tcPr>
          <w:p>
            <w:pPr>
              <w:jc w:val="right"/>
              <w:ind w:right="4"/>
              <w:spacing w:after="0"/>
              <w:rPr>
                <w:sz w:val="20"/>
                <w:szCs w:val="20"/>
                <w:color w:val="auto"/>
              </w:rPr>
            </w:pPr>
            <w:r>
              <w:rPr>
                <w:rFonts w:ascii="Arial" w:cs="Arial" w:eastAsia="Arial" w:hAnsi="Arial"/>
                <w:sz w:val="15"/>
                <w:szCs w:val="15"/>
                <w:b w:val="1"/>
                <w:bCs w:val="1"/>
                <w:color w:val="auto"/>
              </w:rPr>
              <w:t>678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5"/>
                <w:szCs w:val="15"/>
                <w:b w:val="1"/>
                <w:bCs w:val="1"/>
                <w:color w:val="auto"/>
              </w:rPr>
              <w:t>680</w:t>
            </w:r>
          </w:p>
        </w:tc>
        <w:tc>
          <w:tcPr>
            <w:tcW w:w="5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675</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b w:val="1"/>
                <w:bCs w:val="1"/>
                <w:color w:val="auto"/>
              </w:rPr>
              <w:t>1,098</w:t>
            </w: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960" w:type="dxa"/>
            <w:vAlign w:val="bottom"/>
            <w:tcBorders>
              <w:left w:val="single" w:sz="8" w:color="auto"/>
            </w:tcBorders>
          </w:tcPr>
          <w:p>
            <w:pPr>
              <w:ind w:left="40"/>
              <w:spacing w:after="0"/>
              <w:rPr>
                <w:sz w:val="20"/>
                <w:szCs w:val="20"/>
                <w:color w:val="auto"/>
              </w:rPr>
            </w:pPr>
            <w:r>
              <w:rPr>
                <w:rFonts w:ascii="Arial" w:cs="Arial" w:eastAsia="Arial" w:hAnsi="Arial"/>
                <w:sz w:val="15"/>
                <w:szCs w:val="15"/>
                <w:b w:val="1"/>
                <w:bCs w:val="1"/>
                <w:color w:val="auto"/>
              </w:rPr>
              <w:t>Paramount+ Revenue</w:t>
            </w:r>
          </w:p>
        </w:tc>
        <w:tc>
          <w:tcPr>
            <w:tcW w:w="2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0" w:type="dxa"/>
            <w:vAlign w:val="bottom"/>
          </w:tcPr>
          <w:p>
            <w:pPr>
              <w:jc w:val="right"/>
              <w:ind w:right="4"/>
              <w:spacing w:after="0"/>
              <w:rPr>
                <w:sz w:val="20"/>
                <w:szCs w:val="20"/>
                <w:color w:val="auto"/>
              </w:rPr>
            </w:pPr>
            <w:r>
              <w:rPr>
                <w:rFonts w:ascii="Arial" w:cs="Arial" w:eastAsia="Arial" w:hAnsi="Arial"/>
                <w:sz w:val="15"/>
                <w:szCs w:val="15"/>
                <w:b w:val="1"/>
                <w:bCs w:val="1"/>
                <w:color w:val="auto"/>
              </w:rPr>
              <w:t>1,428</w:t>
            </w:r>
          </w:p>
        </w:tc>
        <w:tc>
          <w:tcPr>
            <w:tcW w:w="2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580" w:type="dxa"/>
            <w:vAlign w:val="bottom"/>
          </w:tcPr>
          <w:p>
            <w:pPr>
              <w:jc w:val="right"/>
              <w:spacing w:after="0"/>
              <w:rPr>
                <w:sz w:val="20"/>
                <w:szCs w:val="20"/>
                <w:color w:val="auto"/>
              </w:rPr>
            </w:pPr>
            <w:r>
              <w:rPr>
                <w:rFonts w:ascii="Arial" w:cs="Arial" w:eastAsia="Arial" w:hAnsi="Arial"/>
                <w:sz w:val="15"/>
                <w:szCs w:val="15"/>
                <w:b w:val="1"/>
                <w:bCs w:val="1"/>
                <w:color w:val="auto"/>
              </w:rPr>
              <w:t>1,564</w:t>
            </w:r>
          </w:p>
        </w:tc>
        <w:tc>
          <w:tcPr>
            <w:tcW w:w="2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0" w:type="dxa"/>
            <w:vAlign w:val="bottom"/>
          </w:tcPr>
          <w:p>
            <w:pPr>
              <w:jc w:val="right"/>
              <w:ind w:right="4"/>
              <w:spacing w:after="0"/>
              <w:rPr>
                <w:sz w:val="20"/>
                <w:szCs w:val="20"/>
                <w:color w:val="auto"/>
              </w:rPr>
            </w:pPr>
            <w:r>
              <w:rPr>
                <w:rFonts w:ascii="Arial" w:cs="Arial" w:eastAsia="Arial" w:hAnsi="Arial"/>
                <w:sz w:val="15"/>
                <w:szCs w:val="15"/>
                <w:b w:val="1"/>
                <w:bCs w:val="1"/>
                <w:color w:val="auto"/>
              </w:rPr>
              <w:t>1,686</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580" w:type="dxa"/>
            <w:vAlign w:val="bottom"/>
          </w:tcPr>
          <w:p>
            <w:pPr>
              <w:jc w:val="right"/>
              <w:spacing w:after="0"/>
              <w:rPr>
                <w:sz w:val="20"/>
                <w:szCs w:val="20"/>
                <w:color w:val="auto"/>
              </w:rPr>
            </w:pPr>
            <w:r>
              <w:rPr>
                <w:rFonts w:ascii="Arial" w:cs="Arial" w:eastAsia="Arial" w:hAnsi="Arial"/>
                <w:sz w:val="15"/>
                <w:szCs w:val="15"/>
                <w:b w:val="1"/>
                <w:bCs w:val="1"/>
                <w:color w:val="auto"/>
              </w:rPr>
              <w:t>1,771</w:t>
            </w:r>
          </w:p>
        </w:tc>
        <w:tc>
          <w:tcPr>
            <w:tcW w:w="5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709</w:t>
            </w:r>
          </w:p>
        </w:tc>
        <w:tc>
          <w:tcPr>
            <w:tcW w:w="280" w:type="dxa"/>
            <w:vAlign w:val="bottom"/>
          </w:tcPr>
          <w:p>
            <w:pPr>
              <w:spacing w:after="0"/>
              <w:rPr>
                <w:sz w:val="24"/>
                <w:szCs w:val="24"/>
                <w:color w:val="auto"/>
              </w:rPr>
            </w:pPr>
          </w:p>
        </w:tc>
        <w:tc>
          <w:tcPr>
            <w:tcW w:w="540" w:type="dxa"/>
            <w:vAlign w:val="bottom"/>
          </w:tcPr>
          <w:p>
            <w:pPr>
              <w:ind w:left="440"/>
              <w:spacing w:after="0"/>
              <w:rPr>
                <w:sz w:val="20"/>
                <w:szCs w:val="20"/>
                <w:color w:val="auto"/>
              </w:rPr>
            </w:pPr>
            <w:r>
              <w:rPr>
                <w:rFonts w:ascii="Arial" w:cs="Arial" w:eastAsia="Arial" w:hAnsi="Arial"/>
                <w:sz w:val="15"/>
                <w:szCs w:val="15"/>
                <w:b w:val="1"/>
                <w:bCs w:val="1"/>
                <w:color w:val="auto"/>
                <w:w w:val="95"/>
              </w:rPr>
              <w:t>$</w:t>
            </w:r>
          </w:p>
        </w:tc>
        <w:tc>
          <w:tcPr>
            <w:tcW w:w="640" w:type="dxa"/>
            <w:vAlign w:val="bottom"/>
          </w:tcPr>
          <w:p>
            <w:pPr>
              <w:jc w:val="right"/>
              <w:ind w:right="4"/>
              <w:spacing w:after="0"/>
              <w:rPr>
                <w:sz w:val="20"/>
                <w:szCs w:val="20"/>
                <w:color w:val="auto"/>
              </w:rPr>
            </w:pPr>
            <w:r>
              <w:rPr>
                <w:rFonts w:ascii="Arial" w:cs="Arial" w:eastAsia="Arial" w:hAnsi="Arial"/>
                <w:sz w:val="15"/>
                <w:szCs w:val="15"/>
                <w:b w:val="1"/>
                <w:bCs w:val="1"/>
                <w:color w:val="auto"/>
              </w:rPr>
              <w:t>1,060</w:t>
            </w: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960" w:type="dxa"/>
            <w:vAlign w:val="bottom"/>
            <w:tcBorders>
              <w:left w:val="single" w:sz="8" w:color="auto"/>
            </w:tcBorders>
          </w:tcPr>
          <w:p>
            <w:pPr>
              <w:ind w:left="260"/>
              <w:spacing w:after="0"/>
              <w:rPr>
                <w:sz w:val="20"/>
                <w:szCs w:val="20"/>
                <w:color w:val="auto"/>
              </w:rPr>
            </w:pPr>
            <w:r>
              <w:rPr>
                <w:rFonts w:ascii="Arial" w:cs="Arial" w:eastAsia="Arial" w:hAnsi="Arial"/>
                <w:sz w:val="15"/>
                <w:szCs w:val="15"/>
                <w:i w:val="1"/>
                <w:iCs w:val="1"/>
                <w:color w:val="auto"/>
              </w:rPr>
              <w:t>Y/Y Growth (%)</w:t>
            </w:r>
          </w:p>
        </w:tc>
        <w:tc>
          <w:tcPr>
            <w:tcW w:w="220" w:type="dxa"/>
            <w:vAlign w:val="bottom"/>
          </w:tcPr>
          <w:p>
            <w:pPr>
              <w:spacing w:after="0"/>
              <w:rPr>
                <w:sz w:val="20"/>
                <w:szCs w:val="20"/>
                <w:color w:val="auto"/>
              </w:rPr>
            </w:pPr>
          </w:p>
        </w:tc>
        <w:tc>
          <w:tcPr>
            <w:tcW w:w="600" w:type="dxa"/>
            <w:vAlign w:val="bottom"/>
          </w:tcPr>
          <w:p>
            <w:pPr>
              <w:jc w:val="center"/>
              <w:ind w:right="44"/>
              <w:spacing w:after="0"/>
              <w:rPr>
                <w:sz w:val="20"/>
                <w:szCs w:val="20"/>
                <w:color w:val="auto"/>
              </w:rPr>
            </w:pPr>
            <w:r>
              <w:rPr>
                <w:rFonts w:ascii="Arial" w:cs="Arial" w:eastAsia="Arial" w:hAnsi="Arial"/>
                <w:sz w:val="15"/>
                <w:szCs w:val="15"/>
                <w:i w:val="1"/>
                <w:iCs w:val="1"/>
                <w:color w:val="auto"/>
              </w:rPr>
              <w:t>25%</w:t>
            </w:r>
          </w:p>
        </w:tc>
        <w:tc>
          <w:tcPr>
            <w:tcW w:w="220" w:type="dxa"/>
            <w:vAlign w:val="bottom"/>
          </w:tcPr>
          <w:p>
            <w:pPr>
              <w:spacing w:after="0"/>
              <w:rPr>
                <w:sz w:val="20"/>
                <w:szCs w:val="20"/>
                <w:color w:val="auto"/>
              </w:rPr>
            </w:pPr>
          </w:p>
        </w:tc>
        <w:tc>
          <w:tcPr>
            <w:tcW w:w="580" w:type="dxa"/>
            <w:vAlign w:val="bottom"/>
          </w:tcPr>
          <w:p>
            <w:pPr>
              <w:jc w:val="center"/>
              <w:ind w:right="44"/>
              <w:spacing w:after="0"/>
              <w:rPr>
                <w:sz w:val="20"/>
                <w:szCs w:val="20"/>
                <w:color w:val="auto"/>
              </w:rPr>
            </w:pPr>
            <w:r>
              <w:rPr>
                <w:rFonts w:ascii="Arial" w:cs="Arial" w:eastAsia="Arial" w:hAnsi="Arial"/>
                <w:sz w:val="15"/>
                <w:szCs w:val="15"/>
                <w:i w:val="1"/>
                <w:iCs w:val="1"/>
                <w:color w:val="auto"/>
                <w:w w:val="99"/>
              </w:rPr>
              <w:t>16%</w:t>
            </w:r>
          </w:p>
        </w:tc>
        <w:tc>
          <w:tcPr>
            <w:tcW w:w="220" w:type="dxa"/>
            <w:vAlign w:val="bottom"/>
          </w:tcPr>
          <w:p>
            <w:pPr>
              <w:spacing w:after="0"/>
              <w:rPr>
                <w:sz w:val="20"/>
                <w:szCs w:val="20"/>
                <w:color w:val="auto"/>
              </w:rPr>
            </w:pPr>
          </w:p>
        </w:tc>
        <w:tc>
          <w:tcPr>
            <w:tcW w:w="600" w:type="dxa"/>
            <w:vAlign w:val="bottom"/>
          </w:tcPr>
          <w:p>
            <w:pPr>
              <w:jc w:val="center"/>
              <w:ind w:right="44"/>
              <w:spacing w:after="0"/>
              <w:rPr>
                <w:sz w:val="20"/>
                <w:szCs w:val="20"/>
                <w:color w:val="auto"/>
              </w:rPr>
            </w:pPr>
            <w:r>
              <w:rPr>
                <w:rFonts w:ascii="Arial" w:cs="Arial" w:eastAsia="Arial" w:hAnsi="Arial"/>
                <w:sz w:val="15"/>
                <w:szCs w:val="15"/>
                <w:i w:val="1"/>
                <w:iCs w:val="1"/>
                <w:color w:val="auto"/>
              </w:rPr>
              <w:t>16%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center"/>
              <w:ind w:right="44"/>
              <w:spacing w:after="0"/>
              <w:rPr>
                <w:sz w:val="20"/>
                <w:szCs w:val="20"/>
                <w:color w:val="auto"/>
              </w:rPr>
            </w:pPr>
            <w:r>
              <w:rPr>
                <w:rFonts w:ascii="Arial" w:cs="Arial" w:eastAsia="Arial" w:hAnsi="Arial"/>
                <w:sz w:val="15"/>
                <w:szCs w:val="15"/>
                <w:i w:val="1"/>
                <w:iCs w:val="1"/>
                <w:color w:val="auto"/>
                <w:w w:val="99"/>
              </w:rPr>
              <w:t>23%</w:t>
            </w: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1960" w:type="dxa"/>
            <w:vAlign w:val="bottom"/>
            <w:tcBorders>
              <w:left w:val="single" w:sz="8" w:color="auto"/>
            </w:tcBorders>
          </w:tcPr>
          <w:p>
            <w:pPr>
              <w:ind w:left="40"/>
              <w:spacing w:after="0"/>
              <w:rPr>
                <w:sz w:val="20"/>
                <w:szCs w:val="20"/>
                <w:color w:val="auto"/>
              </w:rPr>
            </w:pPr>
            <w:r>
              <w:rPr>
                <w:rFonts w:ascii="Arial" w:cs="Arial" w:eastAsia="Arial" w:hAnsi="Arial"/>
                <w:sz w:val="15"/>
                <w:szCs w:val="15"/>
                <w:b w:val="1"/>
                <w:bCs w:val="1"/>
                <w:color w:val="auto"/>
              </w:rPr>
              <w:t>Paramount+ Subscribers</w:t>
            </w:r>
          </w:p>
        </w:tc>
        <w:tc>
          <w:tcPr>
            <w:tcW w:w="220" w:type="dxa"/>
            <w:vAlign w:val="bottom"/>
          </w:tcPr>
          <w:p>
            <w:pPr>
              <w:spacing w:after="0"/>
              <w:rPr>
                <w:sz w:val="21"/>
                <w:szCs w:val="21"/>
                <w:color w:val="auto"/>
              </w:rPr>
            </w:pPr>
          </w:p>
        </w:tc>
        <w:tc>
          <w:tcPr>
            <w:tcW w:w="600" w:type="dxa"/>
            <w:vAlign w:val="bottom"/>
          </w:tcPr>
          <w:p>
            <w:pPr>
              <w:jc w:val="right"/>
              <w:ind w:right="4"/>
              <w:spacing w:after="0"/>
              <w:rPr>
                <w:sz w:val="20"/>
                <w:szCs w:val="20"/>
                <w:color w:val="auto"/>
              </w:rPr>
            </w:pPr>
            <w:r>
              <w:rPr>
                <w:rFonts w:ascii="Arial" w:cs="Arial" w:eastAsia="Arial" w:hAnsi="Arial"/>
                <w:sz w:val="15"/>
                <w:szCs w:val="15"/>
                <w:b w:val="1"/>
                <w:bCs w:val="1"/>
                <w:color w:val="auto"/>
              </w:rPr>
              <w:t>71.9</w:t>
            </w: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5"/>
                <w:szCs w:val="15"/>
                <w:b w:val="1"/>
                <w:bCs w:val="1"/>
                <w:color w:val="auto"/>
              </w:rPr>
              <w:t>77.5</w:t>
            </w:r>
          </w:p>
        </w:tc>
        <w:tc>
          <w:tcPr>
            <w:tcW w:w="220" w:type="dxa"/>
            <w:vAlign w:val="bottom"/>
          </w:tcPr>
          <w:p>
            <w:pPr>
              <w:spacing w:after="0"/>
              <w:rPr>
                <w:sz w:val="21"/>
                <w:szCs w:val="21"/>
                <w:color w:val="auto"/>
              </w:rPr>
            </w:pPr>
          </w:p>
        </w:tc>
        <w:tc>
          <w:tcPr>
            <w:tcW w:w="600" w:type="dxa"/>
            <w:vAlign w:val="bottom"/>
          </w:tcPr>
          <w:p>
            <w:pPr>
              <w:jc w:val="right"/>
              <w:ind w:right="4"/>
              <w:spacing w:after="0"/>
              <w:rPr>
                <w:sz w:val="20"/>
                <w:szCs w:val="20"/>
                <w:color w:val="auto"/>
              </w:rPr>
            </w:pPr>
            <w:r>
              <w:rPr>
                <w:rFonts w:ascii="Arial" w:cs="Arial" w:eastAsia="Arial" w:hAnsi="Arial"/>
                <w:sz w:val="15"/>
                <w:szCs w:val="15"/>
                <w:b w:val="1"/>
                <w:bCs w:val="1"/>
                <w:color w:val="auto"/>
              </w:rPr>
              <w:t>79.0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5"/>
                <w:szCs w:val="15"/>
                <w:b w:val="1"/>
                <w:bCs w:val="1"/>
                <w:color w:val="auto"/>
              </w:rPr>
              <w:t>77.7</w:t>
            </w: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b w:val="1"/>
                <w:bCs w:val="1"/>
                <w:color w:val="auto"/>
              </w:rPr>
              <w:t>79.1</w:t>
            </w:r>
          </w:p>
        </w:tc>
        <w:tc>
          <w:tcPr>
            <w:tcW w:w="3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1960" w:type="dxa"/>
            <w:vAlign w:val="bottom"/>
            <w:tcBorders>
              <w:left w:val="single" w:sz="8" w:color="auto"/>
            </w:tcBorders>
          </w:tcPr>
          <w:p>
            <w:pPr>
              <w:ind w:left="260"/>
              <w:spacing w:after="0"/>
              <w:rPr>
                <w:sz w:val="20"/>
                <w:szCs w:val="20"/>
                <w:color w:val="auto"/>
              </w:rPr>
            </w:pPr>
            <w:r>
              <w:rPr>
                <w:rFonts w:ascii="Arial" w:cs="Arial" w:eastAsia="Arial" w:hAnsi="Arial"/>
                <w:sz w:val="15"/>
                <w:szCs w:val="15"/>
                <w:i w:val="1"/>
                <w:iCs w:val="1"/>
                <w:color w:val="auto"/>
              </w:rPr>
              <w:t>Y/Y Growth (%)</w:t>
            </w:r>
          </w:p>
        </w:tc>
        <w:tc>
          <w:tcPr>
            <w:tcW w:w="220" w:type="dxa"/>
            <w:vAlign w:val="bottom"/>
          </w:tcPr>
          <w:p>
            <w:pPr>
              <w:spacing w:after="0"/>
              <w:rPr>
                <w:sz w:val="20"/>
                <w:szCs w:val="20"/>
                <w:color w:val="auto"/>
              </w:rPr>
            </w:pPr>
          </w:p>
        </w:tc>
        <w:tc>
          <w:tcPr>
            <w:tcW w:w="600" w:type="dxa"/>
            <w:vAlign w:val="bottom"/>
          </w:tcPr>
          <w:p>
            <w:pPr>
              <w:jc w:val="center"/>
              <w:ind w:right="44"/>
              <w:spacing w:after="0"/>
              <w:rPr>
                <w:sz w:val="20"/>
                <w:szCs w:val="20"/>
                <w:color w:val="auto"/>
              </w:rPr>
            </w:pPr>
            <w:r>
              <w:rPr>
                <w:rFonts w:ascii="Arial" w:cs="Arial" w:eastAsia="Arial" w:hAnsi="Arial"/>
                <w:sz w:val="15"/>
                <w:szCs w:val="15"/>
                <w:i w:val="1"/>
                <w:iCs w:val="1"/>
                <w:color w:val="auto"/>
              </w:rPr>
              <w:t>13%</w:t>
            </w:r>
          </w:p>
        </w:tc>
        <w:tc>
          <w:tcPr>
            <w:tcW w:w="220" w:type="dxa"/>
            <w:vAlign w:val="bottom"/>
          </w:tcPr>
          <w:p>
            <w:pPr>
              <w:spacing w:after="0"/>
              <w:rPr>
                <w:sz w:val="20"/>
                <w:szCs w:val="20"/>
                <w:color w:val="auto"/>
              </w:rPr>
            </w:pPr>
          </w:p>
        </w:tc>
        <w:tc>
          <w:tcPr>
            <w:tcW w:w="580" w:type="dxa"/>
            <w:vAlign w:val="bottom"/>
          </w:tcPr>
          <w:p>
            <w:pPr>
              <w:jc w:val="center"/>
              <w:ind w:right="44"/>
              <w:spacing w:after="0"/>
              <w:rPr>
                <w:sz w:val="20"/>
                <w:szCs w:val="20"/>
                <w:color w:val="auto"/>
              </w:rPr>
            </w:pPr>
            <w:r>
              <w:rPr>
                <w:rFonts w:ascii="Arial" w:cs="Arial" w:eastAsia="Arial" w:hAnsi="Arial"/>
                <w:sz w:val="15"/>
                <w:szCs w:val="15"/>
                <w:i w:val="1"/>
                <w:iCs w:val="1"/>
                <w:color w:val="auto"/>
                <w:w w:val="99"/>
              </w:rPr>
              <w:t>15%</w:t>
            </w:r>
          </w:p>
        </w:tc>
        <w:tc>
          <w:tcPr>
            <w:tcW w:w="220" w:type="dxa"/>
            <w:vAlign w:val="bottom"/>
          </w:tcPr>
          <w:p>
            <w:pPr>
              <w:spacing w:after="0"/>
              <w:rPr>
                <w:sz w:val="20"/>
                <w:szCs w:val="20"/>
                <w:color w:val="auto"/>
              </w:rPr>
            </w:pPr>
          </w:p>
        </w:tc>
        <w:tc>
          <w:tcPr>
            <w:tcW w:w="600" w:type="dxa"/>
            <w:vAlign w:val="bottom"/>
          </w:tcPr>
          <w:p>
            <w:pPr>
              <w:jc w:val="center"/>
              <w:ind w:right="44"/>
              <w:spacing w:after="0"/>
              <w:rPr>
                <w:sz w:val="20"/>
                <w:szCs w:val="20"/>
                <w:color w:val="auto"/>
              </w:rPr>
            </w:pPr>
            <w:r>
              <w:rPr>
                <w:rFonts w:ascii="Arial" w:cs="Arial" w:eastAsia="Arial" w:hAnsi="Arial"/>
                <w:sz w:val="15"/>
                <w:szCs w:val="15"/>
                <w:i w:val="1"/>
                <w:iCs w:val="1"/>
                <w:color w:val="auto"/>
                <w:w w:val="93"/>
              </w:rPr>
              <w:t>11%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center"/>
              <w:ind w:right="44"/>
              <w:spacing w:after="0"/>
              <w:rPr>
                <w:sz w:val="20"/>
                <w:szCs w:val="20"/>
                <w:color w:val="auto"/>
              </w:rPr>
            </w:pPr>
            <w:r>
              <w:rPr>
                <w:rFonts w:ascii="Arial" w:cs="Arial" w:eastAsia="Arial" w:hAnsi="Arial"/>
                <w:sz w:val="15"/>
                <w:szCs w:val="15"/>
                <w:i w:val="1"/>
                <w:iCs w:val="1"/>
                <w:color w:val="auto"/>
                <w:w w:val="99"/>
              </w:rPr>
              <w:t>14%</w:t>
            </w: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960" w:type="dxa"/>
            <w:vAlign w:val="bottom"/>
            <w:tcBorders>
              <w:left w:val="single" w:sz="8" w:color="auto"/>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-136525</wp:posOffset>
            </wp:positionV>
            <wp:extent cx="82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-119380</wp:posOffset>
            </wp:positionV>
            <wp:extent cx="82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-102235</wp:posOffset>
            </wp:positionV>
            <wp:extent cx="82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-85090</wp:posOffset>
            </wp:positionV>
            <wp:extent cx="82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-67945</wp:posOffset>
            </wp:positionV>
            <wp:extent cx="82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-50800</wp:posOffset>
            </wp:positionV>
            <wp:extent cx="82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-33655</wp:posOffset>
            </wp:positionV>
            <wp:extent cx="82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-16510</wp:posOffset>
            </wp:positionV>
            <wp:extent cx="82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-290830</wp:posOffset>
            </wp:positionV>
            <wp:extent cx="82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-273685</wp:posOffset>
            </wp:positionV>
            <wp:extent cx="82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-256540</wp:posOffset>
            </wp:positionV>
            <wp:extent cx="82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-239395</wp:posOffset>
            </wp:positionV>
            <wp:extent cx="82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-222250</wp:posOffset>
            </wp:positionV>
            <wp:extent cx="82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-205105</wp:posOffset>
            </wp:positionV>
            <wp:extent cx="82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-187960</wp:posOffset>
            </wp:positionV>
            <wp:extent cx="82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-170815</wp:posOffset>
            </wp:positionV>
            <wp:extent cx="825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-445135</wp:posOffset>
            </wp:positionV>
            <wp:extent cx="82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-427990</wp:posOffset>
            </wp:positionV>
            <wp:extent cx="82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-410845</wp:posOffset>
            </wp:positionV>
            <wp:extent cx="82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-393700</wp:posOffset>
            </wp:positionV>
            <wp:extent cx="82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-376555</wp:posOffset>
            </wp:positionV>
            <wp:extent cx="82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-359410</wp:posOffset>
            </wp:positionV>
            <wp:extent cx="82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-342265</wp:posOffset>
            </wp:positionV>
            <wp:extent cx="82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-325120</wp:posOffset>
            </wp:positionV>
            <wp:extent cx="825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-599440</wp:posOffset>
            </wp:positionV>
            <wp:extent cx="82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-582295</wp:posOffset>
            </wp:positionV>
            <wp:extent cx="82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-565150</wp:posOffset>
            </wp:positionV>
            <wp:extent cx="82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-548005</wp:posOffset>
            </wp:positionV>
            <wp:extent cx="82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-530860</wp:posOffset>
            </wp:positionV>
            <wp:extent cx="82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-513715</wp:posOffset>
            </wp:positionV>
            <wp:extent cx="82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-496570</wp:posOffset>
            </wp:positionV>
            <wp:extent cx="82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-479425</wp:posOffset>
            </wp:positionV>
            <wp:extent cx="825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-702310</wp:posOffset>
            </wp:positionV>
            <wp:extent cx="82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-685165</wp:posOffset>
            </wp:positionV>
            <wp:extent cx="82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-668020</wp:posOffset>
            </wp:positionV>
            <wp:extent cx="82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-650875</wp:posOffset>
            </wp:positionV>
            <wp:extent cx="82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-633730</wp:posOffset>
            </wp:positionV>
            <wp:extent cx="825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-847725</wp:posOffset>
            </wp:positionV>
            <wp:extent cx="82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-831215</wp:posOffset>
            </wp:positionV>
            <wp:extent cx="82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-814070</wp:posOffset>
            </wp:positionV>
            <wp:extent cx="82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-796290</wp:posOffset>
            </wp:positionV>
            <wp:extent cx="82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-779145</wp:posOffset>
            </wp:positionV>
            <wp:extent cx="82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-762635</wp:posOffset>
            </wp:positionV>
            <wp:extent cx="82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-745490</wp:posOffset>
            </wp:positionV>
            <wp:extent cx="82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-728345</wp:posOffset>
            </wp:positionV>
            <wp:extent cx="825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-1002665</wp:posOffset>
            </wp:positionV>
            <wp:extent cx="825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-985520</wp:posOffset>
            </wp:positionV>
            <wp:extent cx="82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-967740</wp:posOffset>
            </wp:positionV>
            <wp:extent cx="82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-950595</wp:posOffset>
            </wp:positionV>
            <wp:extent cx="82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-933450</wp:posOffset>
            </wp:positionV>
            <wp:extent cx="82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-916940</wp:posOffset>
            </wp:positionV>
            <wp:extent cx="82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-899795</wp:posOffset>
            </wp:positionV>
            <wp:extent cx="82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-882015</wp:posOffset>
            </wp:positionV>
            <wp:extent cx="825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-1276350</wp:posOffset>
            </wp:positionV>
            <wp:extent cx="82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-1259840</wp:posOffset>
            </wp:positionV>
            <wp:extent cx="82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-1242060</wp:posOffset>
            </wp:positionV>
            <wp:extent cx="82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-1224915</wp:posOffset>
            </wp:positionV>
            <wp:extent cx="82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-1208405</wp:posOffset>
            </wp:positionV>
            <wp:extent cx="825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-1190625</wp:posOffset>
            </wp:positionV>
            <wp:extent cx="82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-1174115</wp:posOffset>
            </wp:positionV>
            <wp:extent cx="82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-1156335</wp:posOffset>
            </wp:positionV>
            <wp:extent cx="82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-1139190</wp:posOffset>
            </wp:positionV>
            <wp:extent cx="82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-1122680</wp:posOffset>
            </wp:positionV>
            <wp:extent cx="825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-1104900</wp:posOffset>
            </wp:positionV>
            <wp:extent cx="82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-1088390</wp:posOffset>
            </wp:positionV>
            <wp:extent cx="825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-1071245</wp:posOffset>
            </wp:positionV>
            <wp:extent cx="825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-1053465</wp:posOffset>
            </wp:positionV>
            <wp:extent cx="82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-1036320</wp:posOffset>
            </wp:positionV>
            <wp:extent cx="825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-1370965</wp:posOffset>
            </wp:positionV>
            <wp:extent cx="82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-1353820</wp:posOffset>
            </wp:positionV>
            <wp:extent cx="82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-1336675</wp:posOffset>
            </wp:positionV>
            <wp:extent cx="825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-1319530</wp:posOffset>
            </wp:positionV>
            <wp:extent cx="82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-1302385</wp:posOffset>
            </wp:positionV>
            <wp:extent cx="825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-1517015</wp:posOffset>
            </wp:positionV>
            <wp:extent cx="82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-1499235</wp:posOffset>
            </wp:positionV>
            <wp:extent cx="82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-1482090</wp:posOffset>
            </wp:positionV>
            <wp:extent cx="82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-1465580</wp:posOffset>
            </wp:positionV>
            <wp:extent cx="825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-1447800</wp:posOffset>
            </wp:positionV>
            <wp:extent cx="82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-1431290</wp:posOffset>
            </wp:positionV>
            <wp:extent cx="82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-1413510</wp:posOffset>
            </wp:positionV>
            <wp:extent cx="82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-1396365</wp:posOffset>
            </wp:positionV>
            <wp:extent cx="825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-1670685</wp:posOffset>
            </wp:positionV>
            <wp:extent cx="82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-1653540</wp:posOffset>
            </wp:positionV>
            <wp:extent cx="82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-1637030</wp:posOffset>
            </wp:positionV>
            <wp:extent cx="825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-1619250</wp:posOffset>
            </wp:positionV>
            <wp:extent cx="82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-1602740</wp:posOffset>
            </wp:positionV>
            <wp:extent cx="82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-1584960</wp:posOffset>
            </wp:positionV>
            <wp:extent cx="82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-1567815</wp:posOffset>
            </wp:positionV>
            <wp:extent cx="82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-1551305</wp:posOffset>
            </wp:positionV>
            <wp:extent cx="825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-1774190</wp:posOffset>
            </wp:positionV>
            <wp:extent cx="82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-1756410</wp:posOffset>
            </wp:positionV>
            <wp:extent cx="82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-1739265</wp:posOffset>
            </wp:positionV>
            <wp:extent cx="82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-1722755</wp:posOffset>
            </wp:positionV>
            <wp:extent cx="825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-1704975</wp:posOffset>
            </wp:positionV>
            <wp:extent cx="825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-1919605</wp:posOffset>
            </wp:positionV>
            <wp:extent cx="82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-1902460</wp:posOffset>
            </wp:positionV>
            <wp:extent cx="825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-1885315</wp:posOffset>
            </wp:positionV>
            <wp:extent cx="82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-1868170</wp:posOffset>
            </wp:positionV>
            <wp:extent cx="82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-1851025</wp:posOffset>
            </wp:positionV>
            <wp:extent cx="82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-1833880</wp:posOffset>
            </wp:positionV>
            <wp:extent cx="82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-1816735</wp:posOffset>
            </wp:positionV>
            <wp:extent cx="825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-1799590</wp:posOffset>
            </wp:positionV>
            <wp:extent cx="825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-2073910</wp:posOffset>
            </wp:positionV>
            <wp:extent cx="825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-2056765</wp:posOffset>
            </wp:positionV>
            <wp:extent cx="82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-2039620</wp:posOffset>
            </wp:positionV>
            <wp:extent cx="82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-2022475</wp:posOffset>
            </wp:positionV>
            <wp:extent cx="82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-2005330</wp:posOffset>
            </wp:positionV>
            <wp:extent cx="82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-1988185</wp:posOffset>
            </wp:positionV>
            <wp:extent cx="825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-1971040</wp:posOffset>
            </wp:positionV>
            <wp:extent cx="82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-1953895</wp:posOffset>
            </wp:positionV>
            <wp:extent cx="825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-2228215</wp:posOffset>
            </wp:positionV>
            <wp:extent cx="82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-2211070</wp:posOffset>
            </wp:positionV>
            <wp:extent cx="82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-2193925</wp:posOffset>
            </wp:positionV>
            <wp:extent cx="82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-2176780</wp:posOffset>
            </wp:positionV>
            <wp:extent cx="82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-2159635</wp:posOffset>
            </wp:positionV>
            <wp:extent cx="825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-2142490</wp:posOffset>
            </wp:positionV>
            <wp:extent cx="82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-2125345</wp:posOffset>
            </wp:positionV>
            <wp:extent cx="82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-2108200</wp:posOffset>
            </wp:positionV>
            <wp:extent cx="825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-2382520</wp:posOffset>
            </wp:positionV>
            <wp:extent cx="82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-2365375</wp:posOffset>
            </wp:positionV>
            <wp:extent cx="82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-2348230</wp:posOffset>
            </wp:positionV>
            <wp:extent cx="825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-2331085</wp:posOffset>
            </wp:positionV>
            <wp:extent cx="825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-2313940</wp:posOffset>
            </wp:positionV>
            <wp:extent cx="825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-2296795</wp:posOffset>
            </wp:positionV>
            <wp:extent cx="825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-2279650</wp:posOffset>
            </wp:positionV>
            <wp:extent cx="82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-2262505</wp:posOffset>
            </wp:positionV>
            <wp:extent cx="825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-2536825</wp:posOffset>
            </wp:positionV>
            <wp:extent cx="82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-2519680</wp:posOffset>
            </wp:positionV>
            <wp:extent cx="82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-2502535</wp:posOffset>
            </wp:positionV>
            <wp:extent cx="825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-2485390</wp:posOffset>
            </wp:positionV>
            <wp:extent cx="82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-2468245</wp:posOffset>
            </wp:positionV>
            <wp:extent cx="825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-2451100</wp:posOffset>
            </wp:positionV>
            <wp:extent cx="825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-2433955</wp:posOffset>
            </wp:positionV>
            <wp:extent cx="825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-2416810</wp:posOffset>
            </wp:positionV>
            <wp:extent cx="8255"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-2691130</wp:posOffset>
            </wp:positionV>
            <wp:extent cx="825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-2673985</wp:posOffset>
            </wp:positionV>
            <wp:extent cx="825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-2656840</wp:posOffset>
            </wp:positionV>
            <wp:extent cx="825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-2639695</wp:posOffset>
            </wp:positionV>
            <wp:extent cx="825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-2622550</wp:posOffset>
            </wp:positionV>
            <wp:extent cx="825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-2605405</wp:posOffset>
            </wp:positionV>
            <wp:extent cx="825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-2588260</wp:posOffset>
            </wp:positionV>
            <wp:extent cx="825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-2571115</wp:posOffset>
            </wp:positionV>
            <wp:extent cx="825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-2845435</wp:posOffset>
            </wp:positionV>
            <wp:extent cx="825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-2828290</wp:posOffset>
            </wp:positionV>
            <wp:extent cx="825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-2811145</wp:posOffset>
            </wp:positionV>
            <wp:extent cx="825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-2794000</wp:posOffset>
            </wp:positionV>
            <wp:extent cx="825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-2776855</wp:posOffset>
            </wp:positionV>
            <wp:extent cx="825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-2759710</wp:posOffset>
            </wp:positionV>
            <wp:extent cx="825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-2742565</wp:posOffset>
            </wp:positionV>
            <wp:extent cx="825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-2725420</wp:posOffset>
            </wp:positionV>
            <wp:extent cx="8255"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-2999740</wp:posOffset>
            </wp:positionV>
            <wp:extent cx="825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-2982595</wp:posOffset>
            </wp:positionV>
            <wp:extent cx="825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-2965450</wp:posOffset>
            </wp:positionV>
            <wp:extent cx="825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-2948305</wp:posOffset>
            </wp:positionV>
            <wp:extent cx="82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-2931160</wp:posOffset>
            </wp:positionV>
            <wp:extent cx="825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-2914015</wp:posOffset>
            </wp:positionV>
            <wp:extent cx="825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-2896870</wp:posOffset>
            </wp:positionV>
            <wp:extent cx="825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-2879725</wp:posOffset>
            </wp:positionV>
            <wp:extent cx="825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-3154045</wp:posOffset>
            </wp:positionV>
            <wp:extent cx="825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-3136900</wp:posOffset>
            </wp:positionV>
            <wp:extent cx="825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-3119755</wp:posOffset>
            </wp:positionV>
            <wp:extent cx="825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-3102610</wp:posOffset>
            </wp:positionV>
            <wp:extent cx="825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-3085465</wp:posOffset>
            </wp:positionV>
            <wp:extent cx="825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-3068320</wp:posOffset>
            </wp:positionV>
            <wp:extent cx="825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-3051175</wp:posOffset>
            </wp:positionV>
            <wp:extent cx="825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-3034030</wp:posOffset>
            </wp:positionV>
            <wp:extent cx="8255"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-3308350</wp:posOffset>
            </wp:positionV>
            <wp:extent cx="825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-3291205</wp:posOffset>
            </wp:positionV>
            <wp:extent cx="825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-3274060</wp:posOffset>
            </wp:positionV>
            <wp:extent cx="825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-3256915</wp:posOffset>
            </wp:positionV>
            <wp:extent cx="825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-3239770</wp:posOffset>
            </wp:positionV>
            <wp:extent cx="825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-3222625</wp:posOffset>
            </wp:positionV>
            <wp:extent cx="825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-3205480</wp:posOffset>
            </wp:positionV>
            <wp:extent cx="825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-3188335</wp:posOffset>
            </wp:positionV>
            <wp:extent cx="8255"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-3462655</wp:posOffset>
            </wp:positionV>
            <wp:extent cx="825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-3445510</wp:posOffset>
            </wp:positionV>
            <wp:extent cx="825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-3428365</wp:posOffset>
            </wp:positionV>
            <wp:extent cx="825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-3411220</wp:posOffset>
            </wp:positionV>
            <wp:extent cx="825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-3394075</wp:posOffset>
            </wp:positionV>
            <wp:extent cx="825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-3376930</wp:posOffset>
            </wp:positionV>
            <wp:extent cx="825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-3359785</wp:posOffset>
            </wp:positionV>
            <wp:extent cx="825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-3342640</wp:posOffset>
            </wp:positionV>
            <wp:extent cx="825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-3616960</wp:posOffset>
            </wp:positionV>
            <wp:extent cx="825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-3599815</wp:posOffset>
            </wp:positionV>
            <wp:extent cx="825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-3582670</wp:posOffset>
            </wp:positionV>
            <wp:extent cx="825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-3565525</wp:posOffset>
            </wp:positionV>
            <wp:extent cx="825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-3548380</wp:posOffset>
            </wp:positionV>
            <wp:extent cx="825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-3531235</wp:posOffset>
            </wp:positionV>
            <wp:extent cx="825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-3514090</wp:posOffset>
            </wp:positionV>
            <wp:extent cx="825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-3496945</wp:posOffset>
            </wp:positionV>
            <wp:extent cx="825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-3796665</wp:posOffset>
            </wp:positionV>
            <wp:extent cx="825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-3771265</wp:posOffset>
            </wp:positionV>
            <wp:extent cx="825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-3754120</wp:posOffset>
            </wp:positionV>
            <wp:extent cx="825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-3736975</wp:posOffset>
            </wp:positionV>
            <wp:extent cx="825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-3719830</wp:posOffset>
            </wp:positionV>
            <wp:extent cx="825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-3702685</wp:posOffset>
            </wp:positionV>
            <wp:extent cx="825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-3685540</wp:posOffset>
            </wp:positionV>
            <wp:extent cx="825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-3668395</wp:posOffset>
            </wp:positionV>
            <wp:extent cx="825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-3651250</wp:posOffset>
            </wp:positionV>
            <wp:extent cx="825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-4319905</wp:posOffset>
            </wp:positionV>
            <wp:extent cx="5837555" cy="5143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837555" cy="514350"/>
                    </a:xfrm>
                    <a:prstGeom prst="rect">
                      <a:avLst/>
                    </a:prstGeom>
                    <a:noFill/>
                  </pic:spPr>
                </pic:pic>
              </a:graphicData>
            </a:graphic>
          </wp:anchor>
        </w:drawing>
      </w:r>
    </w:p>
    <w:p>
      <w:pPr>
        <w:spacing w:after="0" w:line="107" w:lineRule="exact"/>
        <w:rPr>
          <w:sz w:val="20"/>
          <w:szCs w:val="20"/>
          <w:color w:val="auto"/>
        </w:rPr>
      </w:pPr>
    </w:p>
    <w:p>
      <w:pPr>
        <w:ind w:right="560"/>
        <w:spacing w:after="0" w:line="271" w:lineRule="auto"/>
        <w:rPr>
          <w:sz w:val="20"/>
          <w:szCs w:val="20"/>
          <w:color w:val="auto"/>
        </w:rPr>
      </w:pPr>
      <w:r>
        <w:rPr>
          <w:rFonts w:ascii="Arial" w:cs="Arial" w:eastAsia="Arial" w:hAnsi="Arial"/>
          <w:sz w:val="20"/>
          <w:szCs w:val="20"/>
          <w:i w:val="1"/>
          <w:iCs w:val="1"/>
          <w:color w:val="auto"/>
        </w:rPr>
        <w:t>Note: (1) Diluted EPS from continuing operations attributable to Paramount or Paramount Skydance; (2) weighted average number of diluted shares outstanding</w:t>
      </w:r>
    </w:p>
    <w:p>
      <w:pPr>
        <w:spacing w:after="0" w:line="205" w:lineRule="exact"/>
        <w:rPr>
          <w:sz w:val="20"/>
          <w:szCs w:val="20"/>
          <w:color w:val="auto"/>
        </w:rPr>
      </w:pPr>
    </w:p>
    <w:p>
      <w:pPr>
        <w:ind w:right="200"/>
        <w:spacing w:after="0" w:line="253" w:lineRule="auto"/>
        <w:rPr>
          <w:sz w:val="20"/>
          <w:szCs w:val="20"/>
          <w:color w:val="auto"/>
        </w:rPr>
      </w:pPr>
      <w:r>
        <w:rPr>
          <w:rFonts w:ascii="Arial" w:cs="Arial" w:eastAsia="Arial" w:hAnsi="Arial"/>
          <w:sz w:val="22"/>
          <w:szCs w:val="22"/>
          <w:color w:val="auto"/>
        </w:rPr>
        <w:t>In the discussion of financial results, we discuss revenue on a pro forma basis in Q3, which can be found beginning on page 15. We discuss profitability for the periods before (“predecessor”) and after (“successor”) the transaction close (subsequently pre-close and post-close) separately in accordance with the financial reporting requirements for our transaction. Additional supplemental information is also available on our IR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728345</wp:posOffset>
            </wp:positionV>
            <wp:extent cx="1011555" cy="3086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01155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60"/>
          </w:cols>
          <w:pgMar w:left="320" w:top="1099" w:right="319" w:bottom="1440" w:gutter="0" w:footer="0" w:header="0"/>
        </w:sectPr>
      </w:pPr>
    </w:p>
    <w:bookmarkStart w:id="12" w:name="page13"/>
    <w:bookmarkEnd w:id="12"/>
    <w:p>
      <w:pPr>
        <w:spacing w:after="0"/>
        <w:rPr>
          <w:sz w:val="20"/>
          <w:szCs w:val="20"/>
          <w:color w:val="auto"/>
        </w:rPr>
      </w:pPr>
      <w:r>
        <w:rPr>
          <w:rFonts w:ascii="Arial" w:cs="Arial" w:eastAsia="Arial" w:hAnsi="Arial"/>
          <w:sz w:val="21"/>
          <w:szCs w:val="21"/>
          <w:color w:val="auto"/>
        </w:rPr>
        <w:t>In Q3, total revenue on a pro forma basis of $6.7 billion was flat versus predecessor revenue of $6.7 billion in Q3’24.</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color w:val="auto"/>
        </w:rPr>
        <w:t>Breakdown by segment:</w:t>
      </w:r>
    </w:p>
    <w:p>
      <w:pPr>
        <w:spacing w:after="0" w:line="132" w:lineRule="exact"/>
        <w:rPr>
          <w:sz w:val="20"/>
          <w:szCs w:val="20"/>
          <w:color w:val="auto"/>
        </w:rPr>
      </w:pPr>
    </w:p>
    <w:p>
      <w:pPr>
        <w:ind w:left="660" w:right="40" w:hanging="328"/>
        <w:spacing w:after="0" w:line="238"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22"/>
          <w:szCs w:val="22"/>
          <w:color w:val="auto"/>
        </w:rPr>
        <w:t>Revenue in our DTC business increased by 17% year-over-year, driven by a 24% increase in Paramount+ revenue, which accounts for over 80% of our DTC business. Paramount+ subscribers and ARPU</w:t>
      </w:r>
      <w:r>
        <w:rPr>
          <w:rFonts w:ascii="Arial" w:cs="Arial" w:eastAsia="Arial" w:hAnsi="Arial"/>
          <w:sz w:val="28"/>
          <w:szCs w:val="28"/>
          <w:color w:val="auto"/>
          <w:vertAlign w:val="superscript"/>
        </w:rPr>
        <w:t>3</w:t>
      </w:r>
      <w:r>
        <w:rPr>
          <w:rFonts w:ascii="Arial" w:cs="Arial" w:eastAsia="Arial" w:hAnsi="Arial"/>
          <w:sz w:val="22"/>
          <w:szCs w:val="22"/>
          <w:color w:val="auto"/>
        </w:rPr>
        <w:t xml:space="preserve"> were similar contributors to revenue growth, with 10% and 11% year-over-year growth, respectively. DTC revenue from non-Paramount+ sources, primarily Pluto, underperformed the growth of Paramount+, primarily due to lower sell out rates.</w:t>
      </w:r>
    </w:p>
    <w:p>
      <w:pPr>
        <w:spacing w:after="0" w:line="27" w:lineRule="exact"/>
        <w:rPr>
          <w:rFonts w:ascii="Arial" w:cs="Arial" w:eastAsia="Arial" w:hAnsi="Arial"/>
          <w:sz w:val="22"/>
          <w:szCs w:val="22"/>
          <w:color w:val="auto"/>
        </w:rPr>
      </w:pPr>
    </w:p>
    <w:p>
      <w:pPr>
        <w:ind w:left="660" w:right="20" w:hanging="328"/>
        <w:spacing w:after="0" w:line="253"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22"/>
          <w:szCs w:val="22"/>
          <w:color w:val="auto"/>
        </w:rPr>
        <w:t>In TV Media, revenue declined -12% year-over-year. Results were driven by advertising declines of -12%, including an eight percentage point headwind from political spending and from the comparison to the recognition in 2024 of revenue that had been previously underreported by an international sales partner; a decline in affiliate revenue of -7% year-over-year was due to a decline in pay TV subscriber volume; along with licensing and other declines of -22% year-over-year due to the timing of content delivery.</w:t>
      </w:r>
    </w:p>
    <w:p>
      <w:pPr>
        <w:spacing w:after="0" w:line="16" w:lineRule="exact"/>
        <w:rPr>
          <w:rFonts w:ascii="Arial" w:cs="Arial" w:eastAsia="Arial" w:hAnsi="Arial"/>
          <w:sz w:val="22"/>
          <w:szCs w:val="22"/>
          <w:color w:val="auto"/>
        </w:rPr>
      </w:pPr>
    </w:p>
    <w:p>
      <w:pPr>
        <w:ind w:left="660" w:right="280" w:hanging="328"/>
        <w:spacing w:after="0" w:line="271" w:lineRule="auto"/>
        <w:tabs>
          <w:tab w:leader="none" w:pos="628" w:val="left"/>
        </w:tabs>
        <w:numPr>
          <w:ilvl w:val="0"/>
          <w:numId w:val="6"/>
        </w:numPr>
        <w:rPr>
          <w:rFonts w:ascii="Times New Roman" w:cs="Times New Roman" w:eastAsia="Times New Roman" w:hAnsi="Times New Roman"/>
          <w:sz w:val="22"/>
          <w:szCs w:val="22"/>
          <w:color w:val="auto"/>
        </w:rPr>
      </w:pPr>
      <w:r>
        <w:rPr>
          <w:rFonts w:ascii="Arial" w:cs="Arial" w:eastAsia="Arial" w:hAnsi="Arial"/>
          <w:sz w:val="22"/>
          <w:szCs w:val="22"/>
          <w:color w:val="auto"/>
        </w:rPr>
        <w:t>Filmed Entertainment pro forma revenue increased 30% year-over-year versus predecessor Q3’24 revenue, primarily due to the consolidation of Skydance licensing and other revenue.</w:t>
      </w:r>
    </w:p>
    <w:p>
      <w:pPr>
        <w:spacing w:after="0" w:line="184" w:lineRule="exact"/>
        <w:rPr>
          <w:sz w:val="20"/>
          <w:szCs w:val="20"/>
          <w:color w:val="auto"/>
        </w:rPr>
      </w:pPr>
    </w:p>
    <w:p>
      <w:pPr>
        <w:ind w:right="120"/>
        <w:spacing w:after="0" w:line="225" w:lineRule="auto"/>
        <w:rPr>
          <w:sz w:val="20"/>
          <w:szCs w:val="20"/>
          <w:color w:val="auto"/>
        </w:rPr>
      </w:pPr>
      <w:r>
        <w:rPr>
          <w:rFonts w:ascii="Arial" w:cs="Arial" w:eastAsia="Arial" w:hAnsi="Arial"/>
          <w:sz w:val="22"/>
          <w:szCs w:val="22"/>
          <w:color w:val="auto"/>
        </w:rPr>
        <w:t>Operating income was $80 million (3% margin) pre-close and $244 million (6% margin) post-close</w:t>
      </w:r>
      <w:r>
        <w:rPr>
          <w:rFonts w:ascii="Arial" w:cs="Arial" w:eastAsia="Arial" w:hAnsi="Arial"/>
          <w:sz w:val="28"/>
          <w:szCs w:val="28"/>
          <w:color w:val="auto"/>
          <w:vertAlign w:val="superscript"/>
        </w:rPr>
        <w:t>4</w:t>
      </w:r>
      <w:r>
        <w:rPr>
          <w:rFonts w:ascii="Arial" w:cs="Arial" w:eastAsia="Arial" w:hAnsi="Arial"/>
          <w:sz w:val="22"/>
          <w:szCs w:val="22"/>
          <w:color w:val="auto"/>
        </w:rPr>
        <w:t>. Adj. OIBDA was $297 million (12% margin) and $655 million (16% margin) in the same periods. By segment:</w:t>
      </w:r>
    </w:p>
    <w:p>
      <w:pPr>
        <w:spacing w:after="0" w:line="95" w:lineRule="exact"/>
        <w:rPr>
          <w:sz w:val="20"/>
          <w:szCs w:val="20"/>
          <w:color w:val="auto"/>
        </w:rPr>
      </w:pPr>
    </w:p>
    <w:p>
      <w:pPr>
        <w:ind w:left="660" w:hanging="328"/>
        <w:spacing w:after="0" w:line="252" w:lineRule="auto"/>
        <w:tabs>
          <w:tab w:leader="none" w:pos="628" w:val="left"/>
        </w:tabs>
        <w:numPr>
          <w:ilvl w:val="0"/>
          <w:numId w:val="7"/>
        </w:numPr>
        <w:rPr>
          <w:rFonts w:ascii="Times New Roman" w:cs="Times New Roman" w:eastAsia="Times New Roman" w:hAnsi="Times New Roman"/>
          <w:sz w:val="22"/>
          <w:szCs w:val="22"/>
          <w:color w:val="auto"/>
        </w:rPr>
      </w:pPr>
      <w:r>
        <w:rPr>
          <w:rFonts w:ascii="Arial" w:cs="Arial" w:eastAsia="Arial" w:hAnsi="Arial"/>
          <w:sz w:val="22"/>
          <w:szCs w:val="22"/>
          <w:color w:val="auto"/>
        </w:rPr>
        <w:t>DTC adj. OIBDA was $105 million (12% margin) and $235 million (18% margin) in the pre-close and post-close periods, respectively. Our results reflect continued revenue growth and efficiency for Paramount+ in addition to a content expense benefit from reductions in content assets resulting from the change in accounting basis resulting from the merger.</w:t>
      </w:r>
    </w:p>
    <w:p>
      <w:pPr>
        <w:spacing w:after="0" w:line="16" w:lineRule="exact"/>
        <w:rPr>
          <w:rFonts w:ascii="Times New Roman" w:cs="Times New Roman" w:eastAsia="Times New Roman" w:hAnsi="Times New Roman"/>
          <w:sz w:val="22"/>
          <w:szCs w:val="22"/>
          <w:color w:val="auto"/>
        </w:rPr>
      </w:pPr>
    </w:p>
    <w:p>
      <w:pPr>
        <w:ind w:left="660" w:right="300" w:hanging="328"/>
        <w:spacing w:after="0" w:line="274" w:lineRule="auto"/>
        <w:tabs>
          <w:tab w:leader="none" w:pos="628" w:val="left"/>
        </w:tabs>
        <w:numPr>
          <w:ilvl w:val="0"/>
          <w:numId w:val="7"/>
        </w:numPr>
        <w:rPr>
          <w:rFonts w:ascii="Times New Roman" w:cs="Times New Roman" w:eastAsia="Times New Roman" w:hAnsi="Times New Roman"/>
          <w:sz w:val="22"/>
          <w:szCs w:val="22"/>
          <w:color w:val="auto"/>
        </w:rPr>
      </w:pPr>
      <w:r>
        <w:rPr>
          <w:rFonts w:ascii="Arial" w:cs="Arial" w:eastAsia="Arial" w:hAnsi="Arial"/>
          <w:sz w:val="22"/>
          <w:szCs w:val="22"/>
          <w:color w:val="auto"/>
        </w:rPr>
        <w:t>TV Media adj. OIBDA was $282 million (20% margin) and $540M (23% margin) in the same periods. Broad-based cost management supported our margin results in the periods.</w:t>
      </w:r>
    </w:p>
    <w:p>
      <w:pPr>
        <w:spacing w:after="0" w:line="1" w:lineRule="exact"/>
        <w:rPr>
          <w:rFonts w:ascii="Times New Roman" w:cs="Times New Roman" w:eastAsia="Times New Roman" w:hAnsi="Times New Roman"/>
          <w:sz w:val="22"/>
          <w:szCs w:val="22"/>
          <w:color w:val="auto"/>
        </w:rPr>
      </w:pPr>
    </w:p>
    <w:p>
      <w:pPr>
        <w:ind w:left="660" w:right="440" w:hanging="328"/>
        <w:spacing w:after="0" w:line="257" w:lineRule="auto"/>
        <w:tabs>
          <w:tab w:leader="none" w:pos="628" w:val="left"/>
        </w:tabs>
        <w:numPr>
          <w:ilvl w:val="0"/>
          <w:numId w:val="7"/>
        </w:numPr>
        <w:rPr>
          <w:rFonts w:ascii="Times New Roman" w:cs="Times New Roman" w:eastAsia="Times New Roman" w:hAnsi="Times New Roman"/>
          <w:sz w:val="22"/>
          <w:szCs w:val="22"/>
          <w:color w:val="auto"/>
        </w:rPr>
      </w:pPr>
      <w:r>
        <w:rPr>
          <w:rFonts w:ascii="Arial" w:cs="Arial" w:eastAsia="Arial" w:hAnsi="Arial"/>
          <w:sz w:val="22"/>
          <w:szCs w:val="22"/>
          <w:color w:val="auto"/>
        </w:rPr>
        <w:t>Filmed Entertainment adj. OIBDA was -$36 million (-13% margin) and -$13 million (-3% margin) in the pre-close and post-close periods, respectively. Performance was below our expectations primarily due to the performance of the in-quarter film slate.</w:t>
      </w:r>
    </w:p>
    <w:p>
      <w:pPr>
        <w:spacing w:after="0" w:line="199" w:lineRule="exact"/>
        <w:rPr>
          <w:sz w:val="20"/>
          <w:szCs w:val="20"/>
          <w:color w:val="auto"/>
        </w:rPr>
      </w:pPr>
    </w:p>
    <w:p>
      <w:pPr>
        <w:ind w:right="260"/>
        <w:spacing w:after="0" w:line="282" w:lineRule="auto"/>
        <w:rPr>
          <w:sz w:val="20"/>
          <w:szCs w:val="20"/>
          <w:color w:val="auto"/>
        </w:rPr>
      </w:pPr>
      <w:r>
        <w:rPr>
          <w:rFonts w:ascii="Arial" w:cs="Arial" w:eastAsia="Arial" w:hAnsi="Arial"/>
          <w:sz w:val="21"/>
          <w:szCs w:val="21"/>
          <w:color w:val="auto"/>
        </w:rPr>
        <w:t>Cash flow from operations was -$175 million and $268 million in the pre-close and post-close periods, respectively. Free cash flow was -$207 million and $222 million in the same periods. This included payments for restructuring, transaction-related items, and transformation initiatives of $228 million and $81 million, respectively.</w:t>
      </w:r>
    </w:p>
    <w:p>
      <w:pPr>
        <w:spacing w:after="0" w:line="175" w:lineRule="exact"/>
        <w:rPr>
          <w:sz w:val="20"/>
          <w:szCs w:val="20"/>
          <w:color w:val="auto"/>
        </w:rPr>
      </w:pPr>
    </w:p>
    <w:p>
      <w:pPr>
        <w:ind w:right="100"/>
        <w:spacing w:after="0" w:line="251" w:lineRule="auto"/>
        <w:rPr>
          <w:sz w:val="20"/>
          <w:szCs w:val="20"/>
          <w:color w:val="auto"/>
        </w:rPr>
      </w:pPr>
      <w:r>
        <w:rPr>
          <w:rFonts w:ascii="Arial" w:cs="Arial" w:eastAsia="Arial" w:hAnsi="Arial"/>
          <w:sz w:val="22"/>
          <w:szCs w:val="22"/>
          <w:color w:val="auto"/>
        </w:rPr>
        <w:t>In Q4’25, we expect total revenue of $8.1 billion to $8.3 billion or 1%-4% growth year-over-year versus Q4’24 for the predecessor company led by strength in DTC, partially offset by declines in TV Media and Filmed Entertainment. We expect adj. OIBDA of $500 million to $600 million, or a 6.7% margin at the midpoint. We anticipate transformation costs of several hundred million in Q4, which will impact our Q4 reported free cash flow. Additionally, we expect to recognize a restructuring charge of approximately $500 million in Q4 in our reported statement of operations as part of our realignment and transformation.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226314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23" w:lineRule="exact"/>
        <w:rPr>
          <w:sz w:val="20"/>
          <w:szCs w:val="20"/>
          <w:color w:val="auto"/>
        </w:rPr>
      </w:pPr>
    </w:p>
    <w:p>
      <w:pPr>
        <w:ind w:right="120" w:firstLine="8"/>
        <w:spacing w:after="0" w:line="229" w:lineRule="auto"/>
        <w:tabs>
          <w:tab w:leader="none" w:pos="103" w:val="left"/>
        </w:tabs>
        <w:numPr>
          <w:ilvl w:val="0"/>
          <w:numId w:val="8"/>
        </w:numPr>
        <w:rPr>
          <w:rFonts w:ascii="Times New Roman" w:cs="Times New Roman" w:eastAsia="Times New Roman" w:hAnsi="Times New Roman"/>
          <w:sz w:val="23"/>
          <w:szCs w:val="23"/>
          <w:color w:val="auto"/>
          <w:vertAlign w:val="superscript"/>
        </w:rPr>
      </w:pPr>
      <w:r>
        <w:rPr>
          <w:rFonts w:ascii="Arial" w:cs="Arial" w:eastAsia="Arial" w:hAnsi="Arial"/>
          <w:sz w:val="18"/>
          <w:szCs w:val="18"/>
          <w:color w:val="auto"/>
        </w:rPr>
        <w:t>We calculate average revenue per subscriber (“ARPU”) as total Paramount+ revenues during the applicable period divided by the average of Paramount+ subscribers at the beginning and end of the period, further divided by the number of months in the period.</w:t>
      </w:r>
    </w:p>
    <w:p>
      <w:pPr>
        <w:ind w:right="340"/>
        <w:spacing w:after="0" w:line="222" w:lineRule="auto"/>
        <w:rPr>
          <w:rFonts w:ascii="Times New Roman" w:cs="Times New Roman" w:eastAsia="Times New Roman" w:hAnsi="Times New Roman"/>
          <w:sz w:val="23"/>
          <w:szCs w:val="23"/>
          <w:color w:val="auto"/>
          <w:vertAlign w:val="superscript"/>
        </w:rPr>
      </w:pPr>
      <w:r>
        <w:rPr>
          <w:rFonts w:ascii="Arial" w:cs="Arial" w:eastAsia="Arial" w:hAnsi="Arial"/>
          <w:sz w:val="23"/>
          <w:szCs w:val="23"/>
          <w:color w:val="auto"/>
          <w:vertAlign w:val="superscript"/>
        </w:rPr>
        <w:t>4</w:t>
      </w:r>
      <w:r>
        <w:rPr>
          <w:rFonts w:ascii="Arial" w:cs="Arial" w:eastAsia="Arial" w:hAnsi="Arial"/>
          <w:sz w:val="18"/>
          <w:szCs w:val="18"/>
          <w:color w:val="auto"/>
        </w:rPr>
        <w:t xml:space="preserve"> As noted in the financial table above, the predecessor period reflects July 1 to August 6, 2025, and the successor period reflects results from August 7 to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1011555" cy="3086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01155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1099" w:right="359" w:bottom="1440" w:gutter="0" w:footer="0" w:header="0"/>
        </w:sectPr>
      </w:pPr>
    </w:p>
    <w:bookmarkStart w:id="13" w:name="page14"/>
    <w:bookmarkEnd w:id="13"/>
    <w:p>
      <w:pPr>
        <w:ind w:right="20"/>
        <w:spacing w:after="0" w:line="253" w:lineRule="auto"/>
        <w:rPr>
          <w:sz w:val="20"/>
          <w:szCs w:val="20"/>
          <w:color w:val="auto"/>
        </w:rPr>
      </w:pPr>
      <w:r>
        <w:rPr>
          <w:rFonts w:ascii="Arial" w:cs="Arial" w:eastAsia="Arial" w:hAnsi="Arial"/>
          <w:sz w:val="22"/>
          <w:szCs w:val="22"/>
          <w:color w:val="auto"/>
        </w:rPr>
        <w:t>For our Q4 forecast for Paramount+, we expect a similar year-over-year increase in ARPU with positive net adds below the level in Q3 due to the termination of two low-ARPU international hard bundles as we work to optimize our distribution strategy and maximize long term revenue, as noted above. For DTC profitability in Q4, we expect adj. OIBDA losses on an absolute basis due to seasonally-weighted content costs. On a full-year basis, we expect DTC to be profitable in 2025.</w:t>
      </w:r>
    </w:p>
    <w:p>
      <w:pPr>
        <w:spacing w:after="0" w:line="206" w:lineRule="exact"/>
        <w:rPr>
          <w:sz w:val="20"/>
          <w:szCs w:val="20"/>
          <w:color w:val="auto"/>
        </w:rPr>
      </w:pPr>
    </w:p>
    <w:p>
      <w:pPr>
        <w:jc w:val="both"/>
        <w:ind w:right="160"/>
        <w:spacing w:after="0" w:line="257" w:lineRule="auto"/>
        <w:rPr>
          <w:sz w:val="20"/>
          <w:szCs w:val="20"/>
          <w:color w:val="auto"/>
        </w:rPr>
      </w:pPr>
      <w:r>
        <w:rPr>
          <w:rFonts w:ascii="Arial" w:cs="Arial" w:eastAsia="Arial" w:hAnsi="Arial"/>
          <w:sz w:val="22"/>
          <w:szCs w:val="22"/>
          <w:color w:val="auto"/>
        </w:rPr>
        <w:t>As a note on subscriber reporting, starting in Q4’25, we will count only paid Paramount+ subscribers in our reported figures instead of including those on free trials, as we do currently. At the end of Q3, free trial subscribers totaled 1.2 million.</w:t>
      </w:r>
    </w:p>
    <w:p>
      <w:pPr>
        <w:spacing w:after="0" w:line="213"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For 2026, we expect total revenue of $30 billion, or 4% growth year-over-year versus the midpoint of our 2025 forecast, led by a healthy acceleration in DTC revenue. In DTC, we expect a strong increase in Paramount+ ARPU as a result of our upcoming price change and beneficial mix shift within our subscriber base, driven in part by optimizing our distribution strategy as we expect to terminate additional international hard bundles in 2026.</w:t>
      </w:r>
    </w:p>
    <w:p>
      <w:pPr>
        <w:spacing w:after="0" w:line="202" w:lineRule="exact"/>
        <w:rPr>
          <w:sz w:val="20"/>
          <w:szCs w:val="20"/>
          <w:color w:val="auto"/>
        </w:rPr>
      </w:pPr>
    </w:p>
    <w:p>
      <w:pPr>
        <w:ind w:right="60"/>
        <w:spacing w:after="0" w:line="251" w:lineRule="auto"/>
        <w:rPr>
          <w:sz w:val="20"/>
          <w:szCs w:val="20"/>
          <w:color w:val="auto"/>
        </w:rPr>
      </w:pPr>
      <w:r>
        <w:rPr>
          <w:rFonts w:ascii="Arial" w:cs="Arial" w:eastAsia="Arial" w:hAnsi="Arial"/>
          <w:sz w:val="22"/>
          <w:szCs w:val="22"/>
          <w:color w:val="auto"/>
        </w:rPr>
        <w:t xml:space="preserve">We expect our strong DTC revenue growth to be partially offset by declines in TV Media affiliate and advertising with continued headwinds from the pay TV industry on affiliate revenue and lower advertising revenue year-over-year. For linear advertising, we expect a more moderate decline versus 2025 including the combined effects of expected political spending in 2026, our new ad agency partnerships, and the sale of Telefe and the planned sale of Chilevision. In Filmed Entertainment, we expect theatrical revenue to be down year-over-year as we work to recalibrate our film slate and as we compare against </w:t>
      </w:r>
      <w:r>
        <w:rPr>
          <w:rFonts w:ascii="Arial" w:cs="Arial" w:eastAsia="Arial" w:hAnsi="Arial"/>
          <w:sz w:val="22"/>
          <w:szCs w:val="22"/>
          <w:i w:val="1"/>
          <w:iCs w:val="1"/>
          <w:color w:val="auto"/>
        </w:rPr>
        <w:t>Mission: Impossible – The Final Reckoning</w:t>
      </w:r>
      <w:r>
        <w:rPr>
          <w:rFonts w:ascii="Arial" w:cs="Arial" w:eastAsia="Arial" w:hAnsi="Arial"/>
          <w:sz w:val="22"/>
          <w:szCs w:val="22"/>
          <w:color w:val="auto"/>
        </w:rPr>
        <w:t xml:space="preserve"> in 2025</w:t>
      </w:r>
      <w:r>
        <w:rPr>
          <w:rFonts w:ascii="Arial" w:cs="Arial" w:eastAsia="Arial" w:hAnsi="Arial"/>
          <w:sz w:val="22"/>
          <w:szCs w:val="22"/>
          <w:i w:val="1"/>
          <w:iCs w:val="1"/>
          <w:color w:val="auto"/>
        </w:rPr>
        <w:t>.</w:t>
      </w:r>
    </w:p>
    <w:p>
      <w:pPr>
        <w:spacing w:after="0" w:line="208" w:lineRule="exact"/>
        <w:rPr>
          <w:sz w:val="20"/>
          <w:szCs w:val="20"/>
          <w:color w:val="auto"/>
        </w:rPr>
      </w:pPr>
    </w:p>
    <w:p>
      <w:pPr>
        <w:ind w:right="280"/>
        <w:spacing w:after="0" w:line="257" w:lineRule="auto"/>
        <w:rPr>
          <w:sz w:val="20"/>
          <w:szCs w:val="20"/>
          <w:color w:val="auto"/>
        </w:rPr>
      </w:pPr>
      <w:r>
        <w:rPr>
          <w:rFonts w:ascii="Arial" w:cs="Arial" w:eastAsia="Arial" w:hAnsi="Arial"/>
          <w:sz w:val="22"/>
          <w:szCs w:val="22"/>
          <w:color w:val="auto"/>
        </w:rPr>
        <w:t>For 2026, we expect adj. OIBDA of $3.5 billion, or an 11.7% margin, driven by progress against our $3 billion-plus efficiencies plan, as well as the incremental investments we are making in the business across content and technology which are expected to drive both significant DTC revenue growth and overhead cost reductions in 2027 and beyond.</w:t>
      </w:r>
    </w:p>
    <w:p>
      <w:pPr>
        <w:spacing w:after="0" w:line="199" w:lineRule="exact"/>
        <w:rPr>
          <w:sz w:val="20"/>
          <w:szCs w:val="20"/>
          <w:color w:val="auto"/>
        </w:rPr>
      </w:pPr>
    </w:p>
    <w:p>
      <w:pPr>
        <w:ind w:right="40"/>
        <w:spacing w:after="0" w:line="253" w:lineRule="auto"/>
        <w:rPr>
          <w:sz w:val="20"/>
          <w:szCs w:val="20"/>
          <w:color w:val="auto"/>
        </w:rPr>
      </w:pPr>
      <w:r>
        <w:rPr>
          <w:rFonts w:ascii="Arial" w:cs="Arial" w:eastAsia="Arial" w:hAnsi="Arial"/>
          <w:sz w:val="22"/>
          <w:szCs w:val="22"/>
          <w:color w:val="auto"/>
        </w:rPr>
        <w:t xml:space="preserve">For the DTC segment, we expect to grow our profitability in 2026, driven by accelerating revenue growth as well as an ongoing benefit from the new accounting basis, even as we meaningfully bolster our streaming slate including UFC, </w:t>
      </w:r>
      <w:r>
        <w:rPr>
          <w:rFonts w:ascii="Arial" w:cs="Arial" w:eastAsia="Arial" w:hAnsi="Arial"/>
          <w:sz w:val="22"/>
          <w:szCs w:val="22"/>
          <w:i w:val="1"/>
          <w:iCs w:val="1"/>
          <w:color w:val="auto"/>
        </w:rPr>
        <w:t>South Park</w:t>
      </w:r>
      <w:r>
        <w:rPr>
          <w:rFonts w:ascii="Arial" w:cs="Arial" w:eastAsia="Arial" w:hAnsi="Arial"/>
          <w:sz w:val="22"/>
          <w:szCs w:val="22"/>
          <w:color w:val="auto"/>
        </w:rPr>
        <w:t>, and several hundred million of investment in incremental film and series for Paramount+ as we focus on building towards long-term success in streaming. In Filmed Entertainment, we expect to return to profitability on a full year basis in 2026.</w:t>
      </w:r>
    </w:p>
    <w:p>
      <w:pPr>
        <w:spacing w:after="0" w:line="206" w:lineRule="exact"/>
        <w:rPr>
          <w:sz w:val="20"/>
          <w:szCs w:val="20"/>
          <w:color w:val="auto"/>
        </w:rPr>
      </w:pPr>
    </w:p>
    <w:p>
      <w:pPr>
        <w:ind w:right="20"/>
        <w:spacing w:after="0" w:line="272" w:lineRule="auto"/>
        <w:rPr>
          <w:sz w:val="20"/>
          <w:szCs w:val="20"/>
          <w:color w:val="auto"/>
        </w:rPr>
      </w:pPr>
      <w:r>
        <w:rPr>
          <w:rFonts w:ascii="Arial" w:cs="Arial" w:eastAsia="Arial" w:hAnsi="Arial"/>
          <w:sz w:val="22"/>
          <w:szCs w:val="22"/>
          <w:color w:val="auto"/>
        </w:rPr>
        <w:t>We expect free cash flow conversion of approximately 5% before roughly $800 million of non-recurring transformation costs, as previously noted.</w:t>
      </w:r>
    </w:p>
    <w:p>
      <w:pPr>
        <w:spacing w:after="0" w:line="183" w:lineRule="exact"/>
        <w:rPr>
          <w:sz w:val="20"/>
          <w:szCs w:val="20"/>
          <w:color w:val="auto"/>
        </w:rPr>
      </w:pPr>
    </w:p>
    <w:p>
      <w:pPr>
        <w:ind w:right="60"/>
        <w:spacing w:after="0" w:line="253" w:lineRule="auto"/>
        <w:rPr>
          <w:sz w:val="20"/>
          <w:szCs w:val="20"/>
          <w:color w:val="auto"/>
        </w:rPr>
      </w:pPr>
      <w:r>
        <w:rPr>
          <w:rFonts w:ascii="Arial" w:cs="Arial" w:eastAsia="Arial" w:hAnsi="Arial"/>
          <w:sz w:val="22"/>
          <w:szCs w:val="22"/>
          <w:color w:val="auto"/>
        </w:rPr>
        <w:t>We intend to re-segment our financials starting with our Q1’26 results to reflect our business reorganization across DTC, TV Media, and Studios. This change will effectively house all production and IP in one place with Studios, including almost all licensing revenue, to give a clearer picture of the growth and value of our Studios business. The remaining TV Media segment will be comprised of our broadcasting and cable businesses. There will be no impact to reporting for our DTC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490220</wp:posOffset>
            </wp:positionV>
            <wp:extent cx="1011555" cy="3086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01155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099" w:right="339" w:bottom="1440" w:gutter="0" w:footer="0" w:header="0"/>
        </w:sectPr>
      </w:pPr>
    </w:p>
    <w:bookmarkStart w:id="14" w:name="page15"/>
    <w:bookmarkEnd w:id="14"/>
    <w:p>
      <w:pPr>
        <w:ind w:right="640"/>
        <w:spacing w:after="0" w:line="285" w:lineRule="auto"/>
        <w:rPr>
          <w:sz w:val="20"/>
          <w:szCs w:val="20"/>
          <w:color w:val="auto"/>
        </w:rPr>
      </w:pPr>
      <w:r>
        <w:rPr>
          <w:rFonts w:ascii="Arial" w:cs="Arial" w:eastAsia="Arial" w:hAnsi="Arial"/>
          <w:sz w:val="22"/>
          <w:szCs w:val="22"/>
          <w:b w:val="1"/>
          <w:bCs w:val="1"/>
          <w:color w:val="auto"/>
        </w:rPr>
        <w:t>Relentless focus on our North Star priorities will enable us to achieve our medium-term financial goals, which are</w:t>
      </w:r>
      <w:r>
        <w:rPr>
          <w:rFonts w:ascii="Arial" w:cs="Arial" w:eastAsia="Arial" w:hAnsi="Arial"/>
          <w:sz w:val="22"/>
          <w:szCs w:val="22"/>
          <w:color w:val="auto"/>
        </w:rPr>
        <w:t>:</w:t>
      </w:r>
    </w:p>
    <w:p>
      <w:pPr>
        <w:spacing w:after="0" w:line="22" w:lineRule="exact"/>
        <w:rPr>
          <w:sz w:val="20"/>
          <w:szCs w:val="20"/>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Arial" w:cs="Arial" w:eastAsia="Arial" w:hAnsi="Arial"/>
          <w:sz w:val="22"/>
          <w:szCs w:val="22"/>
          <w:color w:val="auto"/>
        </w:rPr>
        <w:t>Transition the company to have sustainable topline growth driven by DTC leadership,</w:t>
      </w:r>
    </w:p>
    <w:p>
      <w:pPr>
        <w:spacing w:after="0" w:line="30" w:lineRule="exact"/>
        <w:rPr>
          <w:rFonts w:ascii="Arial" w:cs="Arial" w:eastAsia="Arial" w:hAnsi="Arial"/>
          <w:sz w:val="22"/>
          <w:szCs w:val="22"/>
          <w:color w:val="auto"/>
        </w:rPr>
      </w:pPr>
    </w:p>
    <w:p>
      <w:pPr>
        <w:ind w:left="620" w:hanging="288"/>
        <w:spacing w:after="0"/>
        <w:tabs>
          <w:tab w:leader="none" w:pos="620" w:val="left"/>
        </w:tabs>
        <w:numPr>
          <w:ilvl w:val="0"/>
          <w:numId w:val="9"/>
        </w:numPr>
        <w:rPr>
          <w:rFonts w:ascii="Times New Roman" w:cs="Times New Roman" w:eastAsia="Times New Roman" w:hAnsi="Times New Roman"/>
          <w:sz w:val="22"/>
          <w:szCs w:val="22"/>
          <w:color w:val="auto"/>
        </w:rPr>
      </w:pPr>
      <w:r>
        <w:rPr>
          <w:rFonts w:ascii="Arial" w:cs="Arial" w:eastAsia="Arial" w:hAnsi="Arial"/>
          <w:sz w:val="22"/>
          <w:szCs w:val="22"/>
          <w:color w:val="auto"/>
        </w:rPr>
        <w:t>with increasing margins and growing FCF conversion,</w:t>
      </w:r>
    </w:p>
    <w:p>
      <w:pPr>
        <w:spacing w:after="0" w:line="9"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9"/>
        </w:numPr>
        <w:rPr>
          <w:rFonts w:ascii="Times New Roman" w:cs="Times New Roman" w:eastAsia="Times New Roman" w:hAnsi="Times New Roman"/>
          <w:sz w:val="22"/>
          <w:szCs w:val="22"/>
          <w:color w:val="auto"/>
        </w:rPr>
      </w:pPr>
      <w:r>
        <w:rPr>
          <w:rFonts w:ascii="Arial" w:cs="Arial" w:eastAsia="Arial" w:hAnsi="Arial"/>
          <w:sz w:val="22"/>
          <w:szCs w:val="22"/>
          <w:color w:val="auto"/>
        </w:rPr>
        <w:t>while managing our balance sheet to quickly regain investment grade debt metrics.</w:t>
      </w:r>
    </w:p>
    <w:p>
      <w:pPr>
        <w:spacing w:after="0" w:line="226" w:lineRule="exact"/>
        <w:rPr>
          <w:sz w:val="20"/>
          <w:szCs w:val="20"/>
          <w:color w:val="auto"/>
        </w:rPr>
      </w:pPr>
    </w:p>
    <w:p>
      <w:pPr>
        <w:ind w:right="120"/>
        <w:spacing w:after="0" w:line="261" w:lineRule="auto"/>
        <w:rPr>
          <w:sz w:val="20"/>
          <w:szCs w:val="20"/>
          <w:color w:val="auto"/>
        </w:rPr>
      </w:pPr>
      <w:r>
        <w:rPr>
          <w:rFonts w:ascii="Arial" w:cs="Arial" w:eastAsia="Arial" w:hAnsi="Arial"/>
          <w:sz w:val="22"/>
          <w:szCs w:val="22"/>
          <w:color w:val="auto"/>
        </w:rPr>
        <w:t xml:space="preserve">We see a multi-year path ahead during which time we will make the necessary strategic changes and investments to reach our goals. </w:t>
      </w:r>
      <w:r>
        <w:rPr>
          <w:rFonts w:ascii="Arial" w:cs="Arial" w:eastAsia="Arial" w:hAnsi="Arial"/>
          <w:sz w:val="22"/>
          <w:szCs w:val="22"/>
          <w:b w:val="1"/>
          <w:bCs w:val="1"/>
          <w:color w:val="auto"/>
        </w:rPr>
        <w:t>Over the mid-term we see a clear opportunity to deliver sustainable topline growth and</w:t>
      </w:r>
      <w:r>
        <w:rPr>
          <w:rFonts w:ascii="Arial" w:cs="Arial" w:eastAsia="Arial" w:hAnsi="Arial"/>
          <w:sz w:val="22"/>
          <w:szCs w:val="22"/>
          <w:color w:val="auto"/>
        </w:rPr>
        <w:t xml:space="preserve"> </w:t>
      </w:r>
      <w:r>
        <w:rPr>
          <w:rFonts w:ascii="Arial" w:cs="Arial" w:eastAsia="Arial" w:hAnsi="Arial"/>
          <w:sz w:val="22"/>
          <w:szCs w:val="22"/>
          <w:b w:val="1"/>
          <w:bCs w:val="1"/>
          <w:color w:val="auto"/>
        </w:rPr>
        <w:t>meaningfully close the gap between our profit margin and free cash flow conversion versus those of other leading media companies</w:t>
      </w:r>
      <w:r>
        <w:rPr>
          <w:rFonts w:ascii="Arial" w:cs="Arial" w:eastAsia="Arial" w:hAnsi="Arial"/>
          <w:sz w:val="22"/>
          <w:szCs w:val="22"/>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F4761"/>
        </w:rPr>
        <w:t>Capital Structure &amp; Capital Allocation</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auto"/>
        </w:rPr>
        <w:t>Paramount Skydance ended the quarter with $3.3 billion in cash and cash equivalents and $13.6 billion in gross debt. As we make progress against our current transformation plan, we expect to achieve investment grade debt metrics by the end of 2027. We have $433 million in debt maturing over the next 12 months.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Our capital allocation priorities are to:</w:t>
      </w:r>
    </w:p>
    <w:p>
      <w:pPr>
        <w:spacing w:after="0" w:line="15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Invest organically for long-term profitable growth in our business</w:t>
      </w:r>
    </w:p>
    <w:p>
      <w:pPr>
        <w:spacing w:after="0" w:line="23"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Consider M&amp;A where it accelerates our path towards achieving our North Star and other financial goals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Manage our balance sheet to regain and then maintain investment grade credit metrics</w:t>
      </w:r>
    </w:p>
    <w:p>
      <w:pPr>
        <w:spacing w:after="0" w:line="10" w:lineRule="exact"/>
        <w:rPr>
          <w:rFonts w:ascii="Arial" w:cs="Arial" w:eastAsia="Arial" w:hAnsi="Arial"/>
          <w:sz w:val="22"/>
          <w:szCs w:val="22"/>
          <w:color w:val="auto"/>
        </w:rPr>
      </w:pPr>
    </w:p>
    <w:p>
      <w:pPr>
        <w:ind w:left="660" w:right="620" w:hanging="328"/>
        <w:spacing w:after="0" w:line="259" w:lineRule="auto"/>
        <w:tabs>
          <w:tab w:leader="none" w:pos="665" w:val="left"/>
        </w:tabs>
        <w:numPr>
          <w:ilvl w:val="0"/>
          <w:numId w:val="10"/>
        </w:numPr>
        <w:rPr>
          <w:rFonts w:ascii="Arial" w:cs="Arial" w:eastAsia="Arial" w:hAnsi="Arial"/>
          <w:sz w:val="22"/>
          <w:szCs w:val="22"/>
          <w:color w:val="auto"/>
        </w:rPr>
      </w:pPr>
      <w:r>
        <w:rPr>
          <w:rFonts w:ascii="Arial" w:cs="Arial" w:eastAsia="Arial" w:hAnsi="Arial"/>
          <w:sz w:val="22"/>
          <w:szCs w:val="22"/>
          <w:color w:val="auto"/>
        </w:rPr>
        <w:t>Return excess cash to shareholders beyond our current dividend once we reach investment grade credit metrics</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F4761"/>
        </w:rPr>
        <w:t>Closing</w:t>
      </w:r>
    </w:p>
    <w:p>
      <w:pPr>
        <w:spacing w:after="0" w:line="152" w:lineRule="exact"/>
        <w:rPr>
          <w:sz w:val="20"/>
          <w:szCs w:val="20"/>
          <w:color w:val="auto"/>
        </w:rPr>
      </w:pPr>
    </w:p>
    <w:p>
      <w:pPr>
        <w:ind w:right="40"/>
        <w:spacing w:after="0" w:line="257" w:lineRule="auto"/>
        <w:rPr>
          <w:sz w:val="20"/>
          <w:szCs w:val="20"/>
          <w:color w:val="auto"/>
        </w:rPr>
      </w:pPr>
      <w:r>
        <w:rPr>
          <w:rFonts w:ascii="Arial" w:cs="Arial" w:eastAsia="Arial" w:hAnsi="Arial"/>
          <w:sz w:val="22"/>
          <w:szCs w:val="22"/>
          <w:color w:val="auto"/>
        </w:rPr>
        <w:t>As we near the 100-day mark, we are energized by the progress we’ve made and the path ahead. By maintaining our relentless focus on our North Star priorities, we are building a foundation for multi-year growth as well as technology and cost transformation.</w:t>
      </w:r>
    </w:p>
    <w:p>
      <w:pPr>
        <w:spacing w:after="0" w:line="200" w:lineRule="exact"/>
        <w:rPr>
          <w:sz w:val="20"/>
          <w:szCs w:val="20"/>
          <w:color w:val="auto"/>
        </w:rPr>
      </w:pPr>
    </w:p>
    <w:p>
      <w:pPr>
        <w:ind w:right="120"/>
        <w:spacing w:after="0" w:line="264" w:lineRule="auto"/>
        <w:rPr>
          <w:sz w:val="20"/>
          <w:szCs w:val="20"/>
          <w:color w:val="auto"/>
        </w:rPr>
      </w:pPr>
      <w:r>
        <w:rPr>
          <w:rFonts w:ascii="Arial" w:cs="Arial" w:eastAsia="Arial" w:hAnsi="Arial"/>
          <w:sz w:val="22"/>
          <w:szCs w:val="22"/>
          <w:color w:val="auto"/>
        </w:rPr>
        <w:t>Looking ahead, over the medium term we see real opportunity to expand our topline, grow profitability, and strengthen free cash flow conversion – moving us closer to the performance of leading media companies and driving lasting value for our shareholders.</w:t>
      </w:r>
    </w:p>
    <w:p>
      <w:pPr>
        <w:spacing w:after="0" w:line="191" w:lineRule="exact"/>
        <w:rPr>
          <w:sz w:val="20"/>
          <w:szCs w:val="20"/>
          <w:color w:val="auto"/>
        </w:rPr>
      </w:pPr>
    </w:p>
    <w:p>
      <w:pPr>
        <w:ind w:right="820"/>
        <w:spacing w:after="0" w:line="272" w:lineRule="auto"/>
        <w:rPr>
          <w:sz w:val="20"/>
          <w:szCs w:val="20"/>
          <w:color w:val="auto"/>
        </w:rPr>
      </w:pPr>
      <w:r>
        <w:rPr>
          <w:rFonts w:ascii="Arial" w:cs="Arial" w:eastAsia="Arial" w:hAnsi="Arial"/>
          <w:sz w:val="22"/>
          <w:szCs w:val="22"/>
          <w:color w:val="auto"/>
        </w:rPr>
        <w:t xml:space="preserve">Today, we are more committed than ever to building a company that honors Paramount’s storied legacy while positioning us to lead and innovate for the future. </w:t>
      </w:r>
      <w:r>
        <w:rPr>
          <w:rFonts w:ascii="Arial" w:cs="Arial" w:eastAsia="Arial" w:hAnsi="Arial"/>
          <w:sz w:val="22"/>
          <w:szCs w:val="22"/>
          <w:i w:val="1"/>
          <w:iCs w:val="1"/>
          <w:color w:val="auto"/>
        </w:rPr>
        <w:t>Let’s go!</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David Ellison</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Chairman &amp; CEO</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color w:val="auto"/>
        </w:rPr>
        <w:t>Paramount, a Skydance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495300</wp:posOffset>
            </wp:positionV>
            <wp:extent cx="1011555" cy="3086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01155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097" w:right="339" w:bottom="1440" w:gutter="0" w:footer="0" w:header="0"/>
        </w:sectPr>
      </w:pPr>
    </w:p>
    <w:bookmarkStart w:id="15" w:name="page16"/>
    <w:bookmarkEnd w:id="15"/>
    <w:p>
      <w:pPr>
        <w:spacing w:after="0"/>
        <w:rPr>
          <w:sz w:val="20"/>
          <w:szCs w:val="20"/>
          <w:color w:val="auto"/>
        </w:rPr>
      </w:pPr>
      <w:r>
        <w:rPr>
          <w:rFonts w:ascii="Arial" w:cs="Arial" w:eastAsia="Arial" w:hAnsi="Arial"/>
          <w:sz w:val="22"/>
          <w:szCs w:val="22"/>
          <w:b w:val="1"/>
          <w:bCs w:val="1"/>
          <w:color w:val="auto"/>
        </w:rPr>
        <w:t>Cautionary Note Concerning Forward-Looking Statements</w:t>
      </w:r>
    </w:p>
    <w:p>
      <w:pPr>
        <w:spacing w:after="0" w:line="154" w:lineRule="exact"/>
        <w:rPr>
          <w:sz w:val="20"/>
          <w:szCs w:val="20"/>
          <w:color w:val="auto"/>
        </w:rPr>
      </w:pPr>
    </w:p>
    <w:p>
      <w:pPr>
        <w:spacing w:after="0" w:line="258" w:lineRule="auto"/>
        <w:rPr>
          <w:sz w:val="20"/>
          <w:szCs w:val="20"/>
          <w:color w:val="auto"/>
        </w:rPr>
      </w:pPr>
      <w:r>
        <w:rPr>
          <w:rFonts w:ascii="Arial" w:cs="Arial" w:eastAsia="Arial" w:hAnsi="Arial"/>
          <w:sz w:val="21"/>
          <w:szCs w:val="21"/>
          <w:color w:val="auto"/>
        </w:rPr>
        <w:t>This letter contains both historical and forward-looking statements, including statements related to our future financial results and performance, potential achievements, anticipated reporting segments and industry changes and developments. All statements that are not statements of historical fact are, or may be deemed to be, forward-looking statements within the meaning of the Private Securities Litigation Reform Act of 1995. Similarly, statements that describe our objectives, plans or goals are or may be forward-looking statements. These forward-looking statements reflect our current expectations concerning future results and events; generally can be identified by the use of statements that include phrases such as “believe,” “expect,” “anticipate,” “intend,” “plan,” “foresee,” “likely,” “will,” “may,” “could,” “estimate” or other similar words or phrases; and involve known and unknown risks, uncertainties and other factors that are difficult to predict and which may cause our actual results, performance or achievements to be different from any future results, performance or achievements expressed or implied by these statements. These risks, uncertainties and other factors include, among others: risks related to our streaming business; the adverse impact on our advertising revenues as a result of changes in consumer behavior, advertising market conditions and deficiencies in audience measurement; risks related to operating in highly competitive and dynamic industries, including cost increases; the unpredictable nature of consumer behavior, as well as evolving technologies and distribution models; risks related to our decisions to make investments in new businesses, products, services and technologies, and the evolution of our business strategy; the potential for loss of carriage or other reduction in or the impact of negotiations for the distribution of our content; damage to our reputation or brands; losses due to asset impairment charges for goodwill, intangible assets, FCC licenses and content; liabilities related to discontinued operations and former businesses; increasing scrutiny of, and evolving expectations for, sustainability initiatives; evolving business continuity, cybersecurity, privacy and data protection and similar risks; content infringement; domestic and global political, economic and regulatory factors affecting our businesses generally, including tariffs and other changes in trade policies; the inability to hire or retain key employees or secure creative talent; disruptions to our operations as a result of labor disputes; the risks and costs associated with the integration of, and our ability to integrate, the businesses of Paramount Global and Skydance Media, LLC successfully and to achieve anticipated synergies; volatility in the prices of our Class B Common Stock; potential conflicts of interest arising from our ownership structure with a controlling stockholder; and other factors described in our news releases and filings with the Securities and Exchange Commission, including but not limited to Paramount Global’s most recent Annual Report on Form 10-K and their and our reports on Form 10-Q and Form 8-K. There may be additional risks, uncertainties and factors that we do not currently view as material or that are not necessarily known. The forward-looking statements included in this letter are made only as of the date hereof, and we do not undertake any obligation to publicly update any forward-looking statements to reflect subsequent events or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478790</wp:posOffset>
            </wp:positionV>
            <wp:extent cx="1011555" cy="3086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01155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320" w:top="1097" w:right="379" w:bottom="1440" w:gutter="0" w:footer="0" w:header="0"/>
        </w:sectPr>
      </w:pPr>
    </w:p>
    <w:bookmarkStart w:id="16" w:name="page17"/>
    <w:bookmarkEnd w:id="16"/>
    <w:p>
      <w:pPr>
        <w:spacing w:after="0"/>
        <w:rPr>
          <w:sz w:val="20"/>
          <w:szCs w:val="20"/>
          <w:color w:val="auto"/>
        </w:rPr>
      </w:pPr>
      <w:r>
        <w:rPr>
          <w:rFonts w:ascii="Arial" w:cs="Arial" w:eastAsia="Arial" w:hAnsi="Arial"/>
          <w:sz w:val="22"/>
          <w:szCs w:val="22"/>
          <w:b w:val="1"/>
          <w:bCs w:val="1"/>
          <w:color w:val="auto"/>
        </w:rPr>
        <w:t>Financial Statement Presentation</w:t>
      </w:r>
    </w:p>
    <w:p>
      <w:pPr>
        <w:spacing w:after="0" w:line="154" w:lineRule="exact"/>
        <w:rPr>
          <w:sz w:val="20"/>
          <w:szCs w:val="20"/>
          <w:color w:val="auto"/>
        </w:rPr>
      </w:pPr>
    </w:p>
    <w:p>
      <w:pPr>
        <w:ind w:right="300"/>
        <w:spacing w:after="0" w:line="249" w:lineRule="auto"/>
        <w:rPr>
          <w:sz w:val="20"/>
          <w:szCs w:val="20"/>
          <w:color w:val="auto"/>
        </w:rPr>
      </w:pPr>
      <w:r>
        <w:rPr>
          <w:rFonts w:ascii="Arial" w:cs="Arial" w:eastAsia="Arial" w:hAnsi="Arial"/>
          <w:sz w:val="22"/>
          <w:szCs w:val="22"/>
          <w:color w:val="auto"/>
        </w:rPr>
        <w:t>On August 7, 2025, Paramount Global and Skydance Media, LLC (“Skydance”) became subsidiaries of Paramount Skydance Corporation, pursuant to a transaction agreement entered into on July 7, 2024 (the transactions contemplated by the Transaction Agreement, the “Transactions”).</w:t>
      </w:r>
    </w:p>
    <w:p>
      <w:pPr>
        <w:spacing w:after="0" w:line="2" w:lineRule="exact"/>
        <w:rPr>
          <w:sz w:val="20"/>
          <w:szCs w:val="20"/>
          <w:color w:val="auto"/>
        </w:rPr>
      </w:pPr>
    </w:p>
    <w:p>
      <w:pPr>
        <w:ind w:right="20"/>
        <w:spacing w:after="0" w:line="247" w:lineRule="auto"/>
        <w:rPr>
          <w:sz w:val="20"/>
          <w:szCs w:val="20"/>
          <w:color w:val="auto"/>
        </w:rPr>
      </w:pPr>
      <w:r>
        <w:rPr>
          <w:rFonts w:ascii="Arial" w:cs="Arial" w:eastAsia="Arial" w:hAnsi="Arial"/>
          <w:sz w:val="22"/>
          <w:szCs w:val="22"/>
          <w:color w:val="auto"/>
        </w:rPr>
        <w:t>Our consolidated financial statements within our Form 10-Q for the third quarter of 2025 are presented in two distinct periods to indicate a new basis of accounting established for Paramount Global’s net assets upon the closing of the Transactions. The periods prior to August 7, 2025 include only Paramount Global and are identified as “Predecessor”, and the periods beginning on August 7, 2025 reflect Paramount Skydance Corporation and are identified as “Successor”. Due to the new accounting basis, the results of operations and cash flows are not comparable between the Successor and Predecessor periods.</w:t>
      </w:r>
    </w:p>
    <w:p>
      <w:pPr>
        <w:spacing w:after="0" w:line="227" w:lineRule="exact"/>
        <w:rPr>
          <w:sz w:val="20"/>
          <w:szCs w:val="20"/>
          <w:color w:val="auto"/>
        </w:rPr>
      </w:pPr>
    </w:p>
    <w:p>
      <w:pPr>
        <w:ind w:right="80"/>
        <w:spacing w:after="0" w:line="249" w:lineRule="auto"/>
        <w:rPr>
          <w:sz w:val="20"/>
          <w:szCs w:val="20"/>
          <w:color w:val="auto"/>
        </w:rPr>
      </w:pPr>
      <w:r>
        <w:rPr>
          <w:rFonts w:ascii="Arial" w:cs="Arial" w:eastAsia="Arial" w:hAnsi="Arial"/>
          <w:sz w:val="22"/>
          <w:szCs w:val="22"/>
          <w:color w:val="auto"/>
        </w:rPr>
        <w:t>The presentation within this letter, financial statements, and supplemental disclosures of non-GAAP financial measures also reflect the distinction between the Successor and Predecessor periods. In addition, in order to help investors view our results in a manner consistent with our management we are including the below supplemental presentation of pro forma revenue, which reflects the inclusion of Skydance revenues after the elimination of intercompany revenues from Paramount Global in each of the Predecessor periods and, for the third quarter of 2025, the combination of the Predecessor and Successor periods during the quarter.</w:t>
      </w:r>
    </w:p>
    <w:p>
      <w:pPr>
        <w:spacing w:after="0" w:line="221" w:lineRule="exact"/>
        <w:rPr>
          <w:sz w:val="20"/>
          <w:szCs w:val="20"/>
          <w:color w:val="auto"/>
        </w:rPr>
      </w:pPr>
    </w:p>
    <w:p>
      <w:pPr>
        <w:ind w:right="500"/>
        <w:spacing w:after="0" w:line="272" w:lineRule="auto"/>
        <w:rPr>
          <w:sz w:val="20"/>
          <w:szCs w:val="20"/>
          <w:color w:val="auto"/>
        </w:rPr>
      </w:pPr>
      <w:r>
        <w:rPr>
          <w:rFonts w:ascii="Arial" w:cs="Arial" w:eastAsia="Arial" w:hAnsi="Arial"/>
          <w:sz w:val="22"/>
          <w:szCs w:val="22"/>
          <w:color w:val="auto"/>
        </w:rPr>
        <w:t>Refer to Note 1 of our Form 10-Q for the third quarter of 2025 for additional details regarding the new accounting basis established following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097"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22"/>
          <w:szCs w:val="22"/>
          <w:b w:val="1"/>
          <w:bCs w:val="1"/>
          <w:color w:val="auto"/>
        </w:rPr>
        <w:t>Supplemental Pro Forma Revenues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in millions)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Consolidated</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Three Months Ended September 30, 2025 and 2024</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2120" w:type="dxa"/>
            <w:vAlign w:val="bottom"/>
            <w:tcBorders>
              <w:top w:val="single" w:sz="8" w:color="auto"/>
            </w:tcBorders>
          </w:tcPr>
          <w:p>
            <w:pPr>
              <w:spacing w:after="0"/>
              <w:rPr>
                <w:sz w:val="23"/>
                <w:szCs w:val="23"/>
                <w:color w:val="auto"/>
              </w:rPr>
            </w:pPr>
          </w:p>
        </w:tc>
        <w:tc>
          <w:tcPr>
            <w:tcW w:w="1460" w:type="dxa"/>
            <w:vAlign w:val="bottom"/>
            <w:tcBorders>
              <w:top w:val="single" w:sz="8" w:color="auto"/>
              <w:bottom w:val="single" w:sz="8" w:color="auto"/>
              <w:right w:val="single" w:sz="8" w:color="auto"/>
            </w:tcBorders>
            <w:gridSpan w:val="2"/>
          </w:tcPr>
          <w:p>
            <w:pPr>
              <w:jc w:val="center"/>
              <w:ind w:right="39"/>
              <w:spacing w:after="0"/>
              <w:rPr>
                <w:sz w:val="20"/>
                <w:szCs w:val="20"/>
                <w:color w:val="auto"/>
              </w:rPr>
            </w:pPr>
            <w:r>
              <w:rPr>
                <w:rFonts w:ascii="Arial" w:cs="Arial" w:eastAsia="Arial" w:hAnsi="Arial"/>
                <w:sz w:val="16"/>
                <w:szCs w:val="16"/>
                <w:b w:val="1"/>
                <w:bCs w:val="1"/>
                <w:color w:val="auto"/>
              </w:rPr>
              <w:t>Successor</w:t>
            </w:r>
          </w:p>
        </w:tc>
        <w:tc>
          <w:tcPr>
            <w:tcW w:w="440" w:type="dxa"/>
            <w:vAlign w:val="bottom"/>
            <w:tcBorders>
              <w:top w:val="single" w:sz="8" w:color="auto"/>
              <w:bottom w:val="single" w:sz="8" w:color="auto"/>
            </w:tcBorders>
          </w:tcPr>
          <w:p>
            <w:pPr>
              <w:spacing w:after="0"/>
              <w:rPr>
                <w:sz w:val="23"/>
                <w:szCs w:val="23"/>
                <w:color w:val="auto"/>
              </w:rPr>
            </w:pPr>
          </w:p>
        </w:tc>
        <w:tc>
          <w:tcPr>
            <w:tcW w:w="1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Predecessor</w:t>
            </w:r>
          </w:p>
        </w:tc>
        <w:tc>
          <w:tcPr>
            <w:tcW w:w="960" w:type="dxa"/>
            <w:vAlign w:val="bottom"/>
            <w:tcBorders>
              <w:top w:val="single" w:sz="8" w:color="auto"/>
              <w:bottom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340" w:type="dxa"/>
            <w:vAlign w:val="bottom"/>
            <w:tcBorders>
              <w:top w:val="single" w:sz="8" w:color="auto"/>
              <w:bottom w:val="single" w:sz="8" w:color="auto"/>
            </w:tcBorders>
          </w:tcPr>
          <w:p>
            <w:pPr>
              <w:spacing w:after="0"/>
              <w:rPr>
                <w:sz w:val="23"/>
                <w:szCs w:val="23"/>
                <w:color w:val="auto"/>
              </w:rPr>
            </w:pPr>
          </w:p>
        </w:tc>
        <w:tc>
          <w:tcPr>
            <w:tcW w:w="3460" w:type="dxa"/>
            <w:vAlign w:val="bottom"/>
            <w:tcBorders>
              <w:top w:val="single" w:sz="8" w:color="auto"/>
              <w:bottom w:val="single" w:sz="8" w:color="auto"/>
            </w:tcBorders>
            <w:gridSpan w:val="5"/>
          </w:tcPr>
          <w:p>
            <w:pPr>
              <w:jc w:val="right"/>
              <w:ind w:right="59"/>
              <w:spacing w:after="0"/>
              <w:rPr>
                <w:sz w:val="20"/>
                <w:szCs w:val="20"/>
                <w:color w:val="auto"/>
              </w:rPr>
            </w:pPr>
            <w:r>
              <w:rPr>
                <w:rFonts w:ascii="Arial" w:cs="Arial" w:eastAsia="Arial" w:hAnsi="Arial"/>
                <w:sz w:val="16"/>
                <w:szCs w:val="16"/>
                <w:b w:val="1"/>
                <w:bCs w:val="1"/>
                <w:color w:val="auto"/>
              </w:rPr>
              <w:t xml:space="preserve">Supplemental Pro Forma Revenues </w:t>
            </w:r>
            <w:r>
              <w:rPr>
                <w:rFonts w:ascii="Arial" w:cs="Arial" w:eastAsia="Arial" w:hAnsi="Arial"/>
                <w:sz w:val="21"/>
                <w:szCs w:val="21"/>
                <w:b w:val="1"/>
                <w:bCs w:val="1"/>
                <w:color w:val="auto"/>
                <w:vertAlign w:val="superscript"/>
              </w:rPr>
              <w:t>(a)</w:t>
            </w:r>
          </w:p>
        </w:tc>
        <w:tc>
          <w:tcPr>
            <w:tcW w:w="640" w:type="dxa"/>
            <w:vAlign w:val="bottom"/>
            <w:tcBorders>
              <w:top w:val="single" w:sz="8" w:color="auto"/>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2120" w:type="dxa"/>
            <w:vAlign w:val="bottom"/>
          </w:tcPr>
          <w:p>
            <w:pPr>
              <w:spacing w:after="0"/>
              <w:rPr>
                <w:sz w:val="16"/>
                <w:szCs w:val="16"/>
                <w:color w:val="auto"/>
              </w:rPr>
            </w:pPr>
          </w:p>
        </w:tc>
        <w:tc>
          <w:tcPr>
            <w:tcW w:w="1460" w:type="dxa"/>
            <w:vAlign w:val="bottom"/>
            <w:tcBorders>
              <w:right w:val="single" w:sz="8" w:color="auto"/>
            </w:tcBorders>
            <w:gridSpan w:val="2"/>
          </w:tcPr>
          <w:p>
            <w:pPr>
              <w:jc w:val="center"/>
              <w:ind w:right="19"/>
              <w:spacing w:after="0"/>
              <w:rPr>
                <w:sz w:val="20"/>
                <w:szCs w:val="20"/>
                <w:color w:val="auto"/>
              </w:rPr>
            </w:pPr>
            <w:r>
              <w:rPr>
                <w:rFonts w:ascii="Arial" w:cs="Arial" w:eastAsia="Arial" w:hAnsi="Arial"/>
                <w:sz w:val="16"/>
                <w:szCs w:val="16"/>
                <w:b w:val="1"/>
                <w:bCs w:val="1"/>
                <w:color w:val="auto"/>
              </w:rPr>
              <w:t>Period From</w:t>
            </w:r>
          </w:p>
        </w:tc>
        <w:tc>
          <w:tcPr>
            <w:tcW w:w="144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rPr>
              <w:t>Period From</w:t>
            </w:r>
          </w:p>
        </w:tc>
        <w:tc>
          <w:tcPr>
            <w:tcW w:w="172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rPr>
              <w:t>Three Months</w:t>
            </w: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vMerge w:val="restart"/>
          </w:tcPr>
          <w:p>
            <w:pPr>
              <w:jc w:val="right"/>
              <w:ind w:right="419"/>
              <w:spacing w:after="0"/>
              <w:rPr>
                <w:sz w:val="20"/>
                <w:szCs w:val="20"/>
                <w:color w:val="auto"/>
              </w:rPr>
            </w:pPr>
            <w:r>
              <w:rPr>
                <w:rFonts w:ascii="Arial" w:cs="Arial" w:eastAsia="Arial" w:hAnsi="Arial"/>
                <w:sz w:val="16"/>
                <w:szCs w:val="16"/>
                <w:b w:val="1"/>
                <w:bCs w:val="1"/>
                <w:color w:val="auto"/>
              </w:rPr>
              <w:t>Pro forma</w:t>
            </w:r>
          </w:p>
        </w:tc>
        <w:tc>
          <w:tcPr>
            <w:tcW w:w="0" w:type="dxa"/>
            <w:vAlign w:val="bottom"/>
          </w:tcPr>
          <w:p>
            <w:pPr>
              <w:spacing w:after="0"/>
              <w:rPr>
                <w:sz w:val="1"/>
                <w:szCs w:val="1"/>
                <w:color w:val="auto"/>
              </w:rPr>
            </w:pPr>
          </w:p>
        </w:tc>
      </w:tr>
      <w:tr>
        <w:trPr>
          <w:trHeight w:val="94"/>
        </w:trPr>
        <w:tc>
          <w:tcPr>
            <w:tcW w:w="2120" w:type="dxa"/>
            <w:vAlign w:val="bottom"/>
          </w:tcPr>
          <w:p>
            <w:pPr>
              <w:spacing w:after="0"/>
              <w:rPr>
                <w:sz w:val="8"/>
                <w:szCs w:val="8"/>
                <w:color w:val="auto"/>
              </w:rPr>
            </w:pPr>
          </w:p>
        </w:tc>
        <w:tc>
          <w:tcPr>
            <w:tcW w:w="1460" w:type="dxa"/>
            <w:vAlign w:val="bottom"/>
            <w:tcBorders>
              <w:right w:val="single" w:sz="8" w:color="auto"/>
            </w:tcBorders>
            <w:gridSpan w:val="2"/>
            <w:vMerge w:val="restart"/>
          </w:tcPr>
          <w:p>
            <w:pPr>
              <w:jc w:val="center"/>
              <w:ind w:right="19"/>
              <w:spacing w:after="0"/>
              <w:rPr>
                <w:sz w:val="20"/>
                <w:szCs w:val="20"/>
                <w:color w:val="auto"/>
              </w:rPr>
            </w:pPr>
            <w:r>
              <w:rPr>
                <w:rFonts w:ascii="Arial" w:cs="Arial" w:eastAsia="Arial" w:hAnsi="Arial"/>
                <w:sz w:val="16"/>
                <w:szCs w:val="16"/>
                <w:b w:val="1"/>
                <w:bCs w:val="1"/>
                <w:color w:val="auto"/>
              </w:rPr>
              <w:t>August 7 -</w:t>
            </w:r>
          </w:p>
        </w:tc>
        <w:tc>
          <w:tcPr>
            <w:tcW w:w="1440" w:type="dxa"/>
            <w:vAlign w:val="bottom"/>
            <w:gridSpan w:val="2"/>
            <w:vMerge w:val="restart"/>
          </w:tcPr>
          <w:p>
            <w:pPr>
              <w:jc w:val="right"/>
              <w:ind w:right="79"/>
              <w:spacing w:after="0"/>
              <w:rPr>
                <w:sz w:val="20"/>
                <w:szCs w:val="20"/>
                <w:color w:val="auto"/>
              </w:rPr>
            </w:pPr>
            <w:r>
              <w:rPr>
                <w:rFonts w:ascii="Arial" w:cs="Arial" w:eastAsia="Arial" w:hAnsi="Arial"/>
                <w:sz w:val="16"/>
                <w:szCs w:val="16"/>
                <w:b w:val="1"/>
                <w:bCs w:val="1"/>
                <w:color w:val="auto"/>
              </w:rPr>
              <w:t>July 1 - August</w:t>
            </w:r>
          </w:p>
        </w:tc>
        <w:tc>
          <w:tcPr>
            <w:tcW w:w="1720" w:type="dxa"/>
            <w:vAlign w:val="bottom"/>
            <w:gridSpan w:val="3"/>
            <w:vMerge w:val="restart"/>
          </w:tcPr>
          <w:p>
            <w:pPr>
              <w:jc w:val="center"/>
              <w:ind w:right="40"/>
              <w:spacing w:after="0"/>
              <w:rPr>
                <w:sz w:val="20"/>
                <w:szCs w:val="20"/>
                <w:color w:val="auto"/>
              </w:rPr>
            </w:pPr>
            <w:r>
              <w:rPr>
                <w:rFonts w:ascii="Arial" w:cs="Arial" w:eastAsia="Arial" w:hAnsi="Arial"/>
                <w:sz w:val="16"/>
                <w:szCs w:val="16"/>
                <w:b w:val="1"/>
                <w:bCs w:val="1"/>
                <w:color w:val="auto"/>
                <w:w w:val="99"/>
              </w:rPr>
              <w:t>Ended September</w:t>
            </w:r>
          </w:p>
        </w:tc>
        <w:tc>
          <w:tcPr>
            <w:tcW w:w="2620" w:type="dxa"/>
            <w:vAlign w:val="bottom"/>
            <w:gridSpan w:val="4"/>
            <w:vMerge w:val="restart"/>
          </w:tcPr>
          <w:p>
            <w:pPr>
              <w:jc w:val="right"/>
              <w:ind w:right="19"/>
              <w:spacing w:after="0"/>
              <w:rPr>
                <w:sz w:val="20"/>
                <w:szCs w:val="20"/>
                <w:color w:val="auto"/>
              </w:rPr>
            </w:pPr>
            <w:r>
              <w:rPr>
                <w:rFonts w:ascii="Arial" w:cs="Arial" w:eastAsia="Arial" w:hAnsi="Arial"/>
                <w:sz w:val="16"/>
                <w:szCs w:val="16"/>
                <w:b w:val="1"/>
                <w:bCs w:val="1"/>
                <w:color w:val="auto"/>
              </w:rPr>
              <w:t>Three Months Ended September</w:t>
            </w:r>
          </w:p>
        </w:tc>
        <w:tc>
          <w:tcPr>
            <w:tcW w:w="180" w:type="dxa"/>
            <w:vAlign w:val="bottom"/>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120" w:type="dxa"/>
            <w:vAlign w:val="bottom"/>
          </w:tcPr>
          <w:p>
            <w:pPr>
              <w:spacing w:after="0"/>
              <w:rPr>
                <w:sz w:val="8"/>
                <w:szCs w:val="8"/>
                <w:color w:val="auto"/>
              </w:rPr>
            </w:pPr>
          </w:p>
        </w:tc>
        <w:tc>
          <w:tcPr>
            <w:tcW w:w="1460" w:type="dxa"/>
            <w:vAlign w:val="bottom"/>
            <w:tcBorders>
              <w:right w:val="single" w:sz="8" w:color="auto"/>
            </w:tcBorders>
            <w:gridSpan w:val="2"/>
            <w:vMerge w:val="continue"/>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2620" w:type="dxa"/>
            <w:vAlign w:val="bottom"/>
            <w:gridSpan w:val="4"/>
            <w:vMerge w:val="continue"/>
          </w:tcPr>
          <w:p>
            <w:pPr>
              <w:spacing w:after="0"/>
              <w:rPr>
                <w:sz w:val="8"/>
                <w:szCs w:val="8"/>
                <w:color w:val="auto"/>
              </w:rPr>
            </w:pPr>
          </w:p>
        </w:tc>
        <w:tc>
          <w:tcPr>
            <w:tcW w:w="180" w:type="dxa"/>
            <w:vAlign w:val="bottom"/>
          </w:tcPr>
          <w:p>
            <w:pPr>
              <w:spacing w:after="0"/>
              <w:rPr>
                <w:sz w:val="8"/>
                <w:szCs w:val="8"/>
                <w:color w:val="auto"/>
              </w:rPr>
            </w:pPr>
          </w:p>
        </w:tc>
        <w:tc>
          <w:tcPr>
            <w:tcW w:w="1640" w:type="dxa"/>
            <w:vAlign w:val="bottom"/>
            <w:gridSpan w:val="2"/>
            <w:vMerge w:val="restart"/>
          </w:tcPr>
          <w:p>
            <w:pPr>
              <w:jc w:val="right"/>
              <w:ind w:right="39"/>
              <w:spacing w:after="0"/>
              <w:rPr>
                <w:sz w:val="20"/>
                <w:szCs w:val="20"/>
                <w:color w:val="auto"/>
              </w:rPr>
            </w:pPr>
            <w:r>
              <w:rPr>
                <w:rFonts w:ascii="Arial" w:cs="Arial" w:eastAsia="Arial" w:hAnsi="Arial"/>
                <w:sz w:val="16"/>
                <w:szCs w:val="16"/>
                <w:b w:val="1"/>
                <w:bCs w:val="1"/>
                <w:color w:val="auto"/>
                <w:w w:val="99"/>
              </w:rPr>
              <w:t>Increase/(Decrease)</w:t>
            </w:r>
          </w:p>
        </w:tc>
        <w:tc>
          <w:tcPr>
            <w:tcW w:w="0" w:type="dxa"/>
            <w:vAlign w:val="bottom"/>
          </w:tcPr>
          <w:p>
            <w:pPr>
              <w:spacing w:after="0"/>
              <w:rPr>
                <w:sz w:val="1"/>
                <w:szCs w:val="1"/>
                <w:color w:val="auto"/>
              </w:rPr>
            </w:pPr>
          </w:p>
        </w:tc>
      </w:tr>
      <w:tr>
        <w:trPr>
          <w:trHeight w:val="128"/>
        </w:trPr>
        <w:tc>
          <w:tcPr>
            <w:tcW w:w="2120" w:type="dxa"/>
            <w:vAlign w:val="bottom"/>
          </w:tcPr>
          <w:p>
            <w:pPr>
              <w:spacing w:after="0"/>
              <w:rPr>
                <w:sz w:val="11"/>
                <w:szCs w:val="11"/>
                <w:color w:val="auto"/>
              </w:rPr>
            </w:pPr>
          </w:p>
        </w:tc>
        <w:tc>
          <w:tcPr>
            <w:tcW w:w="1460" w:type="dxa"/>
            <w:vAlign w:val="bottom"/>
            <w:tcBorders>
              <w:right w:val="single" w:sz="8" w:color="auto"/>
            </w:tcBorders>
            <w:gridSpan w:val="2"/>
            <w:vMerge w:val="restart"/>
          </w:tcPr>
          <w:p>
            <w:pPr>
              <w:jc w:val="center"/>
              <w:ind w:right="19"/>
              <w:spacing w:after="0"/>
              <w:rPr>
                <w:sz w:val="20"/>
                <w:szCs w:val="20"/>
                <w:color w:val="auto"/>
              </w:rPr>
            </w:pPr>
            <w:r>
              <w:rPr>
                <w:rFonts w:ascii="Arial" w:cs="Arial" w:eastAsia="Arial" w:hAnsi="Arial"/>
                <w:sz w:val="16"/>
                <w:szCs w:val="16"/>
                <w:b w:val="1"/>
                <w:bCs w:val="1"/>
                <w:color w:val="auto"/>
              </w:rPr>
              <w:t>September 30,</w:t>
            </w:r>
          </w:p>
        </w:tc>
        <w:tc>
          <w:tcPr>
            <w:tcW w:w="440" w:type="dxa"/>
            <w:vAlign w:val="bottom"/>
          </w:tcPr>
          <w:p>
            <w:pPr>
              <w:spacing w:after="0"/>
              <w:rPr>
                <w:sz w:val="11"/>
                <w:szCs w:val="11"/>
                <w:color w:val="auto"/>
              </w:rPr>
            </w:pPr>
          </w:p>
        </w:tc>
        <w:tc>
          <w:tcPr>
            <w:tcW w:w="1000" w:type="dxa"/>
            <w:vAlign w:val="bottom"/>
            <w:vMerge w:val="restart"/>
          </w:tcPr>
          <w:p>
            <w:pPr>
              <w:jc w:val="right"/>
              <w:ind w:right="579"/>
              <w:spacing w:after="0"/>
              <w:rPr>
                <w:sz w:val="20"/>
                <w:szCs w:val="20"/>
                <w:color w:val="auto"/>
              </w:rPr>
            </w:pPr>
            <w:r>
              <w:rPr>
                <w:rFonts w:ascii="Arial" w:cs="Arial" w:eastAsia="Arial" w:hAnsi="Arial"/>
                <w:sz w:val="16"/>
                <w:szCs w:val="16"/>
                <w:b w:val="1"/>
                <w:bCs w:val="1"/>
                <w:color w:val="auto"/>
              </w:rPr>
              <w:t>6,</w:t>
            </w:r>
          </w:p>
        </w:tc>
        <w:tc>
          <w:tcPr>
            <w:tcW w:w="620" w:type="dxa"/>
            <w:vAlign w:val="bottom"/>
          </w:tcPr>
          <w:p>
            <w:pPr>
              <w:spacing w:after="0"/>
              <w:rPr>
                <w:sz w:val="11"/>
                <w:szCs w:val="11"/>
                <w:color w:val="auto"/>
              </w:rPr>
            </w:pPr>
          </w:p>
        </w:tc>
        <w:tc>
          <w:tcPr>
            <w:tcW w:w="960" w:type="dxa"/>
            <w:vAlign w:val="bottom"/>
            <w:vMerge w:val="restart"/>
          </w:tcPr>
          <w:p>
            <w:pPr>
              <w:jc w:val="right"/>
              <w:ind w:right="539"/>
              <w:spacing w:after="0"/>
              <w:rPr>
                <w:sz w:val="20"/>
                <w:szCs w:val="20"/>
                <w:color w:val="auto"/>
              </w:rPr>
            </w:pPr>
            <w:r>
              <w:rPr>
                <w:rFonts w:ascii="Arial" w:cs="Arial" w:eastAsia="Arial" w:hAnsi="Arial"/>
                <w:sz w:val="16"/>
                <w:szCs w:val="16"/>
                <w:b w:val="1"/>
                <w:bCs w:val="1"/>
                <w:color w:val="auto"/>
              </w:rPr>
              <w:t>30,</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30,</w:t>
            </w: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120" w:type="dxa"/>
            <w:vAlign w:val="bottom"/>
          </w:tcPr>
          <w:p>
            <w:pPr>
              <w:spacing w:after="0"/>
              <w:rPr>
                <w:sz w:val="9"/>
                <w:szCs w:val="9"/>
                <w:color w:val="auto"/>
              </w:rPr>
            </w:pPr>
          </w:p>
        </w:tc>
        <w:tc>
          <w:tcPr>
            <w:tcW w:w="1460" w:type="dxa"/>
            <w:vAlign w:val="bottom"/>
            <w:tcBorders>
              <w:bottom w:val="single" w:sz="8" w:color="auto"/>
              <w:right w:val="single" w:sz="8" w:color="auto"/>
            </w:tcBorders>
            <w:gridSpan w:val="2"/>
            <w:vMerge w:val="continue"/>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vMerge w:val="continue"/>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vMerge w:val="continue"/>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6"/>
        </w:trPr>
        <w:tc>
          <w:tcPr>
            <w:tcW w:w="21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jc w:val="center"/>
              <w:ind w:right="419"/>
              <w:spacing w:after="0"/>
              <w:rPr>
                <w:sz w:val="20"/>
                <w:szCs w:val="20"/>
                <w:color w:val="auto"/>
              </w:rPr>
            </w:pPr>
            <w:r>
              <w:rPr>
                <w:rFonts w:ascii="Arial" w:cs="Arial" w:eastAsia="Arial" w:hAnsi="Arial"/>
                <w:sz w:val="16"/>
                <w:szCs w:val="16"/>
                <w:b w:val="1"/>
                <w:bCs w:val="1"/>
                <w:color w:val="auto"/>
              </w:rPr>
              <w:t>2025</w:t>
            </w: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6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1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2025</w:t>
            </w:r>
          </w:p>
        </w:tc>
        <w:tc>
          <w:tcPr>
            <w:tcW w:w="6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2024</w:t>
            </w: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3"/>
        </w:trPr>
        <w:tc>
          <w:tcPr>
            <w:tcW w:w="2120" w:type="dxa"/>
            <w:vAlign w:val="bottom"/>
          </w:tcPr>
          <w:p>
            <w:pPr>
              <w:spacing w:after="0"/>
              <w:rPr>
                <w:sz w:val="20"/>
                <w:szCs w:val="20"/>
                <w:color w:val="auto"/>
              </w:rPr>
            </w:pPr>
            <w:r>
              <w:rPr>
                <w:rFonts w:ascii="Arial" w:cs="Arial" w:eastAsia="Arial" w:hAnsi="Arial"/>
                <w:sz w:val="16"/>
                <w:szCs w:val="16"/>
                <w:b w:val="1"/>
                <w:bCs w:val="1"/>
                <w:color w:val="auto"/>
              </w:rPr>
              <w:t>Revenues by Type:</w:t>
            </w:r>
          </w:p>
        </w:tc>
        <w:tc>
          <w:tcPr>
            <w:tcW w:w="40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120" w:type="dxa"/>
            <w:vAlign w:val="bottom"/>
          </w:tcPr>
          <w:p>
            <w:pPr>
              <w:ind w:left="120"/>
              <w:spacing w:after="0"/>
              <w:rPr>
                <w:sz w:val="20"/>
                <w:szCs w:val="20"/>
                <w:color w:val="auto"/>
              </w:rPr>
            </w:pPr>
            <w:r>
              <w:rPr>
                <w:rFonts w:ascii="Arial" w:cs="Arial" w:eastAsia="Arial" w:hAnsi="Arial"/>
                <w:sz w:val="16"/>
                <w:szCs w:val="16"/>
                <w:color w:val="auto"/>
              </w:rPr>
              <w:t>Advertising</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color w:val="auto"/>
              </w:rPr>
              <w:t>1,280</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59"/>
              <w:spacing w:after="0"/>
              <w:rPr>
                <w:sz w:val="20"/>
                <w:szCs w:val="20"/>
                <w:color w:val="auto"/>
              </w:rPr>
            </w:pPr>
            <w:r>
              <w:rPr>
                <w:rFonts w:ascii="Arial" w:cs="Arial" w:eastAsia="Arial" w:hAnsi="Arial"/>
                <w:sz w:val="16"/>
                <w:szCs w:val="16"/>
                <w:color w:val="auto"/>
              </w:rPr>
              <w:t>664</w:t>
            </w: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59"/>
              <w:spacing w:after="0"/>
              <w:rPr>
                <w:sz w:val="20"/>
                <w:szCs w:val="20"/>
                <w:color w:val="auto"/>
              </w:rPr>
            </w:pPr>
            <w:r>
              <w:rPr>
                <w:rFonts w:ascii="Arial" w:cs="Arial" w:eastAsia="Arial" w:hAnsi="Arial"/>
                <w:sz w:val="16"/>
                <w:szCs w:val="16"/>
                <w:color w:val="auto"/>
              </w:rPr>
              <w:t>2,174</w:t>
            </w:r>
          </w:p>
        </w:tc>
        <w:tc>
          <w:tcPr>
            <w:tcW w:w="140" w:type="dxa"/>
            <w:vAlign w:val="bottom"/>
          </w:tcPr>
          <w:p>
            <w:pPr>
              <w:spacing w:after="0"/>
              <w:rPr>
                <w:sz w:val="20"/>
                <w:szCs w:val="20"/>
                <w:color w:val="auto"/>
              </w:rPr>
            </w:pP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1,944</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2,174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ind w:left="200"/>
              <w:spacing w:after="0"/>
              <w:rPr>
                <w:sz w:val="20"/>
                <w:szCs w:val="20"/>
                <w:color w:val="auto"/>
              </w:rPr>
            </w:pPr>
            <w:r>
              <w:rPr>
                <w:rFonts w:ascii="Arial" w:cs="Arial" w:eastAsia="Arial" w:hAnsi="Arial"/>
                <w:sz w:val="16"/>
                <w:szCs w:val="16"/>
                <w:color w:val="auto"/>
              </w:rPr>
              <w:t>(230)</w:t>
            </w:r>
          </w:p>
        </w:tc>
        <w:tc>
          <w:tcPr>
            <w:tcW w:w="64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43"/>
        </w:trPr>
        <w:tc>
          <w:tcPr>
            <w:tcW w:w="2120" w:type="dxa"/>
            <w:vAlign w:val="bottom"/>
          </w:tcPr>
          <w:p>
            <w:pPr>
              <w:ind w:left="120"/>
              <w:spacing w:after="0"/>
              <w:rPr>
                <w:sz w:val="20"/>
                <w:szCs w:val="20"/>
                <w:color w:val="auto"/>
              </w:rPr>
            </w:pPr>
            <w:r>
              <w:rPr>
                <w:rFonts w:ascii="Arial" w:cs="Arial" w:eastAsia="Arial" w:hAnsi="Arial"/>
                <w:sz w:val="16"/>
                <w:szCs w:val="16"/>
                <w:color w:val="auto"/>
              </w:rPr>
              <w:t>Affiliate and subscription</w:t>
            </w:r>
          </w:p>
        </w:tc>
        <w:tc>
          <w:tcPr>
            <w:tcW w:w="400" w:type="dxa"/>
            <w:vAlign w:val="bottom"/>
          </w:tcPr>
          <w:p>
            <w:pPr>
              <w:spacing w:after="0"/>
              <w:rPr>
                <w:sz w:val="21"/>
                <w:szCs w:val="21"/>
                <w:color w:val="auto"/>
              </w:rPr>
            </w:pPr>
          </w:p>
        </w:tc>
        <w:tc>
          <w:tcPr>
            <w:tcW w:w="106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color w:val="auto"/>
              </w:rPr>
              <w:t>2,027</w:t>
            </w:r>
          </w:p>
        </w:tc>
        <w:tc>
          <w:tcPr>
            <w:tcW w:w="440" w:type="dxa"/>
            <w:vAlign w:val="bottom"/>
          </w:tcPr>
          <w:p>
            <w:pPr>
              <w:spacing w:after="0"/>
              <w:rPr>
                <w:sz w:val="21"/>
                <w:szCs w:val="21"/>
                <w:color w:val="auto"/>
              </w:rPr>
            </w:pPr>
          </w:p>
        </w:tc>
        <w:tc>
          <w:tcPr>
            <w:tcW w:w="1000" w:type="dxa"/>
            <w:vAlign w:val="bottom"/>
          </w:tcPr>
          <w:p>
            <w:pPr>
              <w:jc w:val="right"/>
              <w:ind w:right="259"/>
              <w:spacing w:after="0"/>
              <w:rPr>
                <w:sz w:val="20"/>
                <w:szCs w:val="20"/>
                <w:color w:val="auto"/>
              </w:rPr>
            </w:pPr>
            <w:r>
              <w:rPr>
                <w:rFonts w:ascii="Arial" w:cs="Arial" w:eastAsia="Arial" w:hAnsi="Arial"/>
                <w:sz w:val="16"/>
                <w:szCs w:val="16"/>
                <w:color w:val="auto"/>
              </w:rPr>
              <w:t>1,400</w:t>
            </w:r>
          </w:p>
        </w:tc>
        <w:tc>
          <w:tcPr>
            <w:tcW w:w="620" w:type="dxa"/>
            <w:vAlign w:val="bottom"/>
          </w:tcPr>
          <w:p>
            <w:pPr>
              <w:spacing w:after="0"/>
              <w:rPr>
                <w:sz w:val="21"/>
                <w:szCs w:val="21"/>
                <w:color w:val="auto"/>
              </w:rPr>
            </w:pPr>
          </w:p>
        </w:tc>
        <w:tc>
          <w:tcPr>
            <w:tcW w:w="960" w:type="dxa"/>
            <w:vAlign w:val="bottom"/>
          </w:tcPr>
          <w:p>
            <w:pPr>
              <w:jc w:val="right"/>
              <w:ind w:right="259"/>
              <w:spacing w:after="0"/>
              <w:rPr>
                <w:sz w:val="20"/>
                <w:szCs w:val="20"/>
                <w:color w:val="auto"/>
              </w:rPr>
            </w:pPr>
            <w:r>
              <w:rPr>
                <w:rFonts w:ascii="Arial" w:cs="Arial" w:eastAsia="Arial" w:hAnsi="Arial"/>
                <w:sz w:val="16"/>
                <w:szCs w:val="16"/>
                <w:color w:val="auto"/>
              </w:rPr>
              <w:t>3,215</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3,427</w:t>
            </w:r>
          </w:p>
        </w:tc>
        <w:tc>
          <w:tcPr>
            <w:tcW w:w="620" w:type="dxa"/>
            <w:vAlign w:val="bottom"/>
          </w:tcPr>
          <w:p>
            <w:pPr>
              <w:spacing w:after="0"/>
              <w:rPr>
                <w:sz w:val="21"/>
                <w:szCs w:val="21"/>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3,215</w:t>
            </w:r>
          </w:p>
        </w:tc>
        <w:tc>
          <w:tcPr>
            <w:tcW w:w="180" w:type="dxa"/>
            <w:vAlign w:val="bottom"/>
          </w:tcPr>
          <w:p>
            <w:pPr>
              <w:spacing w:after="0"/>
              <w:rPr>
                <w:sz w:val="21"/>
                <w:szCs w:val="21"/>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color w:val="auto"/>
              </w:rPr>
              <w:t>212</w:t>
            </w: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43"/>
        </w:trPr>
        <w:tc>
          <w:tcPr>
            <w:tcW w:w="2120" w:type="dxa"/>
            <w:vAlign w:val="bottom"/>
          </w:tcPr>
          <w:p>
            <w:pPr>
              <w:ind w:left="120"/>
              <w:spacing w:after="0"/>
              <w:rPr>
                <w:sz w:val="20"/>
                <w:szCs w:val="20"/>
                <w:color w:val="auto"/>
              </w:rPr>
            </w:pPr>
            <w:r>
              <w:rPr>
                <w:rFonts w:ascii="Arial" w:cs="Arial" w:eastAsia="Arial" w:hAnsi="Arial"/>
                <w:sz w:val="16"/>
                <w:szCs w:val="16"/>
                <w:color w:val="auto"/>
              </w:rPr>
              <w:t>Theatrical</w:t>
            </w:r>
          </w:p>
        </w:tc>
        <w:tc>
          <w:tcPr>
            <w:tcW w:w="400" w:type="dxa"/>
            <w:vAlign w:val="bottom"/>
          </w:tcPr>
          <w:p>
            <w:pPr>
              <w:spacing w:after="0"/>
              <w:rPr>
                <w:sz w:val="21"/>
                <w:szCs w:val="21"/>
                <w:color w:val="auto"/>
              </w:rPr>
            </w:pPr>
          </w:p>
        </w:tc>
        <w:tc>
          <w:tcPr>
            <w:tcW w:w="106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color w:val="auto"/>
              </w:rPr>
              <w:t>39</w:t>
            </w:r>
          </w:p>
        </w:tc>
        <w:tc>
          <w:tcPr>
            <w:tcW w:w="440" w:type="dxa"/>
            <w:vAlign w:val="bottom"/>
          </w:tcPr>
          <w:p>
            <w:pPr>
              <w:spacing w:after="0"/>
              <w:rPr>
                <w:sz w:val="21"/>
                <w:szCs w:val="21"/>
                <w:color w:val="auto"/>
              </w:rPr>
            </w:pPr>
          </w:p>
        </w:tc>
        <w:tc>
          <w:tcPr>
            <w:tcW w:w="1000" w:type="dxa"/>
            <w:vAlign w:val="bottom"/>
          </w:tcPr>
          <w:p>
            <w:pPr>
              <w:jc w:val="right"/>
              <w:ind w:right="259"/>
              <w:spacing w:after="0"/>
              <w:rPr>
                <w:sz w:val="20"/>
                <w:szCs w:val="20"/>
                <w:color w:val="auto"/>
              </w:rPr>
            </w:pPr>
            <w:r>
              <w:rPr>
                <w:rFonts w:ascii="Arial" w:cs="Arial" w:eastAsia="Arial" w:hAnsi="Arial"/>
                <w:sz w:val="16"/>
                <w:szCs w:val="16"/>
                <w:color w:val="auto"/>
              </w:rPr>
              <w:t>73</w:t>
            </w:r>
          </w:p>
        </w:tc>
        <w:tc>
          <w:tcPr>
            <w:tcW w:w="620" w:type="dxa"/>
            <w:vAlign w:val="bottom"/>
          </w:tcPr>
          <w:p>
            <w:pPr>
              <w:spacing w:after="0"/>
              <w:rPr>
                <w:sz w:val="21"/>
                <w:szCs w:val="21"/>
                <w:color w:val="auto"/>
              </w:rPr>
            </w:pPr>
          </w:p>
        </w:tc>
        <w:tc>
          <w:tcPr>
            <w:tcW w:w="960" w:type="dxa"/>
            <w:vAlign w:val="bottom"/>
          </w:tcPr>
          <w:p>
            <w:pPr>
              <w:jc w:val="right"/>
              <w:ind w:right="259"/>
              <w:spacing w:after="0"/>
              <w:rPr>
                <w:sz w:val="20"/>
                <w:szCs w:val="20"/>
                <w:color w:val="auto"/>
              </w:rPr>
            </w:pPr>
            <w:r>
              <w:rPr>
                <w:rFonts w:ascii="Arial" w:cs="Arial" w:eastAsia="Arial" w:hAnsi="Arial"/>
                <w:sz w:val="16"/>
                <w:szCs w:val="16"/>
                <w:color w:val="auto"/>
              </w:rPr>
              <w:t>108</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112</w:t>
            </w:r>
          </w:p>
        </w:tc>
        <w:tc>
          <w:tcPr>
            <w:tcW w:w="620" w:type="dxa"/>
            <w:vAlign w:val="bottom"/>
          </w:tcPr>
          <w:p>
            <w:pPr>
              <w:spacing w:after="0"/>
              <w:rPr>
                <w:sz w:val="21"/>
                <w:szCs w:val="21"/>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108</w:t>
            </w:r>
          </w:p>
        </w:tc>
        <w:tc>
          <w:tcPr>
            <w:tcW w:w="180" w:type="dxa"/>
            <w:vAlign w:val="bottom"/>
          </w:tcPr>
          <w:p>
            <w:pPr>
              <w:spacing w:after="0"/>
              <w:rPr>
                <w:sz w:val="21"/>
                <w:szCs w:val="21"/>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color w:val="auto"/>
              </w:rPr>
              <w:t>4</w:t>
            </w: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52"/>
        </w:trPr>
        <w:tc>
          <w:tcPr>
            <w:tcW w:w="21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Licensing and other</w:t>
            </w:r>
          </w:p>
        </w:tc>
        <w:tc>
          <w:tcPr>
            <w:tcW w:w="400" w:type="dxa"/>
            <w:vAlign w:val="bottom"/>
            <w:tcBorders>
              <w:bottom w:val="single" w:sz="8" w:color="auto"/>
            </w:tcBorders>
          </w:tcPr>
          <w:p>
            <w:pPr>
              <w:spacing w:after="0"/>
              <w:rPr>
                <w:sz w:val="21"/>
                <w:szCs w:val="21"/>
                <w:color w:val="auto"/>
              </w:rPr>
            </w:pPr>
          </w:p>
        </w:tc>
        <w:tc>
          <w:tcPr>
            <w:tcW w:w="1060" w:type="dxa"/>
            <w:vAlign w:val="bottom"/>
            <w:tcBorders>
              <w:bottom w:val="single" w:sz="8" w:color="auto"/>
              <w:right w:val="single" w:sz="8" w:color="auto"/>
            </w:tcBorders>
          </w:tcPr>
          <w:p>
            <w:pPr>
              <w:jc w:val="right"/>
              <w:ind w:right="299"/>
              <w:spacing w:after="0"/>
              <w:rPr>
                <w:sz w:val="20"/>
                <w:szCs w:val="20"/>
                <w:color w:val="auto"/>
              </w:rPr>
            </w:pPr>
            <w:r>
              <w:rPr>
                <w:rFonts w:ascii="Arial" w:cs="Arial" w:eastAsia="Arial" w:hAnsi="Arial"/>
                <w:sz w:val="16"/>
                <w:szCs w:val="16"/>
                <w:color w:val="auto"/>
              </w:rPr>
              <w:t>775</w:t>
            </w:r>
          </w:p>
        </w:tc>
        <w:tc>
          <w:tcPr>
            <w:tcW w:w="4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444</w:t>
            </w:r>
          </w:p>
        </w:tc>
        <w:tc>
          <w:tcPr>
            <w:tcW w:w="6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1,234</w:t>
            </w:r>
          </w:p>
        </w:tc>
        <w:tc>
          <w:tcPr>
            <w:tcW w:w="1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1,231</w:t>
            </w:r>
          </w:p>
        </w:tc>
        <w:tc>
          <w:tcPr>
            <w:tcW w:w="6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1,443</w:t>
            </w:r>
          </w:p>
        </w:tc>
        <w:tc>
          <w:tcPr>
            <w:tcW w:w="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(212)</w:t>
            </w:r>
          </w:p>
        </w:tc>
        <w:tc>
          <w:tcPr>
            <w:tcW w:w="6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50"/>
        </w:trPr>
        <w:tc>
          <w:tcPr>
            <w:tcW w:w="212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Total Revenues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right w:val="single" w:sz="8" w:color="auto"/>
            </w:tcBorders>
          </w:tcPr>
          <w:p>
            <w:pPr>
              <w:jc w:val="right"/>
              <w:ind w:right="299"/>
              <w:spacing w:after="0"/>
              <w:rPr>
                <w:sz w:val="20"/>
                <w:szCs w:val="20"/>
                <w:color w:val="auto"/>
              </w:rPr>
            </w:pPr>
            <w:r>
              <w:rPr>
                <w:rFonts w:ascii="Arial" w:cs="Arial" w:eastAsia="Arial" w:hAnsi="Arial"/>
                <w:sz w:val="16"/>
                <w:szCs w:val="16"/>
                <w:color w:val="auto"/>
              </w:rPr>
              <w:t>4,121</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2,581</w:t>
            </w:r>
          </w:p>
        </w:tc>
        <w:tc>
          <w:tcPr>
            <w:tcW w:w="6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6,731</w:t>
            </w:r>
          </w:p>
        </w:tc>
        <w:tc>
          <w:tcPr>
            <w:tcW w:w="1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6,714</w:t>
            </w: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6,940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(226)</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TV Media</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Three Months Ended September 30, 2025 and 2024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160" w:type="dxa"/>
            <w:vAlign w:val="bottom"/>
            <w:tcBorders>
              <w:top w:val="single" w:sz="8" w:color="auto"/>
            </w:tcBorders>
          </w:tcPr>
          <w:p>
            <w:pPr>
              <w:spacing w:after="0"/>
              <w:rPr>
                <w:sz w:val="23"/>
                <w:szCs w:val="23"/>
                <w:color w:val="auto"/>
              </w:rPr>
            </w:pPr>
          </w:p>
        </w:tc>
        <w:tc>
          <w:tcPr>
            <w:tcW w:w="1520" w:type="dxa"/>
            <w:vAlign w:val="bottom"/>
            <w:tcBorders>
              <w:top w:val="single" w:sz="8" w:color="auto"/>
              <w:bottom w:val="single" w:sz="8" w:color="auto"/>
              <w:right w:val="single" w:sz="8" w:color="auto"/>
            </w:tcBorders>
            <w:gridSpan w:val="2"/>
          </w:tcPr>
          <w:p>
            <w:pPr>
              <w:jc w:val="center"/>
              <w:ind w:right="19"/>
              <w:spacing w:after="0"/>
              <w:rPr>
                <w:sz w:val="20"/>
                <w:szCs w:val="20"/>
                <w:color w:val="auto"/>
              </w:rPr>
            </w:pPr>
            <w:r>
              <w:rPr>
                <w:rFonts w:ascii="Arial" w:cs="Arial" w:eastAsia="Arial" w:hAnsi="Arial"/>
                <w:sz w:val="16"/>
                <w:szCs w:val="16"/>
                <w:b w:val="1"/>
                <w:bCs w:val="1"/>
                <w:color w:val="auto"/>
              </w:rPr>
              <w:t>Successor</w:t>
            </w:r>
          </w:p>
        </w:tc>
        <w:tc>
          <w:tcPr>
            <w:tcW w:w="440" w:type="dxa"/>
            <w:vAlign w:val="bottom"/>
            <w:tcBorders>
              <w:top w:val="single" w:sz="8" w:color="auto"/>
              <w:bottom w:val="single" w:sz="8" w:color="auto"/>
            </w:tcBorders>
          </w:tcPr>
          <w:p>
            <w:pPr>
              <w:spacing w:after="0"/>
              <w:rPr>
                <w:sz w:val="23"/>
                <w:szCs w:val="23"/>
                <w:color w:val="auto"/>
              </w:rPr>
            </w:pPr>
          </w:p>
        </w:tc>
        <w:tc>
          <w:tcPr>
            <w:tcW w:w="1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Predecessor</w:t>
            </w:r>
          </w:p>
        </w:tc>
        <w:tc>
          <w:tcPr>
            <w:tcW w:w="900" w:type="dxa"/>
            <w:vAlign w:val="bottom"/>
            <w:tcBorders>
              <w:top w:val="single" w:sz="8" w:color="auto"/>
              <w:bottom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3680" w:type="dxa"/>
            <w:vAlign w:val="bottom"/>
            <w:tcBorders>
              <w:top w:val="single" w:sz="8" w:color="auto"/>
              <w:bottom w:val="single" w:sz="8" w:color="auto"/>
            </w:tcBorders>
            <w:gridSpan w:val="5"/>
          </w:tcPr>
          <w:p>
            <w:pPr>
              <w:jc w:val="right"/>
              <w:ind w:right="219"/>
              <w:spacing w:after="0"/>
              <w:rPr>
                <w:sz w:val="20"/>
                <w:szCs w:val="20"/>
                <w:color w:val="auto"/>
              </w:rPr>
            </w:pPr>
            <w:r>
              <w:rPr>
                <w:rFonts w:ascii="Arial" w:cs="Arial" w:eastAsia="Arial" w:hAnsi="Arial"/>
                <w:sz w:val="16"/>
                <w:szCs w:val="16"/>
                <w:b w:val="1"/>
                <w:bCs w:val="1"/>
                <w:color w:val="auto"/>
              </w:rPr>
              <w:t xml:space="preserve">Supplemental Pro Forma Revenues </w:t>
            </w:r>
            <w:r>
              <w:rPr>
                <w:rFonts w:ascii="Arial" w:cs="Arial" w:eastAsia="Arial" w:hAnsi="Arial"/>
                <w:sz w:val="21"/>
                <w:szCs w:val="21"/>
                <w:b w:val="1"/>
                <w:bCs w:val="1"/>
                <w:color w:val="auto"/>
                <w:vertAlign w:val="superscript"/>
              </w:rPr>
              <w:t>(a)</w:t>
            </w:r>
          </w:p>
        </w:tc>
        <w:tc>
          <w:tcPr>
            <w:tcW w:w="520" w:type="dxa"/>
            <w:vAlign w:val="bottom"/>
            <w:tcBorders>
              <w:top w:val="single" w:sz="8" w:color="auto"/>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2160" w:type="dxa"/>
            <w:vAlign w:val="bottom"/>
          </w:tcPr>
          <w:p>
            <w:pPr>
              <w:spacing w:after="0"/>
              <w:rPr>
                <w:sz w:val="16"/>
                <w:szCs w:val="16"/>
                <w:color w:val="auto"/>
              </w:rPr>
            </w:pPr>
          </w:p>
        </w:tc>
        <w:tc>
          <w:tcPr>
            <w:tcW w:w="1520" w:type="dxa"/>
            <w:vAlign w:val="bottom"/>
            <w:tcBorders>
              <w:right w:val="single" w:sz="8" w:color="auto"/>
            </w:tcBorders>
            <w:gridSpan w:val="2"/>
          </w:tcPr>
          <w:p>
            <w:pPr>
              <w:jc w:val="center"/>
              <w:ind w:right="39"/>
              <w:spacing w:after="0"/>
              <w:rPr>
                <w:sz w:val="20"/>
                <w:szCs w:val="20"/>
                <w:color w:val="auto"/>
              </w:rPr>
            </w:pPr>
            <w:r>
              <w:rPr>
                <w:rFonts w:ascii="Arial" w:cs="Arial" w:eastAsia="Arial" w:hAnsi="Arial"/>
                <w:sz w:val="16"/>
                <w:szCs w:val="16"/>
                <w:b w:val="1"/>
                <w:bCs w:val="1"/>
                <w:color w:val="auto"/>
              </w:rPr>
              <w:t>Period From</w:t>
            </w:r>
          </w:p>
        </w:tc>
        <w:tc>
          <w:tcPr>
            <w:tcW w:w="138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Period From</w:t>
            </w:r>
          </w:p>
        </w:tc>
        <w:tc>
          <w:tcPr>
            <w:tcW w:w="158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rPr>
              <w:t>Three Months</w:t>
            </w: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Pro forma</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2160" w:type="dxa"/>
            <w:vAlign w:val="bottom"/>
          </w:tcPr>
          <w:p>
            <w:pPr>
              <w:spacing w:after="0"/>
              <w:rPr>
                <w:sz w:val="8"/>
                <w:szCs w:val="8"/>
                <w:color w:val="auto"/>
              </w:rPr>
            </w:pPr>
          </w:p>
        </w:tc>
        <w:tc>
          <w:tcPr>
            <w:tcW w:w="1520" w:type="dxa"/>
            <w:vAlign w:val="bottom"/>
            <w:tcBorders>
              <w:right w:val="single" w:sz="8" w:color="auto"/>
            </w:tcBorders>
            <w:gridSpan w:val="2"/>
            <w:vMerge w:val="restart"/>
          </w:tcPr>
          <w:p>
            <w:pPr>
              <w:jc w:val="center"/>
              <w:ind w:right="39"/>
              <w:spacing w:after="0"/>
              <w:rPr>
                <w:sz w:val="20"/>
                <w:szCs w:val="20"/>
                <w:color w:val="auto"/>
              </w:rPr>
            </w:pPr>
            <w:r>
              <w:rPr>
                <w:rFonts w:ascii="Arial" w:cs="Arial" w:eastAsia="Arial" w:hAnsi="Arial"/>
                <w:sz w:val="16"/>
                <w:szCs w:val="16"/>
                <w:b w:val="1"/>
                <w:bCs w:val="1"/>
                <w:color w:val="auto"/>
              </w:rPr>
              <w:t>August 7 -</w:t>
            </w:r>
          </w:p>
        </w:tc>
        <w:tc>
          <w:tcPr>
            <w:tcW w:w="138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July 1 - August</w:t>
            </w:r>
          </w:p>
        </w:tc>
        <w:tc>
          <w:tcPr>
            <w:tcW w:w="1580" w:type="dxa"/>
            <w:vAlign w:val="bottom"/>
            <w:gridSpan w:val="3"/>
            <w:vMerge w:val="restart"/>
          </w:tcPr>
          <w:p>
            <w:pPr>
              <w:jc w:val="center"/>
              <w:ind w:right="40"/>
              <w:spacing w:after="0"/>
              <w:rPr>
                <w:sz w:val="20"/>
                <w:szCs w:val="20"/>
                <w:color w:val="auto"/>
              </w:rPr>
            </w:pPr>
            <w:r>
              <w:rPr>
                <w:rFonts w:ascii="Arial" w:cs="Arial" w:eastAsia="Arial" w:hAnsi="Arial"/>
                <w:sz w:val="16"/>
                <w:szCs w:val="16"/>
                <w:b w:val="1"/>
                <w:bCs w:val="1"/>
                <w:color w:val="auto"/>
              </w:rPr>
              <w:t>Ended September</w:t>
            </w:r>
          </w:p>
        </w:tc>
        <w:tc>
          <w:tcPr>
            <w:tcW w:w="2640" w:type="dxa"/>
            <w:vAlign w:val="bottom"/>
            <w:gridSpan w:val="4"/>
            <w:vMerge w:val="restart"/>
          </w:tcPr>
          <w:p>
            <w:pPr>
              <w:jc w:val="right"/>
              <w:ind w:right="19"/>
              <w:spacing w:after="0"/>
              <w:rPr>
                <w:sz w:val="20"/>
                <w:szCs w:val="20"/>
                <w:color w:val="auto"/>
              </w:rPr>
            </w:pPr>
            <w:r>
              <w:rPr>
                <w:rFonts w:ascii="Arial" w:cs="Arial" w:eastAsia="Arial" w:hAnsi="Arial"/>
                <w:sz w:val="16"/>
                <w:szCs w:val="16"/>
                <w:b w:val="1"/>
                <w:bCs w:val="1"/>
                <w:color w:val="auto"/>
              </w:rPr>
              <w:t>Three Months Ended September</w:t>
            </w:r>
          </w:p>
        </w:tc>
        <w:tc>
          <w:tcPr>
            <w:tcW w:w="22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160" w:type="dxa"/>
            <w:vAlign w:val="bottom"/>
          </w:tcPr>
          <w:p>
            <w:pPr>
              <w:spacing w:after="0"/>
              <w:rPr>
                <w:sz w:val="8"/>
                <w:szCs w:val="8"/>
                <w:color w:val="auto"/>
              </w:rPr>
            </w:pPr>
          </w:p>
        </w:tc>
        <w:tc>
          <w:tcPr>
            <w:tcW w:w="1520" w:type="dxa"/>
            <w:vAlign w:val="bottom"/>
            <w:tcBorders>
              <w:right w:val="single" w:sz="8" w:color="auto"/>
            </w:tcBorders>
            <w:gridSpan w:val="2"/>
            <w:vMerge w:val="continue"/>
          </w:tcPr>
          <w:p>
            <w:pPr>
              <w:spacing w:after="0"/>
              <w:rPr>
                <w:sz w:val="8"/>
                <w:szCs w:val="8"/>
                <w:color w:val="auto"/>
              </w:rPr>
            </w:pPr>
          </w:p>
        </w:tc>
        <w:tc>
          <w:tcPr>
            <w:tcW w:w="1380" w:type="dxa"/>
            <w:vAlign w:val="bottom"/>
            <w:gridSpan w:val="2"/>
            <w:vMerge w:val="continue"/>
          </w:tcPr>
          <w:p>
            <w:pPr>
              <w:spacing w:after="0"/>
              <w:rPr>
                <w:sz w:val="8"/>
                <w:szCs w:val="8"/>
                <w:color w:val="auto"/>
              </w:rPr>
            </w:pPr>
          </w:p>
        </w:tc>
        <w:tc>
          <w:tcPr>
            <w:tcW w:w="1580" w:type="dxa"/>
            <w:vAlign w:val="bottom"/>
            <w:gridSpan w:val="3"/>
            <w:vMerge w:val="continue"/>
          </w:tcPr>
          <w:p>
            <w:pPr>
              <w:spacing w:after="0"/>
              <w:rPr>
                <w:sz w:val="8"/>
                <w:szCs w:val="8"/>
                <w:color w:val="auto"/>
              </w:rPr>
            </w:pPr>
          </w:p>
        </w:tc>
        <w:tc>
          <w:tcPr>
            <w:tcW w:w="2640" w:type="dxa"/>
            <w:vAlign w:val="bottom"/>
            <w:gridSpan w:val="4"/>
            <w:vMerge w:val="continue"/>
          </w:tcPr>
          <w:p>
            <w:pPr>
              <w:spacing w:after="0"/>
              <w:rPr>
                <w:sz w:val="8"/>
                <w:szCs w:val="8"/>
                <w:color w:val="auto"/>
              </w:rPr>
            </w:pPr>
          </w:p>
        </w:tc>
        <w:tc>
          <w:tcPr>
            <w:tcW w:w="220" w:type="dxa"/>
            <w:vAlign w:val="bottom"/>
          </w:tcPr>
          <w:p>
            <w:pPr>
              <w:spacing w:after="0"/>
              <w:rPr>
                <w:sz w:val="8"/>
                <w:szCs w:val="8"/>
                <w:color w:val="auto"/>
              </w:rPr>
            </w:pPr>
          </w:p>
        </w:tc>
        <w:tc>
          <w:tcPr>
            <w:tcW w:w="1700" w:type="dxa"/>
            <w:vAlign w:val="bottom"/>
            <w:gridSpan w:val="2"/>
            <w:vMerge w:val="restart"/>
          </w:tcPr>
          <w:p>
            <w:pPr>
              <w:jc w:val="right"/>
              <w:ind w:right="59"/>
              <w:spacing w:after="0"/>
              <w:rPr>
                <w:sz w:val="20"/>
                <w:szCs w:val="20"/>
                <w:color w:val="auto"/>
              </w:rPr>
            </w:pPr>
            <w:r>
              <w:rPr>
                <w:rFonts w:ascii="Arial" w:cs="Arial" w:eastAsia="Arial" w:hAnsi="Arial"/>
                <w:sz w:val="16"/>
                <w:szCs w:val="16"/>
                <w:b w:val="1"/>
                <w:bCs w:val="1"/>
                <w:color w:val="auto"/>
              </w:rPr>
              <w:t>Increase/(Decrease)</w:t>
            </w:r>
          </w:p>
        </w:tc>
        <w:tc>
          <w:tcPr>
            <w:tcW w:w="0" w:type="dxa"/>
            <w:vAlign w:val="bottom"/>
          </w:tcPr>
          <w:p>
            <w:pPr>
              <w:spacing w:after="0"/>
              <w:rPr>
                <w:sz w:val="1"/>
                <w:szCs w:val="1"/>
                <w:color w:val="auto"/>
              </w:rPr>
            </w:pPr>
          </w:p>
        </w:tc>
      </w:tr>
      <w:tr>
        <w:trPr>
          <w:trHeight w:val="128"/>
        </w:trPr>
        <w:tc>
          <w:tcPr>
            <w:tcW w:w="2160" w:type="dxa"/>
            <w:vAlign w:val="bottom"/>
          </w:tcPr>
          <w:p>
            <w:pPr>
              <w:spacing w:after="0"/>
              <w:rPr>
                <w:sz w:val="11"/>
                <w:szCs w:val="11"/>
                <w:color w:val="auto"/>
              </w:rPr>
            </w:pPr>
          </w:p>
        </w:tc>
        <w:tc>
          <w:tcPr>
            <w:tcW w:w="1520" w:type="dxa"/>
            <w:vAlign w:val="bottom"/>
            <w:tcBorders>
              <w:right w:val="single" w:sz="8" w:color="auto"/>
            </w:tcBorders>
            <w:gridSpan w:val="2"/>
            <w:vMerge w:val="restart"/>
          </w:tcPr>
          <w:p>
            <w:pPr>
              <w:jc w:val="center"/>
              <w:ind w:right="39"/>
              <w:spacing w:after="0"/>
              <w:rPr>
                <w:sz w:val="20"/>
                <w:szCs w:val="20"/>
                <w:color w:val="auto"/>
              </w:rPr>
            </w:pPr>
            <w:r>
              <w:rPr>
                <w:rFonts w:ascii="Arial" w:cs="Arial" w:eastAsia="Arial" w:hAnsi="Arial"/>
                <w:sz w:val="16"/>
                <w:szCs w:val="16"/>
                <w:b w:val="1"/>
                <w:bCs w:val="1"/>
                <w:color w:val="auto"/>
              </w:rPr>
              <w:t>September 30,</w:t>
            </w:r>
          </w:p>
        </w:tc>
        <w:tc>
          <w:tcPr>
            <w:tcW w:w="440" w:type="dxa"/>
            <w:vAlign w:val="bottom"/>
          </w:tcPr>
          <w:p>
            <w:pPr>
              <w:spacing w:after="0"/>
              <w:rPr>
                <w:sz w:val="11"/>
                <w:szCs w:val="11"/>
                <w:color w:val="auto"/>
              </w:rPr>
            </w:pPr>
          </w:p>
        </w:tc>
        <w:tc>
          <w:tcPr>
            <w:tcW w:w="940" w:type="dxa"/>
            <w:vAlign w:val="bottom"/>
            <w:vMerge w:val="restart"/>
          </w:tcPr>
          <w:p>
            <w:pPr>
              <w:jc w:val="right"/>
              <w:ind w:right="539"/>
              <w:spacing w:after="0"/>
              <w:rPr>
                <w:sz w:val="20"/>
                <w:szCs w:val="20"/>
                <w:color w:val="auto"/>
              </w:rPr>
            </w:pPr>
            <w:r>
              <w:rPr>
                <w:rFonts w:ascii="Arial" w:cs="Arial" w:eastAsia="Arial" w:hAnsi="Arial"/>
                <w:sz w:val="16"/>
                <w:szCs w:val="16"/>
                <w:b w:val="1"/>
                <w:bCs w:val="1"/>
                <w:color w:val="auto"/>
              </w:rPr>
              <w:t>6,</w:t>
            </w:r>
          </w:p>
        </w:tc>
        <w:tc>
          <w:tcPr>
            <w:tcW w:w="580" w:type="dxa"/>
            <w:vAlign w:val="bottom"/>
          </w:tcPr>
          <w:p>
            <w:pPr>
              <w:spacing w:after="0"/>
              <w:rPr>
                <w:sz w:val="11"/>
                <w:szCs w:val="11"/>
                <w:color w:val="auto"/>
              </w:rPr>
            </w:pPr>
          </w:p>
        </w:tc>
        <w:tc>
          <w:tcPr>
            <w:tcW w:w="900" w:type="dxa"/>
            <w:vAlign w:val="bottom"/>
            <w:vMerge w:val="restart"/>
          </w:tcPr>
          <w:p>
            <w:pPr>
              <w:jc w:val="right"/>
              <w:ind w:right="519"/>
              <w:spacing w:after="0"/>
              <w:rPr>
                <w:sz w:val="20"/>
                <w:szCs w:val="20"/>
                <w:color w:val="auto"/>
              </w:rPr>
            </w:pPr>
            <w:r>
              <w:rPr>
                <w:rFonts w:ascii="Arial" w:cs="Arial" w:eastAsia="Arial" w:hAnsi="Arial"/>
                <w:sz w:val="16"/>
                <w:szCs w:val="16"/>
                <w:b w:val="1"/>
                <w:bCs w:val="1"/>
                <w:color w:val="auto"/>
              </w:rPr>
              <w:t>30,</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30,</w:t>
            </w: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160" w:type="dxa"/>
            <w:vAlign w:val="bottom"/>
          </w:tcPr>
          <w:p>
            <w:pPr>
              <w:spacing w:after="0"/>
              <w:rPr>
                <w:sz w:val="9"/>
                <w:szCs w:val="9"/>
                <w:color w:val="auto"/>
              </w:rPr>
            </w:pPr>
          </w:p>
        </w:tc>
        <w:tc>
          <w:tcPr>
            <w:tcW w:w="1520" w:type="dxa"/>
            <w:vAlign w:val="bottom"/>
            <w:tcBorders>
              <w:bottom w:val="single" w:sz="8" w:color="auto"/>
              <w:right w:val="single" w:sz="8" w:color="auto"/>
            </w:tcBorders>
            <w:gridSpan w:val="2"/>
            <w:vMerge w:val="continue"/>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vMerge w:val="continue"/>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vMerge w:val="continue"/>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TV Media</w:t>
            </w: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jc w:val="center"/>
              <w:ind w:right="499"/>
              <w:spacing w:after="0"/>
              <w:rPr>
                <w:sz w:val="20"/>
                <w:szCs w:val="20"/>
                <w:color w:val="auto"/>
              </w:rPr>
            </w:pPr>
            <w:r>
              <w:rPr>
                <w:rFonts w:ascii="Arial" w:cs="Arial" w:eastAsia="Arial" w:hAnsi="Arial"/>
                <w:sz w:val="16"/>
                <w:szCs w:val="16"/>
                <w:b w:val="1"/>
                <w:bCs w:val="1"/>
                <w:color w:val="auto"/>
              </w:rPr>
              <w:t>2025</w:t>
            </w:r>
          </w:p>
        </w:tc>
        <w:tc>
          <w:tcPr>
            <w:tcW w:w="4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5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2025</w:t>
            </w:r>
          </w:p>
        </w:tc>
        <w:tc>
          <w:tcPr>
            <w:tcW w:w="6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w w:val="84"/>
              </w:rPr>
              <w:t>%</w:t>
            </w:r>
          </w:p>
        </w:tc>
        <w:tc>
          <w:tcPr>
            <w:tcW w:w="0" w:type="dxa"/>
            <w:vAlign w:val="bottom"/>
          </w:tcPr>
          <w:p>
            <w:pPr>
              <w:spacing w:after="0"/>
              <w:rPr>
                <w:sz w:val="1"/>
                <w:szCs w:val="1"/>
                <w:color w:val="auto"/>
              </w:rPr>
            </w:pPr>
          </w:p>
        </w:tc>
      </w:tr>
      <w:tr>
        <w:trPr>
          <w:trHeight w:val="225"/>
        </w:trPr>
        <w:tc>
          <w:tcPr>
            <w:tcW w:w="2160" w:type="dxa"/>
            <w:vAlign w:val="bottom"/>
          </w:tcPr>
          <w:p>
            <w:pPr>
              <w:ind w:left="140"/>
              <w:spacing w:after="0"/>
              <w:rPr>
                <w:sz w:val="20"/>
                <w:szCs w:val="20"/>
                <w:color w:val="auto"/>
              </w:rPr>
            </w:pPr>
            <w:r>
              <w:rPr>
                <w:rFonts w:ascii="Arial" w:cs="Arial" w:eastAsia="Arial" w:hAnsi="Arial"/>
                <w:sz w:val="16"/>
                <w:szCs w:val="16"/>
                <w:color w:val="auto"/>
              </w:rPr>
              <w:t>Advertising</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tcPr>
          <w:p>
            <w:pPr>
              <w:jc w:val="right"/>
              <w:ind w:right="379"/>
              <w:spacing w:after="0"/>
              <w:rPr>
                <w:sz w:val="20"/>
                <w:szCs w:val="20"/>
                <w:color w:val="auto"/>
              </w:rPr>
            </w:pPr>
            <w:r>
              <w:rPr>
                <w:rFonts w:ascii="Arial" w:cs="Arial" w:eastAsia="Arial" w:hAnsi="Arial"/>
                <w:sz w:val="16"/>
                <w:szCs w:val="16"/>
                <w:color w:val="auto"/>
              </w:rPr>
              <w:t>980</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59"/>
              <w:spacing w:after="0"/>
              <w:rPr>
                <w:sz w:val="20"/>
                <w:szCs w:val="20"/>
                <w:color w:val="auto"/>
              </w:rPr>
            </w:pPr>
            <w:r>
              <w:rPr>
                <w:rFonts w:ascii="Arial" w:cs="Arial" w:eastAsia="Arial" w:hAnsi="Arial"/>
                <w:sz w:val="16"/>
                <w:szCs w:val="16"/>
                <w:color w:val="auto"/>
              </w:rPr>
              <w:t>485</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1,666</w:t>
            </w:r>
          </w:p>
        </w:tc>
        <w:tc>
          <w:tcPr>
            <w:tcW w:w="100" w:type="dxa"/>
            <w:vAlign w:val="bottom"/>
          </w:tcPr>
          <w:p>
            <w:pPr>
              <w:spacing w:after="0"/>
              <w:rPr>
                <w:sz w:val="19"/>
                <w:szCs w:val="19"/>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1,465</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1,666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79"/>
              <w:spacing w:after="0"/>
              <w:rPr>
                <w:sz w:val="20"/>
                <w:szCs w:val="20"/>
                <w:color w:val="auto"/>
              </w:rPr>
            </w:pPr>
            <w:r>
              <w:rPr>
                <w:rFonts w:ascii="Arial" w:cs="Arial" w:eastAsia="Arial" w:hAnsi="Arial"/>
                <w:sz w:val="16"/>
                <w:szCs w:val="16"/>
                <w:color w:val="auto"/>
              </w:rPr>
              <w:t>(201)</w:t>
            </w:r>
          </w:p>
        </w:tc>
        <w:tc>
          <w:tcPr>
            <w:tcW w:w="52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43"/>
        </w:trPr>
        <w:tc>
          <w:tcPr>
            <w:tcW w:w="2160" w:type="dxa"/>
            <w:vAlign w:val="bottom"/>
          </w:tcPr>
          <w:p>
            <w:pPr>
              <w:ind w:left="140"/>
              <w:spacing w:after="0"/>
              <w:rPr>
                <w:sz w:val="20"/>
                <w:szCs w:val="20"/>
                <w:color w:val="auto"/>
              </w:rPr>
            </w:pPr>
            <w:r>
              <w:rPr>
                <w:rFonts w:ascii="Arial" w:cs="Arial" w:eastAsia="Arial" w:hAnsi="Arial"/>
                <w:sz w:val="16"/>
                <w:szCs w:val="16"/>
                <w:color w:val="auto"/>
              </w:rPr>
              <w:t>Affiliate and subscription</w:t>
            </w:r>
          </w:p>
        </w:tc>
        <w:tc>
          <w:tcPr>
            <w:tcW w:w="460" w:type="dxa"/>
            <w:vAlign w:val="bottom"/>
          </w:tcPr>
          <w:p>
            <w:pPr>
              <w:spacing w:after="0"/>
              <w:rPr>
                <w:sz w:val="21"/>
                <w:szCs w:val="21"/>
                <w:color w:val="auto"/>
              </w:rPr>
            </w:pPr>
          </w:p>
        </w:tc>
        <w:tc>
          <w:tcPr>
            <w:tcW w:w="1060" w:type="dxa"/>
            <w:vAlign w:val="bottom"/>
            <w:tcBorders>
              <w:right w:val="single" w:sz="8" w:color="auto"/>
            </w:tcBorders>
          </w:tcPr>
          <w:p>
            <w:pPr>
              <w:jc w:val="right"/>
              <w:ind w:right="379"/>
              <w:spacing w:after="0"/>
              <w:rPr>
                <w:sz w:val="20"/>
                <w:szCs w:val="20"/>
                <w:color w:val="auto"/>
              </w:rPr>
            </w:pPr>
            <w:r>
              <w:rPr>
                <w:rFonts w:ascii="Arial" w:cs="Arial" w:eastAsia="Arial" w:hAnsi="Arial"/>
                <w:sz w:val="16"/>
                <w:szCs w:val="16"/>
                <w:color w:val="auto"/>
              </w:rPr>
              <w:t>1,044</w:t>
            </w:r>
          </w:p>
        </w:tc>
        <w:tc>
          <w:tcPr>
            <w:tcW w:w="440" w:type="dxa"/>
            <w:vAlign w:val="bottom"/>
          </w:tcPr>
          <w:p>
            <w:pPr>
              <w:spacing w:after="0"/>
              <w:rPr>
                <w:sz w:val="21"/>
                <w:szCs w:val="21"/>
                <w:color w:val="auto"/>
              </w:rPr>
            </w:pPr>
          </w:p>
        </w:tc>
        <w:tc>
          <w:tcPr>
            <w:tcW w:w="940" w:type="dxa"/>
            <w:vAlign w:val="bottom"/>
          </w:tcPr>
          <w:p>
            <w:pPr>
              <w:jc w:val="right"/>
              <w:ind w:right="259"/>
              <w:spacing w:after="0"/>
              <w:rPr>
                <w:sz w:val="20"/>
                <w:szCs w:val="20"/>
                <w:color w:val="auto"/>
              </w:rPr>
            </w:pPr>
            <w:r>
              <w:rPr>
                <w:rFonts w:ascii="Arial" w:cs="Arial" w:eastAsia="Arial" w:hAnsi="Arial"/>
                <w:sz w:val="16"/>
                <w:szCs w:val="16"/>
                <w:color w:val="auto"/>
              </w:rPr>
              <w:t>696</w:t>
            </w:r>
          </w:p>
        </w:tc>
        <w:tc>
          <w:tcPr>
            <w:tcW w:w="580" w:type="dxa"/>
            <w:vAlign w:val="bottom"/>
          </w:tcPr>
          <w:p>
            <w:pPr>
              <w:spacing w:after="0"/>
              <w:rPr>
                <w:sz w:val="21"/>
                <w:szCs w:val="21"/>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1,872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1,740</w:t>
            </w:r>
          </w:p>
        </w:tc>
        <w:tc>
          <w:tcPr>
            <w:tcW w:w="600" w:type="dxa"/>
            <w:vAlign w:val="bottom"/>
          </w:tcPr>
          <w:p>
            <w:pPr>
              <w:spacing w:after="0"/>
              <w:rPr>
                <w:sz w:val="21"/>
                <w:szCs w:val="21"/>
                <w:color w:val="auto"/>
              </w:rPr>
            </w:pP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1,872</w:t>
            </w:r>
          </w:p>
        </w:tc>
        <w:tc>
          <w:tcPr>
            <w:tcW w:w="220" w:type="dxa"/>
            <w:vAlign w:val="bottom"/>
          </w:tcPr>
          <w:p>
            <w:pPr>
              <w:spacing w:after="0"/>
              <w:rPr>
                <w:sz w:val="21"/>
                <w:szCs w:val="21"/>
                <w:color w:val="auto"/>
              </w:rPr>
            </w:pPr>
          </w:p>
        </w:tc>
        <w:tc>
          <w:tcPr>
            <w:tcW w:w="1180" w:type="dxa"/>
            <w:vAlign w:val="bottom"/>
          </w:tcPr>
          <w:p>
            <w:pPr>
              <w:jc w:val="right"/>
              <w:ind w:right="479"/>
              <w:spacing w:after="0"/>
              <w:rPr>
                <w:sz w:val="20"/>
                <w:szCs w:val="20"/>
                <w:color w:val="auto"/>
              </w:rPr>
            </w:pPr>
            <w:r>
              <w:rPr>
                <w:rFonts w:ascii="Arial" w:cs="Arial" w:eastAsia="Arial" w:hAnsi="Arial"/>
                <w:sz w:val="16"/>
                <w:szCs w:val="16"/>
                <w:color w:val="auto"/>
              </w:rPr>
              <w:t>(132)</w:t>
            </w:r>
          </w:p>
        </w:tc>
        <w:tc>
          <w:tcPr>
            <w:tcW w:w="520" w:type="dxa"/>
            <w:vAlign w:val="bottom"/>
          </w:tcPr>
          <w:p>
            <w:pPr>
              <w:jc w:val="right"/>
              <w:ind w:right="7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52"/>
        </w:trPr>
        <w:tc>
          <w:tcPr>
            <w:tcW w:w="21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Licensing and other</w:t>
            </w:r>
          </w:p>
        </w:tc>
        <w:tc>
          <w:tcPr>
            <w:tcW w:w="460" w:type="dxa"/>
            <w:vAlign w:val="bottom"/>
            <w:tcBorders>
              <w:bottom w:val="single" w:sz="8" w:color="auto"/>
            </w:tcBorders>
          </w:tcPr>
          <w:p>
            <w:pPr>
              <w:spacing w:after="0"/>
              <w:rPr>
                <w:sz w:val="21"/>
                <w:szCs w:val="21"/>
                <w:color w:val="auto"/>
              </w:rPr>
            </w:pPr>
          </w:p>
        </w:tc>
        <w:tc>
          <w:tcPr>
            <w:tcW w:w="1060" w:type="dxa"/>
            <w:vAlign w:val="bottom"/>
            <w:tcBorders>
              <w:bottom w:val="single" w:sz="8" w:color="auto"/>
              <w:right w:val="single" w:sz="8" w:color="auto"/>
            </w:tcBorders>
          </w:tcPr>
          <w:p>
            <w:pPr>
              <w:jc w:val="right"/>
              <w:ind w:right="379"/>
              <w:spacing w:after="0"/>
              <w:rPr>
                <w:sz w:val="20"/>
                <w:szCs w:val="20"/>
                <w:color w:val="auto"/>
              </w:rPr>
            </w:pPr>
            <w:r>
              <w:rPr>
                <w:rFonts w:ascii="Arial" w:cs="Arial" w:eastAsia="Arial" w:hAnsi="Arial"/>
                <w:sz w:val="16"/>
                <w:szCs w:val="16"/>
                <w:color w:val="auto"/>
              </w:rPr>
              <w:t>344</w:t>
            </w:r>
          </w:p>
        </w:tc>
        <w:tc>
          <w:tcPr>
            <w:tcW w:w="4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247</w:t>
            </w: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760</w:t>
            </w: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591</w:t>
            </w:r>
          </w:p>
        </w:tc>
        <w:tc>
          <w:tcPr>
            <w:tcW w:w="6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760</w:t>
            </w: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(169)</w:t>
            </w:r>
          </w:p>
        </w:tc>
        <w:tc>
          <w:tcPr>
            <w:tcW w:w="5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50"/>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Revenues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right w:val="single" w:sz="8" w:color="auto"/>
            </w:tcBorders>
          </w:tcPr>
          <w:p>
            <w:pPr>
              <w:jc w:val="right"/>
              <w:ind w:right="379"/>
              <w:spacing w:after="0"/>
              <w:rPr>
                <w:sz w:val="20"/>
                <w:szCs w:val="20"/>
                <w:color w:val="auto"/>
              </w:rPr>
            </w:pPr>
            <w:r>
              <w:rPr>
                <w:rFonts w:ascii="Arial" w:cs="Arial" w:eastAsia="Arial" w:hAnsi="Arial"/>
                <w:sz w:val="16"/>
                <w:szCs w:val="16"/>
                <w:color w:val="auto"/>
              </w:rPr>
              <w:t>2,368</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1,428</w:t>
            </w: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4,298</w:t>
            </w: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3,796</w:t>
            </w: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4,298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(502)</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097" w:right="339" w:bottom="1440" w:gutter="0" w:footer="0" w:header="0"/>
        </w:sectPr>
      </w:pPr>
    </w:p>
    <w:bookmarkStart w:id="18" w:name="page19"/>
    <w:bookmarkEnd w:id="18"/>
    <w:p>
      <w:pPr>
        <w:spacing w:after="0"/>
        <w:rPr>
          <w:sz w:val="20"/>
          <w:szCs w:val="20"/>
          <w:color w:val="auto"/>
        </w:rPr>
      </w:pPr>
      <w:r>
        <w:rPr>
          <w:rFonts w:ascii="Arial" w:cs="Arial" w:eastAsia="Arial" w:hAnsi="Arial"/>
          <w:sz w:val="22"/>
          <w:szCs w:val="22"/>
          <w:b w:val="1"/>
          <w:bCs w:val="1"/>
          <w:i w:val="1"/>
          <w:iCs w:val="1"/>
          <w:color w:val="auto"/>
        </w:rPr>
        <w:t>Direct-to-Consumer</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Three Months Ended September 30, 2025 and 2024</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2160" w:type="dxa"/>
            <w:vAlign w:val="bottom"/>
            <w:tcBorders>
              <w:top w:val="single" w:sz="8" w:color="auto"/>
            </w:tcBorders>
          </w:tcPr>
          <w:p>
            <w:pPr>
              <w:spacing w:after="0"/>
              <w:rPr>
                <w:sz w:val="23"/>
                <w:szCs w:val="23"/>
                <w:color w:val="auto"/>
              </w:rPr>
            </w:pPr>
          </w:p>
        </w:tc>
        <w:tc>
          <w:tcPr>
            <w:tcW w:w="1540" w:type="dxa"/>
            <w:vAlign w:val="bottom"/>
            <w:tcBorders>
              <w:top w:val="single" w:sz="8" w:color="auto"/>
              <w:bottom w:val="single" w:sz="8" w:color="auto"/>
              <w:right w:val="single" w:sz="8" w:color="auto"/>
            </w:tcBorders>
            <w:gridSpan w:val="2"/>
          </w:tcPr>
          <w:p>
            <w:pPr>
              <w:jc w:val="center"/>
              <w:ind w:right="39"/>
              <w:spacing w:after="0"/>
              <w:rPr>
                <w:sz w:val="20"/>
                <w:szCs w:val="20"/>
                <w:color w:val="auto"/>
              </w:rPr>
            </w:pPr>
            <w:r>
              <w:rPr>
                <w:rFonts w:ascii="Arial" w:cs="Arial" w:eastAsia="Arial" w:hAnsi="Arial"/>
                <w:sz w:val="16"/>
                <w:szCs w:val="16"/>
                <w:b w:val="1"/>
                <w:bCs w:val="1"/>
                <w:color w:val="auto"/>
              </w:rPr>
              <w:t>Successor</w:t>
            </w:r>
          </w:p>
        </w:tc>
        <w:tc>
          <w:tcPr>
            <w:tcW w:w="420" w:type="dxa"/>
            <w:vAlign w:val="bottom"/>
            <w:tcBorders>
              <w:top w:val="single" w:sz="8" w:color="auto"/>
              <w:bottom w:val="single" w:sz="8" w:color="auto"/>
            </w:tcBorders>
          </w:tcPr>
          <w:p>
            <w:pPr>
              <w:spacing w:after="0"/>
              <w:rPr>
                <w:sz w:val="23"/>
                <w:szCs w:val="23"/>
                <w:color w:val="auto"/>
              </w:rPr>
            </w:pPr>
          </w:p>
        </w:tc>
        <w:tc>
          <w:tcPr>
            <w:tcW w:w="1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Predecessor</w:t>
            </w:r>
          </w:p>
        </w:tc>
        <w:tc>
          <w:tcPr>
            <w:tcW w:w="880" w:type="dxa"/>
            <w:vAlign w:val="bottom"/>
            <w:tcBorders>
              <w:top w:val="single" w:sz="8" w:color="auto"/>
              <w:bottom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340" w:type="dxa"/>
            <w:vAlign w:val="bottom"/>
            <w:tcBorders>
              <w:top w:val="single" w:sz="8" w:color="auto"/>
              <w:bottom w:val="single" w:sz="8" w:color="auto"/>
            </w:tcBorders>
          </w:tcPr>
          <w:p>
            <w:pPr>
              <w:spacing w:after="0"/>
              <w:rPr>
                <w:sz w:val="23"/>
                <w:szCs w:val="23"/>
                <w:color w:val="auto"/>
              </w:rPr>
            </w:pPr>
          </w:p>
        </w:tc>
        <w:tc>
          <w:tcPr>
            <w:tcW w:w="3680" w:type="dxa"/>
            <w:vAlign w:val="bottom"/>
            <w:tcBorders>
              <w:top w:val="single" w:sz="8" w:color="auto"/>
              <w:bottom w:val="single" w:sz="8" w:color="auto"/>
            </w:tcBorders>
            <w:gridSpan w:val="5"/>
          </w:tcPr>
          <w:p>
            <w:pPr>
              <w:jc w:val="right"/>
              <w:ind w:right="219"/>
              <w:spacing w:after="0"/>
              <w:rPr>
                <w:sz w:val="20"/>
                <w:szCs w:val="20"/>
                <w:color w:val="auto"/>
              </w:rPr>
            </w:pPr>
            <w:r>
              <w:rPr>
                <w:rFonts w:ascii="Arial" w:cs="Arial" w:eastAsia="Arial" w:hAnsi="Arial"/>
                <w:sz w:val="16"/>
                <w:szCs w:val="16"/>
                <w:b w:val="1"/>
                <w:bCs w:val="1"/>
                <w:color w:val="auto"/>
              </w:rPr>
              <w:t xml:space="preserve">Supplemental Pro Forma Revenues </w:t>
            </w:r>
            <w:r>
              <w:rPr>
                <w:rFonts w:ascii="Arial" w:cs="Arial" w:eastAsia="Arial" w:hAnsi="Arial"/>
                <w:sz w:val="21"/>
                <w:szCs w:val="21"/>
                <w:b w:val="1"/>
                <w:bCs w:val="1"/>
                <w:color w:val="auto"/>
                <w:vertAlign w:val="superscript"/>
              </w:rPr>
              <w:t>(a)</w:t>
            </w:r>
          </w:p>
        </w:tc>
        <w:tc>
          <w:tcPr>
            <w:tcW w:w="520" w:type="dxa"/>
            <w:vAlign w:val="bottom"/>
            <w:tcBorders>
              <w:top w:val="single" w:sz="8" w:color="auto"/>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2160" w:type="dxa"/>
            <w:vAlign w:val="bottom"/>
          </w:tcPr>
          <w:p>
            <w:pPr>
              <w:spacing w:after="0"/>
              <w:rPr>
                <w:sz w:val="18"/>
                <w:szCs w:val="18"/>
                <w:color w:val="auto"/>
              </w:rPr>
            </w:pPr>
          </w:p>
        </w:tc>
        <w:tc>
          <w:tcPr>
            <w:tcW w:w="1540" w:type="dxa"/>
            <w:vAlign w:val="bottom"/>
            <w:tcBorders>
              <w:right w:val="single" w:sz="8" w:color="auto"/>
            </w:tcBorders>
            <w:gridSpan w:val="2"/>
          </w:tcPr>
          <w:p>
            <w:pPr>
              <w:jc w:val="center"/>
              <w:ind w:right="39"/>
              <w:spacing w:after="0"/>
              <w:rPr>
                <w:sz w:val="20"/>
                <w:szCs w:val="20"/>
                <w:color w:val="auto"/>
              </w:rPr>
            </w:pPr>
            <w:r>
              <w:rPr>
                <w:rFonts w:ascii="Arial" w:cs="Arial" w:eastAsia="Arial" w:hAnsi="Arial"/>
                <w:sz w:val="16"/>
                <w:szCs w:val="16"/>
                <w:b w:val="1"/>
                <w:bCs w:val="1"/>
                <w:color w:val="auto"/>
                <w:w w:val="99"/>
              </w:rPr>
              <w:t>Period From</w:t>
            </w:r>
          </w:p>
        </w:tc>
        <w:tc>
          <w:tcPr>
            <w:tcW w:w="134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Period From</w:t>
            </w:r>
          </w:p>
        </w:tc>
        <w:tc>
          <w:tcPr>
            <w:tcW w:w="160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rPr>
              <w:t>Three Months</w:t>
            </w:r>
          </w:p>
        </w:tc>
        <w:tc>
          <w:tcPr>
            <w:tcW w:w="2620" w:type="dxa"/>
            <w:vAlign w:val="bottom"/>
            <w:gridSpan w:val="4"/>
            <w:vMerge w:val="restart"/>
          </w:tcPr>
          <w:p>
            <w:pPr>
              <w:jc w:val="right"/>
              <w:ind w:right="19"/>
              <w:spacing w:after="0"/>
              <w:rPr>
                <w:sz w:val="20"/>
                <w:szCs w:val="20"/>
                <w:color w:val="auto"/>
              </w:rPr>
            </w:pPr>
            <w:r>
              <w:rPr>
                <w:rFonts w:ascii="Arial" w:cs="Arial" w:eastAsia="Arial" w:hAnsi="Arial"/>
                <w:sz w:val="16"/>
                <w:szCs w:val="16"/>
                <w:b w:val="1"/>
                <w:bCs w:val="1"/>
                <w:color w:val="auto"/>
              </w:rPr>
              <w:t>Three Months Ended September</w:t>
            </w:r>
          </w:p>
        </w:tc>
        <w:tc>
          <w:tcPr>
            <w:tcW w:w="220" w:type="dxa"/>
            <w:vAlign w:val="bottom"/>
          </w:tcPr>
          <w:p>
            <w:pPr>
              <w:spacing w:after="0"/>
              <w:rPr>
                <w:sz w:val="18"/>
                <w:szCs w:val="18"/>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Pro forma</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160" w:type="dxa"/>
            <w:vAlign w:val="bottom"/>
          </w:tcPr>
          <w:p>
            <w:pPr>
              <w:spacing w:after="0"/>
              <w:rPr>
                <w:sz w:val="8"/>
                <w:szCs w:val="8"/>
                <w:color w:val="auto"/>
              </w:rPr>
            </w:pPr>
          </w:p>
        </w:tc>
        <w:tc>
          <w:tcPr>
            <w:tcW w:w="1540" w:type="dxa"/>
            <w:vAlign w:val="bottom"/>
            <w:tcBorders>
              <w:right w:val="single" w:sz="8" w:color="auto"/>
            </w:tcBorders>
            <w:gridSpan w:val="2"/>
            <w:vMerge w:val="restart"/>
          </w:tcPr>
          <w:p>
            <w:pPr>
              <w:jc w:val="center"/>
              <w:ind w:right="39"/>
              <w:spacing w:after="0"/>
              <w:rPr>
                <w:sz w:val="20"/>
                <w:szCs w:val="20"/>
                <w:color w:val="auto"/>
              </w:rPr>
            </w:pPr>
            <w:r>
              <w:rPr>
                <w:rFonts w:ascii="Arial" w:cs="Arial" w:eastAsia="Arial" w:hAnsi="Arial"/>
                <w:sz w:val="16"/>
                <w:szCs w:val="16"/>
                <w:b w:val="1"/>
                <w:bCs w:val="1"/>
                <w:color w:val="auto"/>
                <w:w w:val="99"/>
              </w:rPr>
              <w:t>August 7 -</w:t>
            </w:r>
          </w:p>
        </w:tc>
        <w:tc>
          <w:tcPr>
            <w:tcW w:w="134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July 1 - August</w:t>
            </w:r>
          </w:p>
        </w:tc>
        <w:tc>
          <w:tcPr>
            <w:tcW w:w="1600" w:type="dxa"/>
            <w:vAlign w:val="bottom"/>
            <w:gridSpan w:val="3"/>
            <w:vMerge w:val="restart"/>
          </w:tcPr>
          <w:p>
            <w:pPr>
              <w:jc w:val="center"/>
              <w:ind w:right="60"/>
              <w:spacing w:after="0"/>
              <w:rPr>
                <w:sz w:val="20"/>
                <w:szCs w:val="20"/>
                <w:color w:val="auto"/>
              </w:rPr>
            </w:pPr>
            <w:r>
              <w:rPr>
                <w:rFonts w:ascii="Arial" w:cs="Arial" w:eastAsia="Arial" w:hAnsi="Arial"/>
                <w:sz w:val="16"/>
                <w:szCs w:val="16"/>
                <w:b w:val="1"/>
                <w:bCs w:val="1"/>
                <w:color w:val="auto"/>
              </w:rPr>
              <w:t>Ended September</w:t>
            </w:r>
          </w:p>
        </w:tc>
        <w:tc>
          <w:tcPr>
            <w:tcW w:w="2620" w:type="dxa"/>
            <w:vAlign w:val="bottom"/>
            <w:gridSpan w:val="4"/>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160" w:type="dxa"/>
            <w:vAlign w:val="bottom"/>
          </w:tcPr>
          <w:p>
            <w:pPr>
              <w:spacing w:after="0"/>
              <w:rPr>
                <w:sz w:val="8"/>
                <w:szCs w:val="8"/>
                <w:color w:val="auto"/>
              </w:rPr>
            </w:pPr>
          </w:p>
        </w:tc>
        <w:tc>
          <w:tcPr>
            <w:tcW w:w="1540" w:type="dxa"/>
            <w:vAlign w:val="bottom"/>
            <w:tcBorders>
              <w:right w:val="single" w:sz="8" w:color="auto"/>
            </w:tcBorders>
            <w:gridSpan w:val="2"/>
            <w:vMerge w:val="continue"/>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1600" w:type="dxa"/>
            <w:vAlign w:val="bottom"/>
            <w:gridSpan w:val="3"/>
            <w:vMerge w:val="continue"/>
          </w:tcPr>
          <w:p>
            <w:pPr>
              <w:spacing w:after="0"/>
              <w:rPr>
                <w:sz w:val="8"/>
                <w:szCs w:val="8"/>
                <w:color w:val="auto"/>
              </w:rPr>
            </w:pPr>
          </w:p>
        </w:tc>
        <w:tc>
          <w:tcPr>
            <w:tcW w:w="2620" w:type="dxa"/>
            <w:vAlign w:val="bottom"/>
            <w:gridSpan w:val="4"/>
            <w:vMerge w:val="continue"/>
          </w:tcPr>
          <w:p>
            <w:pPr>
              <w:spacing w:after="0"/>
              <w:rPr>
                <w:sz w:val="8"/>
                <w:szCs w:val="8"/>
                <w:color w:val="auto"/>
              </w:rPr>
            </w:pPr>
          </w:p>
        </w:tc>
        <w:tc>
          <w:tcPr>
            <w:tcW w:w="220" w:type="dxa"/>
            <w:vAlign w:val="bottom"/>
          </w:tcPr>
          <w:p>
            <w:pPr>
              <w:spacing w:after="0"/>
              <w:rPr>
                <w:sz w:val="8"/>
                <w:szCs w:val="8"/>
                <w:color w:val="auto"/>
              </w:rPr>
            </w:pPr>
          </w:p>
        </w:tc>
        <w:tc>
          <w:tcPr>
            <w:tcW w:w="1700" w:type="dxa"/>
            <w:vAlign w:val="bottom"/>
            <w:gridSpan w:val="2"/>
            <w:vMerge w:val="restart"/>
          </w:tcPr>
          <w:p>
            <w:pPr>
              <w:jc w:val="right"/>
              <w:ind w:right="59"/>
              <w:spacing w:after="0"/>
              <w:rPr>
                <w:sz w:val="20"/>
                <w:szCs w:val="20"/>
                <w:color w:val="auto"/>
              </w:rPr>
            </w:pPr>
            <w:r>
              <w:rPr>
                <w:rFonts w:ascii="Arial" w:cs="Arial" w:eastAsia="Arial" w:hAnsi="Arial"/>
                <w:sz w:val="16"/>
                <w:szCs w:val="16"/>
                <w:b w:val="1"/>
                <w:bCs w:val="1"/>
                <w:color w:val="auto"/>
              </w:rPr>
              <w:t>Increase/(Decrease)</w:t>
            </w:r>
          </w:p>
        </w:tc>
        <w:tc>
          <w:tcPr>
            <w:tcW w:w="0" w:type="dxa"/>
            <w:vAlign w:val="bottom"/>
          </w:tcPr>
          <w:p>
            <w:pPr>
              <w:spacing w:after="0"/>
              <w:rPr>
                <w:sz w:val="1"/>
                <w:szCs w:val="1"/>
                <w:color w:val="auto"/>
              </w:rPr>
            </w:pPr>
          </w:p>
        </w:tc>
      </w:tr>
      <w:tr>
        <w:trPr>
          <w:trHeight w:val="128"/>
        </w:trPr>
        <w:tc>
          <w:tcPr>
            <w:tcW w:w="2160" w:type="dxa"/>
            <w:vAlign w:val="bottom"/>
          </w:tcPr>
          <w:p>
            <w:pPr>
              <w:spacing w:after="0"/>
              <w:rPr>
                <w:sz w:val="11"/>
                <w:szCs w:val="11"/>
                <w:color w:val="auto"/>
              </w:rPr>
            </w:pPr>
          </w:p>
        </w:tc>
        <w:tc>
          <w:tcPr>
            <w:tcW w:w="1540" w:type="dxa"/>
            <w:vAlign w:val="bottom"/>
            <w:tcBorders>
              <w:right w:val="single" w:sz="8" w:color="auto"/>
            </w:tcBorders>
            <w:gridSpan w:val="2"/>
            <w:vMerge w:val="restart"/>
          </w:tcPr>
          <w:p>
            <w:pPr>
              <w:jc w:val="center"/>
              <w:ind w:right="39"/>
              <w:spacing w:after="0"/>
              <w:rPr>
                <w:sz w:val="20"/>
                <w:szCs w:val="20"/>
                <w:color w:val="auto"/>
              </w:rPr>
            </w:pPr>
            <w:r>
              <w:rPr>
                <w:rFonts w:ascii="Arial" w:cs="Arial" w:eastAsia="Arial" w:hAnsi="Arial"/>
                <w:sz w:val="16"/>
                <w:szCs w:val="16"/>
                <w:b w:val="1"/>
                <w:bCs w:val="1"/>
                <w:color w:val="auto"/>
              </w:rPr>
              <w:t>September 30,</w:t>
            </w:r>
          </w:p>
        </w:tc>
        <w:tc>
          <w:tcPr>
            <w:tcW w:w="420" w:type="dxa"/>
            <w:vAlign w:val="bottom"/>
          </w:tcPr>
          <w:p>
            <w:pPr>
              <w:spacing w:after="0"/>
              <w:rPr>
                <w:sz w:val="11"/>
                <w:szCs w:val="11"/>
                <w:color w:val="auto"/>
              </w:rPr>
            </w:pPr>
          </w:p>
        </w:tc>
        <w:tc>
          <w:tcPr>
            <w:tcW w:w="920" w:type="dxa"/>
            <w:vAlign w:val="bottom"/>
            <w:vMerge w:val="restart"/>
          </w:tcPr>
          <w:p>
            <w:pPr>
              <w:jc w:val="right"/>
              <w:ind w:right="519"/>
              <w:spacing w:after="0"/>
              <w:rPr>
                <w:sz w:val="20"/>
                <w:szCs w:val="20"/>
                <w:color w:val="auto"/>
              </w:rPr>
            </w:pPr>
            <w:r>
              <w:rPr>
                <w:rFonts w:ascii="Arial" w:cs="Arial" w:eastAsia="Arial" w:hAnsi="Arial"/>
                <w:sz w:val="16"/>
                <w:szCs w:val="16"/>
                <w:b w:val="1"/>
                <w:bCs w:val="1"/>
                <w:color w:val="auto"/>
              </w:rPr>
              <w:t>6,</w:t>
            </w:r>
          </w:p>
        </w:tc>
        <w:tc>
          <w:tcPr>
            <w:tcW w:w="600" w:type="dxa"/>
            <w:vAlign w:val="bottom"/>
          </w:tcPr>
          <w:p>
            <w:pPr>
              <w:spacing w:after="0"/>
              <w:rPr>
                <w:sz w:val="11"/>
                <w:szCs w:val="11"/>
                <w:color w:val="auto"/>
              </w:rPr>
            </w:pPr>
          </w:p>
        </w:tc>
        <w:tc>
          <w:tcPr>
            <w:tcW w:w="880" w:type="dxa"/>
            <w:vAlign w:val="bottom"/>
            <w:vMerge w:val="restart"/>
          </w:tcPr>
          <w:p>
            <w:pPr>
              <w:jc w:val="right"/>
              <w:ind w:right="519"/>
              <w:spacing w:after="0"/>
              <w:rPr>
                <w:sz w:val="20"/>
                <w:szCs w:val="20"/>
                <w:color w:val="auto"/>
              </w:rPr>
            </w:pPr>
            <w:r>
              <w:rPr>
                <w:rFonts w:ascii="Arial" w:cs="Arial" w:eastAsia="Arial" w:hAnsi="Arial"/>
                <w:sz w:val="16"/>
                <w:szCs w:val="16"/>
                <w:b w:val="1"/>
                <w:bCs w:val="1"/>
                <w:color w:val="auto"/>
              </w:rPr>
              <w:t>30,</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30,</w:t>
            </w: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160" w:type="dxa"/>
            <w:vAlign w:val="bottom"/>
          </w:tcPr>
          <w:p>
            <w:pPr>
              <w:spacing w:after="0"/>
              <w:rPr>
                <w:sz w:val="8"/>
                <w:szCs w:val="8"/>
                <w:color w:val="auto"/>
              </w:rPr>
            </w:pPr>
          </w:p>
        </w:tc>
        <w:tc>
          <w:tcPr>
            <w:tcW w:w="1540" w:type="dxa"/>
            <w:vAlign w:val="bottom"/>
            <w:tcBorders>
              <w:bottom w:val="single" w:sz="8" w:color="auto"/>
              <w:right w:val="single" w:sz="8" w:color="auto"/>
            </w:tcBorders>
            <w:gridSpan w:val="2"/>
            <w:vMerge w:val="continue"/>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vMerge w:val="continue"/>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vMerge w:val="continue"/>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21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Direct-to-Consumer</w:t>
            </w: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jc w:val="center"/>
              <w:ind w:right="479"/>
              <w:spacing w:after="0"/>
              <w:rPr>
                <w:sz w:val="20"/>
                <w:szCs w:val="20"/>
                <w:color w:val="auto"/>
              </w:rPr>
            </w:pPr>
            <w:r>
              <w:rPr>
                <w:rFonts w:ascii="Arial" w:cs="Arial" w:eastAsia="Arial" w:hAnsi="Arial"/>
                <w:sz w:val="16"/>
                <w:szCs w:val="16"/>
                <w:b w:val="1"/>
                <w:bCs w:val="1"/>
                <w:color w:val="auto"/>
              </w:rPr>
              <w:t>2025</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6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w w:val="95"/>
              </w:rPr>
              <w:t>2024</w:t>
            </w: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2025</w:t>
            </w:r>
          </w:p>
        </w:tc>
        <w:tc>
          <w:tcPr>
            <w:tcW w:w="6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w w:val="84"/>
              </w:rPr>
              <w:t>%</w:t>
            </w:r>
          </w:p>
        </w:tc>
        <w:tc>
          <w:tcPr>
            <w:tcW w:w="0" w:type="dxa"/>
            <w:vAlign w:val="bottom"/>
          </w:tcPr>
          <w:p>
            <w:pPr>
              <w:spacing w:after="0"/>
              <w:rPr>
                <w:sz w:val="1"/>
                <w:szCs w:val="1"/>
                <w:color w:val="auto"/>
              </w:rPr>
            </w:pPr>
          </w:p>
        </w:tc>
      </w:tr>
      <w:tr>
        <w:trPr>
          <w:trHeight w:val="225"/>
        </w:trPr>
        <w:tc>
          <w:tcPr>
            <w:tcW w:w="2160" w:type="dxa"/>
            <w:vAlign w:val="bottom"/>
          </w:tcPr>
          <w:p>
            <w:pPr>
              <w:ind w:left="120"/>
              <w:spacing w:after="0"/>
              <w:rPr>
                <w:sz w:val="20"/>
                <w:szCs w:val="20"/>
                <w:color w:val="auto"/>
              </w:rPr>
            </w:pPr>
            <w:r>
              <w:rPr>
                <w:rFonts w:ascii="Arial" w:cs="Arial" w:eastAsia="Arial" w:hAnsi="Arial"/>
                <w:sz w:val="16"/>
                <w:szCs w:val="16"/>
                <w:color w:val="auto"/>
              </w:rPr>
              <w:t>Advertising</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right w:val="single" w:sz="8" w:color="auto"/>
            </w:tcBorders>
          </w:tcPr>
          <w:p>
            <w:pPr>
              <w:jc w:val="right"/>
              <w:ind w:right="399"/>
              <w:spacing w:after="0"/>
              <w:rPr>
                <w:sz w:val="20"/>
                <w:szCs w:val="20"/>
                <w:color w:val="auto"/>
              </w:rPr>
            </w:pPr>
            <w:r>
              <w:rPr>
                <w:rFonts w:ascii="Arial" w:cs="Arial" w:eastAsia="Arial" w:hAnsi="Arial"/>
                <w:sz w:val="16"/>
                <w:szCs w:val="16"/>
                <w:color w:val="auto"/>
              </w:rPr>
              <w:t>300</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59"/>
              <w:spacing w:after="0"/>
              <w:rPr>
                <w:sz w:val="20"/>
                <w:szCs w:val="20"/>
                <w:color w:val="auto"/>
              </w:rPr>
            </w:pPr>
            <w:r>
              <w:rPr>
                <w:rFonts w:ascii="Arial" w:cs="Arial" w:eastAsia="Arial" w:hAnsi="Arial"/>
                <w:sz w:val="16"/>
                <w:szCs w:val="16"/>
                <w:color w:val="auto"/>
              </w:rPr>
              <w:t>179</w:t>
            </w: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79"/>
              <w:spacing w:after="0"/>
              <w:rPr>
                <w:sz w:val="20"/>
                <w:szCs w:val="20"/>
                <w:color w:val="auto"/>
              </w:rPr>
            </w:pPr>
            <w:r>
              <w:rPr>
                <w:rFonts w:ascii="Arial" w:cs="Arial" w:eastAsia="Arial" w:hAnsi="Arial"/>
                <w:sz w:val="16"/>
                <w:szCs w:val="16"/>
                <w:color w:val="auto"/>
              </w:rPr>
              <w:t>507</w:t>
            </w:r>
          </w:p>
        </w:tc>
        <w:tc>
          <w:tcPr>
            <w:tcW w:w="120" w:type="dxa"/>
            <w:vAlign w:val="bottom"/>
          </w:tcPr>
          <w:p>
            <w:pPr>
              <w:spacing w:after="0"/>
              <w:rPr>
                <w:sz w:val="19"/>
                <w:szCs w:val="19"/>
                <w:color w:val="auto"/>
              </w:rPr>
            </w:pP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479</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507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79"/>
              <w:spacing w:after="0"/>
              <w:rPr>
                <w:sz w:val="20"/>
                <w:szCs w:val="20"/>
                <w:color w:val="auto"/>
              </w:rPr>
            </w:pPr>
            <w:r>
              <w:rPr>
                <w:rFonts w:ascii="Arial" w:cs="Arial" w:eastAsia="Arial" w:hAnsi="Arial"/>
                <w:sz w:val="16"/>
                <w:szCs w:val="16"/>
                <w:color w:val="auto"/>
              </w:rPr>
              <w:t>(28)</w:t>
            </w:r>
          </w:p>
        </w:tc>
        <w:tc>
          <w:tcPr>
            <w:tcW w:w="52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43"/>
        </w:trPr>
        <w:tc>
          <w:tcPr>
            <w:tcW w:w="2160" w:type="dxa"/>
            <w:vAlign w:val="bottom"/>
          </w:tcPr>
          <w:p>
            <w:pPr>
              <w:ind w:left="120"/>
              <w:spacing w:after="0"/>
              <w:rPr>
                <w:sz w:val="20"/>
                <w:szCs w:val="20"/>
                <w:color w:val="auto"/>
              </w:rPr>
            </w:pPr>
            <w:r>
              <w:rPr>
                <w:rFonts w:ascii="Arial" w:cs="Arial" w:eastAsia="Arial" w:hAnsi="Arial"/>
                <w:sz w:val="16"/>
                <w:szCs w:val="16"/>
                <w:color w:val="auto"/>
              </w:rPr>
              <w:t>Subscription</w:t>
            </w:r>
          </w:p>
        </w:tc>
        <w:tc>
          <w:tcPr>
            <w:tcW w:w="460" w:type="dxa"/>
            <w:vAlign w:val="bottom"/>
          </w:tcPr>
          <w:p>
            <w:pPr>
              <w:spacing w:after="0"/>
              <w:rPr>
                <w:sz w:val="21"/>
                <w:szCs w:val="21"/>
                <w:color w:val="auto"/>
              </w:rPr>
            </w:pPr>
          </w:p>
        </w:tc>
        <w:tc>
          <w:tcPr>
            <w:tcW w:w="1080" w:type="dxa"/>
            <w:vAlign w:val="bottom"/>
            <w:tcBorders>
              <w:right w:val="single" w:sz="8" w:color="auto"/>
            </w:tcBorders>
          </w:tcPr>
          <w:p>
            <w:pPr>
              <w:jc w:val="right"/>
              <w:ind w:right="399"/>
              <w:spacing w:after="0"/>
              <w:rPr>
                <w:sz w:val="20"/>
                <w:szCs w:val="20"/>
                <w:color w:val="auto"/>
              </w:rPr>
            </w:pPr>
            <w:r>
              <w:rPr>
                <w:rFonts w:ascii="Arial" w:cs="Arial" w:eastAsia="Arial" w:hAnsi="Arial"/>
                <w:sz w:val="16"/>
                <w:szCs w:val="16"/>
                <w:color w:val="auto"/>
              </w:rPr>
              <w:t>983</w:t>
            </w:r>
          </w:p>
        </w:tc>
        <w:tc>
          <w:tcPr>
            <w:tcW w:w="420" w:type="dxa"/>
            <w:vAlign w:val="bottom"/>
          </w:tcPr>
          <w:p>
            <w:pPr>
              <w:spacing w:after="0"/>
              <w:rPr>
                <w:sz w:val="21"/>
                <w:szCs w:val="21"/>
                <w:color w:val="auto"/>
              </w:rPr>
            </w:pPr>
          </w:p>
        </w:tc>
        <w:tc>
          <w:tcPr>
            <w:tcW w:w="920" w:type="dxa"/>
            <w:vAlign w:val="bottom"/>
          </w:tcPr>
          <w:p>
            <w:pPr>
              <w:jc w:val="right"/>
              <w:ind w:right="259"/>
              <w:spacing w:after="0"/>
              <w:rPr>
                <w:sz w:val="20"/>
                <w:szCs w:val="20"/>
                <w:color w:val="auto"/>
              </w:rPr>
            </w:pPr>
            <w:r>
              <w:rPr>
                <w:rFonts w:ascii="Arial" w:cs="Arial" w:eastAsia="Arial" w:hAnsi="Arial"/>
                <w:sz w:val="16"/>
                <w:szCs w:val="16"/>
                <w:color w:val="auto"/>
              </w:rPr>
              <w:t>704</w:t>
            </w:r>
          </w:p>
        </w:tc>
        <w:tc>
          <w:tcPr>
            <w:tcW w:w="600" w:type="dxa"/>
            <w:vAlign w:val="bottom"/>
          </w:tcPr>
          <w:p>
            <w:pPr>
              <w:spacing w:after="0"/>
              <w:rPr>
                <w:sz w:val="21"/>
                <w:szCs w:val="21"/>
                <w:color w:val="auto"/>
              </w:rPr>
            </w:pPr>
          </w:p>
        </w:tc>
        <w:tc>
          <w:tcPr>
            <w:tcW w:w="880" w:type="dxa"/>
            <w:vAlign w:val="bottom"/>
          </w:tcPr>
          <w:p>
            <w:pPr>
              <w:jc w:val="right"/>
              <w:ind w:right="279"/>
              <w:spacing w:after="0"/>
              <w:rPr>
                <w:sz w:val="20"/>
                <w:szCs w:val="20"/>
                <w:color w:val="auto"/>
              </w:rPr>
            </w:pPr>
            <w:r>
              <w:rPr>
                <w:rFonts w:ascii="Arial" w:cs="Arial" w:eastAsia="Arial" w:hAnsi="Arial"/>
                <w:sz w:val="16"/>
                <w:szCs w:val="16"/>
                <w:color w:val="auto"/>
              </w:rPr>
              <w:t>1,343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1,687</w:t>
            </w:r>
          </w:p>
        </w:tc>
        <w:tc>
          <w:tcPr>
            <w:tcW w:w="600" w:type="dxa"/>
            <w:vAlign w:val="bottom"/>
          </w:tcPr>
          <w:p>
            <w:pPr>
              <w:spacing w:after="0"/>
              <w:rPr>
                <w:sz w:val="21"/>
                <w:szCs w:val="21"/>
                <w:color w:val="auto"/>
              </w:rPr>
            </w:pP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1,343</w:t>
            </w:r>
          </w:p>
        </w:tc>
        <w:tc>
          <w:tcPr>
            <w:tcW w:w="220" w:type="dxa"/>
            <w:vAlign w:val="bottom"/>
          </w:tcPr>
          <w:p>
            <w:pPr>
              <w:spacing w:after="0"/>
              <w:rPr>
                <w:sz w:val="21"/>
                <w:szCs w:val="21"/>
                <w:color w:val="auto"/>
              </w:rPr>
            </w:pPr>
          </w:p>
        </w:tc>
        <w:tc>
          <w:tcPr>
            <w:tcW w:w="1180" w:type="dxa"/>
            <w:vAlign w:val="bottom"/>
          </w:tcPr>
          <w:p>
            <w:pPr>
              <w:jc w:val="right"/>
              <w:ind w:right="519"/>
              <w:spacing w:after="0"/>
              <w:rPr>
                <w:sz w:val="20"/>
                <w:szCs w:val="20"/>
                <w:color w:val="auto"/>
              </w:rPr>
            </w:pPr>
            <w:r>
              <w:rPr>
                <w:rFonts w:ascii="Arial" w:cs="Arial" w:eastAsia="Arial" w:hAnsi="Arial"/>
                <w:sz w:val="16"/>
                <w:szCs w:val="16"/>
                <w:color w:val="auto"/>
              </w:rPr>
              <w:t>344</w:t>
            </w:r>
          </w:p>
        </w:tc>
        <w:tc>
          <w:tcPr>
            <w:tcW w:w="520" w:type="dxa"/>
            <w:vAlign w:val="bottom"/>
          </w:tcPr>
          <w:p>
            <w:pPr>
              <w:jc w:val="right"/>
              <w:ind w:right="119"/>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52"/>
        </w:trPr>
        <w:tc>
          <w:tcPr>
            <w:tcW w:w="21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Licensing</w:t>
            </w:r>
          </w:p>
        </w:tc>
        <w:tc>
          <w:tcPr>
            <w:tcW w:w="460" w:type="dxa"/>
            <w:vAlign w:val="bottom"/>
            <w:tcBorders>
              <w:bottom w:val="single" w:sz="8" w:color="auto"/>
            </w:tcBorders>
          </w:tcPr>
          <w:p>
            <w:pPr>
              <w:spacing w:after="0"/>
              <w:rPr>
                <w:sz w:val="21"/>
                <w:szCs w:val="21"/>
                <w:color w:val="auto"/>
              </w:rPr>
            </w:pPr>
          </w:p>
        </w:tc>
        <w:tc>
          <w:tcPr>
            <w:tcW w:w="1080" w:type="dxa"/>
            <w:vAlign w:val="bottom"/>
            <w:tcBorders>
              <w:bottom w:val="single" w:sz="8" w:color="auto"/>
              <w:right w:val="single" w:sz="8" w:color="auto"/>
            </w:tcBorders>
          </w:tcPr>
          <w:p>
            <w:pPr>
              <w:jc w:val="right"/>
              <w:ind w:right="399"/>
              <w:spacing w:after="0"/>
              <w:rPr>
                <w:sz w:val="20"/>
                <w:szCs w:val="20"/>
                <w:color w:val="auto"/>
              </w:rPr>
            </w:pPr>
            <w:r>
              <w:rPr>
                <w:rFonts w:ascii="Arial" w:cs="Arial" w:eastAsia="Arial" w:hAnsi="Arial"/>
                <w:sz w:val="16"/>
                <w:szCs w:val="16"/>
                <w:color w:val="auto"/>
              </w:rPr>
              <w:t>1</w:t>
            </w:r>
          </w:p>
        </w:tc>
        <w:tc>
          <w:tcPr>
            <w:tcW w:w="4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6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w:t>
            </w: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(9)</w:t>
            </w:r>
          </w:p>
        </w:tc>
        <w:tc>
          <w:tcPr>
            <w:tcW w:w="5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50"/>
        </w:trPr>
        <w:tc>
          <w:tcPr>
            <w:tcW w:w="2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Revenues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right w:val="single" w:sz="8" w:color="auto"/>
            </w:tcBorders>
          </w:tcPr>
          <w:p>
            <w:pPr>
              <w:jc w:val="right"/>
              <w:ind w:right="399"/>
              <w:spacing w:after="0"/>
              <w:rPr>
                <w:sz w:val="20"/>
                <w:szCs w:val="20"/>
                <w:color w:val="auto"/>
              </w:rPr>
            </w:pPr>
            <w:r>
              <w:rPr>
                <w:rFonts w:ascii="Arial" w:cs="Arial" w:eastAsia="Arial" w:hAnsi="Arial"/>
                <w:sz w:val="16"/>
                <w:szCs w:val="16"/>
                <w:color w:val="auto"/>
              </w:rPr>
              <w:t>1,284</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883</w:t>
            </w:r>
          </w:p>
        </w:tc>
        <w:tc>
          <w:tcPr>
            <w:tcW w:w="6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1,860</w:t>
            </w:r>
          </w:p>
        </w:tc>
        <w:tc>
          <w:tcPr>
            <w:tcW w:w="1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2,167</w:t>
            </w: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1,860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307</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17 %</w:t>
            </w:r>
          </w:p>
        </w:tc>
        <w:tc>
          <w:tcPr>
            <w:tcW w:w="0" w:type="dxa"/>
            <w:vAlign w:val="bottom"/>
          </w:tcPr>
          <w:p>
            <w:pPr>
              <w:spacing w:after="0"/>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Filmed Entertainment</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Three Months Ended September 30, 2025 and 2024</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180" w:type="dxa"/>
            <w:vAlign w:val="bottom"/>
            <w:tcBorders>
              <w:top w:val="single" w:sz="8" w:color="auto"/>
            </w:tcBorders>
          </w:tcPr>
          <w:p>
            <w:pPr>
              <w:spacing w:after="0"/>
              <w:rPr>
                <w:sz w:val="23"/>
                <w:szCs w:val="23"/>
                <w:color w:val="auto"/>
              </w:rPr>
            </w:pPr>
          </w:p>
        </w:tc>
        <w:tc>
          <w:tcPr>
            <w:tcW w:w="1620" w:type="dxa"/>
            <w:vAlign w:val="bottom"/>
            <w:tcBorders>
              <w:top w:val="single" w:sz="8" w:color="auto"/>
              <w:bottom w:val="single" w:sz="8" w:color="auto"/>
              <w:right w:val="single" w:sz="8" w:color="auto"/>
            </w:tcBorders>
            <w:gridSpan w:val="2"/>
          </w:tcPr>
          <w:p>
            <w:pPr>
              <w:jc w:val="center"/>
              <w:ind w:right="39"/>
              <w:spacing w:after="0"/>
              <w:rPr>
                <w:sz w:val="20"/>
                <w:szCs w:val="20"/>
                <w:color w:val="auto"/>
              </w:rPr>
            </w:pPr>
            <w:r>
              <w:rPr>
                <w:rFonts w:ascii="Arial" w:cs="Arial" w:eastAsia="Arial" w:hAnsi="Arial"/>
                <w:sz w:val="16"/>
                <w:szCs w:val="16"/>
                <w:b w:val="1"/>
                <w:bCs w:val="1"/>
                <w:color w:val="auto"/>
              </w:rPr>
              <w:t>Successor</w:t>
            </w:r>
          </w:p>
        </w:tc>
        <w:tc>
          <w:tcPr>
            <w:tcW w:w="460" w:type="dxa"/>
            <w:vAlign w:val="bottom"/>
            <w:tcBorders>
              <w:top w:val="single" w:sz="8" w:color="auto"/>
              <w:bottom w:val="single" w:sz="8" w:color="auto"/>
            </w:tcBorders>
          </w:tcPr>
          <w:p>
            <w:pPr>
              <w:spacing w:after="0"/>
              <w:rPr>
                <w:sz w:val="23"/>
                <w:szCs w:val="23"/>
                <w:color w:val="auto"/>
              </w:rPr>
            </w:pPr>
          </w:p>
        </w:tc>
        <w:tc>
          <w:tcPr>
            <w:tcW w:w="1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Predecessor</w:t>
            </w:r>
          </w:p>
        </w:tc>
        <w:tc>
          <w:tcPr>
            <w:tcW w:w="960" w:type="dxa"/>
            <w:vAlign w:val="bottom"/>
            <w:tcBorders>
              <w:top w:val="single" w:sz="8" w:color="auto"/>
              <w:bottom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332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 xml:space="preserve">Supplemental Pro Forma Revenues </w:t>
            </w:r>
            <w:r>
              <w:rPr>
                <w:rFonts w:ascii="Arial" w:cs="Arial" w:eastAsia="Arial" w:hAnsi="Arial"/>
                <w:sz w:val="21"/>
                <w:szCs w:val="21"/>
                <w:b w:val="1"/>
                <w:bCs w:val="1"/>
                <w:color w:val="auto"/>
                <w:vertAlign w:val="superscript"/>
              </w:rPr>
              <w:t>(a)</w:t>
            </w:r>
          </w:p>
        </w:tc>
        <w:tc>
          <w:tcPr>
            <w:tcW w:w="620" w:type="dxa"/>
            <w:vAlign w:val="bottom"/>
            <w:tcBorders>
              <w:top w:val="single" w:sz="8" w:color="auto"/>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2180" w:type="dxa"/>
            <w:vAlign w:val="bottom"/>
          </w:tcPr>
          <w:p>
            <w:pPr>
              <w:spacing w:after="0"/>
              <w:rPr>
                <w:sz w:val="18"/>
                <w:szCs w:val="18"/>
                <w:color w:val="auto"/>
              </w:rPr>
            </w:pPr>
          </w:p>
        </w:tc>
        <w:tc>
          <w:tcPr>
            <w:tcW w:w="1620" w:type="dxa"/>
            <w:vAlign w:val="bottom"/>
            <w:tcBorders>
              <w:right w:val="single" w:sz="8" w:color="auto"/>
            </w:tcBorders>
            <w:gridSpan w:val="2"/>
          </w:tcPr>
          <w:p>
            <w:pPr>
              <w:jc w:val="center"/>
              <w:ind w:right="19"/>
              <w:spacing w:after="0"/>
              <w:rPr>
                <w:sz w:val="20"/>
                <w:szCs w:val="20"/>
                <w:color w:val="auto"/>
              </w:rPr>
            </w:pPr>
            <w:r>
              <w:rPr>
                <w:rFonts w:ascii="Arial" w:cs="Arial" w:eastAsia="Arial" w:hAnsi="Arial"/>
                <w:sz w:val="16"/>
                <w:szCs w:val="16"/>
                <w:b w:val="1"/>
                <w:bCs w:val="1"/>
                <w:color w:val="auto"/>
              </w:rPr>
              <w:t>Period From</w:t>
            </w:r>
          </w:p>
        </w:tc>
        <w:tc>
          <w:tcPr>
            <w:tcW w:w="14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Period From</w:t>
            </w:r>
          </w:p>
        </w:tc>
        <w:tc>
          <w:tcPr>
            <w:tcW w:w="172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rPr>
              <w:t>Three Months</w:t>
            </w:r>
          </w:p>
        </w:tc>
        <w:tc>
          <w:tcPr>
            <w:tcW w:w="320" w:type="dxa"/>
            <w:vAlign w:val="bottom"/>
          </w:tcPr>
          <w:p>
            <w:pPr>
              <w:spacing w:after="0"/>
              <w:rPr>
                <w:sz w:val="18"/>
                <w:szCs w:val="18"/>
                <w:color w:val="auto"/>
              </w:rPr>
            </w:pPr>
          </w:p>
        </w:tc>
        <w:tc>
          <w:tcPr>
            <w:tcW w:w="2000" w:type="dxa"/>
            <w:vAlign w:val="bottom"/>
            <w:gridSpan w:val="3"/>
            <w:vMerge w:val="restart"/>
          </w:tcPr>
          <w:p>
            <w:pPr>
              <w:jc w:val="right"/>
              <w:ind w:right="259"/>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8"/>
                <w:szCs w:val="18"/>
                <w:color w:val="auto"/>
              </w:rPr>
            </w:pPr>
          </w:p>
        </w:tc>
        <w:tc>
          <w:tcPr>
            <w:tcW w:w="1640" w:type="dxa"/>
            <w:vAlign w:val="bottom"/>
            <w:gridSpan w:val="2"/>
            <w:vMerge w:val="restart"/>
          </w:tcPr>
          <w:p>
            <w:pPr>
              <w:jc w:val="right"/>
              <w:ind w:right="419"/>
              <w:spacing w:after="0"/>
              <w:rPr>
                <w:sz w:val="20"/>
                <w:szCs w:val="20"/>
                <w:color w:val="auto"/>
              </w:rPr>
            </w:pPr>
            <w:r>
              <w:rPr>
                <w:rFonts w:ascii="Arial" w:cs="Arial" w:eastAsia="Arial" w:hAnsi="Arial"/>
                <w:sz w:val="16"/>
                <w:szCs w:val="16"/>
                <w:b w:val="1"/>
                <w:bCs w:val="1"/>
                <w:color w:val="auto"/>
              </w:rPr>
              <w:t>Pro forma</w:t>
            </w:r>
          </w:p>
        </w:tc>
        <w:tc>
          <w:tcPr>
            <w:tcW w:w="0" w:type="dxa"/>
            <w:vAlign w:val="bottom"/>
          </w:tcPr>
          <w:p>
            <w:pPr>
              <w:spacing w:after="0"/>
              <w:rPr>
                <w:sz w:val="1"/>
                <w:szCs w:val="1"/>
                <w:color w:val="auto"/>
              </w:rPr>
            </w:pPr>
          </w:p>
        </w:tc>
      </w:tr>
      <w:tr>
        <w:trPr>
          <w:trHeight w:val="94"/>
        </w:trPr>
        <w:tc>
          <w:tcPr>
            <w:tcW w:w="2180" w:type="dxa"/>
            <w:vAlign w:val="bottom"/>
          </w:tcPr>
          <w:p>
            <w:pPr>
              <w:spacing w:after="0"/>
              <w:rPr>
                <w:sz w:val="8"/>
                <w:szCs w:val="8"/>
                <w:color w:val="auto"/>
              </w:rPr>
            </w:pPr>
          </w:p>
        </w:tc>
        <w:tc>
          <w:tcPr>
            <w:tcW w:w="1620" w:type="dxa"/>
            <w:vAlign w:val="bottom"/>
            <w:tcBorders>
              <w:right w:val="single" w:sz="8" w:color="auto"/>
            </w:tcBorders>
            <w:gridSpan w:val="2"/>
            <w:vMerge w:val="restart"/>
          </w:tcPr>
          <w:p>
            <w:pPr>
              <w:jc w:val="center"/>
              <w:ind w:right="19"/>
              <w:spacing w:after="0"/>
              <w:rPr>
                <w:sz w:val="20"/>
                <w:szCs w:val="20"/>
                <w:color w:val="auto"/>
              </w:rPr>
            </w:pPr>
            <w:r>
              <w:rPr>
                <w:rFonts w:ascii="Arial" w:cs="Arial" w:eastAsia="Arial" w:hAnsi="Arial"/>
                <w:sz w:val="16"/>
                <w:szCs w:val="16"/>
                <w:b w:val="1"/>
                <w:bCs w:val="1"/>
                <w:color w:val="auto"/>
              </w:rPr>
              <w:t>August 7 -</w:t>
            </w:r>
          </w:p>
        </w:tc>
        <w:tc>
          <w:tcPr>
            <w:tcW w:w="146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rPr>
              <w:t>July 1 - August</w:t>
            </w:r>
          </w:p>
        </w:tc>
        <w:tc>
          <w:tcPr>
            <w:tcW w:w="1720" w:type="dxa"/>
            <w:vAlign w:val="bottom"/>
            <w:gridSpan w:val="3"/>
            <w:vMerge w:val="restart"/>
          </w:tcPr>
          <w:p>
            <w:pPr>
              <w:jc w:val="center"/>
              <w:ind w:right="20"/>
              <w:spacing w:after="0"/>
              <w:rPr>
                <w:sz w:val="20"/>
                <w:szCs w:val="20"/>
                <w:color w:val="auto"/>
              </w:rPr>
            </w:pPr>
            <w:r>
              <w:rPr>
                <w:rFonts w:ascii="Arial" w:cs="Arial" w:eastAsia="Arial" w:hAnsi="Arial"/>
                <w:sz w:val="16"/>
                <w:szCs w:val="16"/>
                <w:b w:val="1"/>
                <w:bCs w:val="1"/>
                <w:color w:val="auto"/>
              </w:rPr>
              <w:t>Ended September</w:t>
            </w:r>
          </w:p>
        </w:tc>
        <w:tc>
          <w:tcPr>
            <w:tcW w:w="320" w:type="dxa"/>
            <w:vAlign w:val="bottom"/>
          </w:tcPr>
          <w:p>
            <w:pPr>
              <w:spacing w:after="0"/>
              <w:rPr>
                <w:sz w:val="8"/>
                <w:szCs w:val="8"/>
                <w:color w:val="auto"/>
              </w:rPr>
            </w:pPr>
          </w:p>
        </w:tc>
        <w:tc>
          <w:tcPr>
            <w:tcW w:w="2000" w:type="dxa"/>
            <w:vAlign w:val="bottom"/>
            <w:gridSpan w:val="3"/>
            <w:vMerge w:val="continue"/>
          </w:tcPr>
          <w:p>
            <w:pPr>
              <w:spacing w:after="0"/>
              <w:rPr>
                <w:sz w:val="8"/>
                <w:szCs w:val="8"/>
                <w:color w:val="auto"/>
              </w:rPr>
            </w:pPr>
          </w:p>
        </w:tc>
        <w:tc>
          <w:tcPr>
            <w:tcW w:w="300" w:type="dxa"/>
            <w:vAlign w:val="bottom"/>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180" w:type="dxa"/>
            <w:vAlign w:val="bottom"/>
          </w:tcPr>
          <w:p>
            <w:pPr>
              <w:spacing w:after="0"/>
              <w:rPr>
                <w:sz w:val="8"/>
                <w:szCs w:val="8"/>
                <w:color w:val="auto"/>
              </w:rPr>
            </w:pPr>
          </w:p>
        </w:tc>
        <w:tc>
          <w:tcPr>
            <w:tcW w:w="1620" w:type="dxa"/>
            <w:vAlign w:val="bottom"/>
            <w:tcBorders>
              <w:right w:val="single" w:sz="8" w:color="auto"/>
            </w:tcBorders>
            <w:gridSpan w:val="2"/>
            <w:vMerge w:val="continue"/>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320" w:type="dxa"/>
            <w:vAlign w:val="bottom"/>
          </w:tcPr>
          <w:p>
            <w:pPr>
              <w:spacing w:after="0"/>
              <w:rPr>
                <w:sz w:val="8"/>
                <w:szCs w:val="8"/>
                <w:color w:val="auto"/>
              </w:rPr>
            </w:pPr>
          </w:p>
        </w:tc>
        <w:tc>
          <w:tcPr>
            <w:tcW w:w="2000" w:type="dxa"/>
            <w:vAlign w:val="bottom"/>
            <w:gridSpan w:val="3"/>
            <w:vMerge w:val="continue"/>
          </w:tcPr>
          <w:p>
            <w:pPr>
              <w:spacing w:after="0"/>
              <w:rPr>
                <w:sz w:val="8"/>
                <w:szCs w:val="8"/>
                <w:color w:val="auto"/>
              </w:rPr>
            </w:pPr>
          </w:p>
        </w:tc>
        <w:tc>
          <w:tcPr>
            <w:tcW w:w="300" w:type="dxa"/>
            <w:vAlign w:val="bottom"/>
          </w:tcPr>
          <w:p>
            <w:pPr>
              <w:spacing w:after="0"/>
              <w:rPr>
                <w:sz w:val="8"/>
                <w:szCs w:val="8"/>
                <w:color w:val="auto"/>
              </w:rPr>
            </w:pPr>
          </w:p>
        </w:tc>
        <w:tc>
          <w:tcPr>
            <w:tcW w:w="1640" w:type="dxa"/>
            <w:vAlign w:val="bottom"/>
            <w:gridSpan w:val="2"/>
            <w:vMerge w:val="restart"/>
          </w:tcPr>
          <w:p>
            <w:pPr>
              <w:jc w:val="right"/>
              <w:ind w:right="39"/>
              <w:spacing w:after="0"/>
              <w:rPr>
                <w:sz w:val="20"/>
                <w:szCs w:val="20"/>
                <w:color w:val="auto"/>
              </w:rPr>
            </w:pPr>
            <w:r>
              <w:rPr>
                <w:rFonts w:ascii="Arial" w:cs="Arial" w:eastAsia="Arial" w:hAnsi="Arial"/>
                <w:sz w:val="16"/>
                <w:szCs w:val="16"/>
                <w:b w:val="1"/>
                <w:bCs w:val="1"/>
                <w:color w:val="auto"/>
                <w:w w:val="99"/>
              </w:rPr>
              <w:t>Increase/(Decrease)</w:t>
            </w:r>
          </w:p>
        </w:tc>
        <w:tc>
          <w:tcPr>
            <w:tcW w:w="0" w:type="dxa"/>
            <w:vAlign w:val="bottom"/>
          </w:tcPr>
          <w:p>
            <w:pPr>
              <w:spacing w:after="0"/>
              <w:rPr>
                <w:sz w:val="1"/>
                <w:szCs w:val="1"/>
                <w:color w:val="auto"/>
              </w:rPr>
            </w:pPr>
          </w:p>
        </w:tc>
      </w:tr>
      <w:tr>
        <w:trPr>
          <w:trHeight w:val="128"/>
        </w:trPr>
        <w:tc>
          <w:tcPr>
            <w:tcW w:w="2180" w:type="dxa"/>
            <w:vAlign w:val="bottom"/>
          </w:tcPr>
          <w:p>
            <w:pPr>
              <w:spacing w:after="0"/>
              <w:rPr>
                <w:sz w:val="11"/>
                <w:szCs w:val="11"/>
                <w:color w:val="auto"/>
              </w:rPr>
            </w:pPr>
          </w:p>
        </w:tc>
        <w:tc>
          <w:tcPr>
            <w:tcW w:w="1620" w:type="dxa"/>
            <w:vAlign w:val="bottom"/>
            <w:tcBorders>
              <w:right w:val="single" w:sz="8" w:color="auto"/>
            </w:tcBorders>
            <w:gridSpan w:val="2"/>
            <w:vMerge w:val="restart"/>
          </w:tcPr>
          <w:p>
            <w:pPr>
              <w:jc w:val="center"/>
              <w:ind w:right="19"/>
              <w:spacing w:after="0"/>
              <w:rPr>
                <w:sz w:val="20"/>
                <w:szCs w:val="20"/>
                <w:color w:val="auto"/>
              </w:rPr>
            </w:pPr>
            <w:r>
              <w:rPr>
                <w:rFonts w:ascii="Arial" w:cs="Arial" w:eastAsia="Arial" w:hAnsi="Arial"/>
                <w:sz w:val="16"/>
                <w:szCs w:val="16"/>
                <w:b w:val="1"/>
                <w:bCs w:val="1"/>
                <w:color w:val="auto"/>
              </w:rPr>
              <w:t>September 30,</w:t>
            </w:r>
          </w:p>
        </w:tc>
        <w:tc>
          <w:tcPr>
            <w:tcW w:w="460" w:type="dxa"/>
            <w:vAlign w:val="bottom"/>
          </w:tcPr>
          <w:p>
            <w:pPr>
              <w:spacing w:after="0"/>
              <w:rPr>
                <w:sz w:val="11"/>
                <w:szCs w:val="11"/>
                <w:color w:val="auto"/>
              </w:rPr>
            </w:pPr>
          </w:p>
        </w:tc>
        <w:tc>
          <w:tcPr>
            <w:tcW w:w="1000" w:type="dxa"/>
            <w:vAlign w:val="bottom"/>
            <w:vMerge w:val="restart"/>
          </w:tcPr>
          <w:p>
            <w:pPr>
              <w:jc w:val="center"/>
              <w:ind w:right="379"/>
              <w:spacing w:after="0"/>
              <w:rPr>
                <w:sz w:val="20"/>
                <w:szCs w:val="20"/>
                <w:color w:val="auto"/>
              </w:rPr>
            </w:pPr>
            <w:r>
              <w:rPr>
                <w:rFonts w:ascii="Arial" w:cs="Arial" w:eastAsia="Arial" w:hAnsi="Arial"/>
                <w:sz w:val="16"/>
                <w:szCs w:val="16"/>
                <w:b w:val="1"/>
                <w:bCs w:val="1"/>
                <w:color w:val="auto"/>
              </w:rPr>
              <w:t>6,</w:t>
            </w:r>
          </w:p>
        </w:tc>
        <w:tc>
          <w:tcPr>
            <w:tcW w:w="640" w:type="dxa"/>
            <w:vAlign w:val="bottom"/>
          </w:tcPr>
          <w:p>
            <w:pPr>
              <w:spacing w:after="0"/>
              <w:rPr>
                <w:sz w:val="11"/>
                <w:szCs w:val="11"/>
                <w:color w:val="auto"/>
              </w:rPr>
            </w:pPr>
          </w:p>
        </w:tc>
        <w:tc>
          <w:tcPr>
            <w:tcW w:w="960" w:type="dxa"/>
            <w:vAlign w:val="bottom"/>
            <w:vMerge w:val="restart"/>
          </w:tcPr>
          <w:p>
            <w:pPr>
              <w:jc w:val="right"/>
              <w:ind w:right="559"/>
              <w:spacing w:after="0"/>
              <w:rPr>
                <w:sz w:val="20"/>
                <w:szCs w:val="20"/>
                <w:color w:val="auto"/>
              </w:rPr>
            </w:pPr>
            <w:r>
              <w:rPr>
                <w:rFonts w:ascii="Arial" w:cs="Arial" w:eastAsia="Arial" w:hAnsi="Arial"/>
                <w:sz w:val="16"/>
                <w:szCs w:val="16"/>
                <w:b w:val="1"/>
                <w:bCs w:val="1"/>
                <w:color w:val="auto"/>
              </w:rPr>
              <w:t>30,</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0" w:type="dxa"/>
            <w:vAlign w:val="bottom"/>
            <w:gridSpan w:val="3"/>
            <w:vMerge w:val="restart"/>
          </w:tcPr>
          <w:p>
            <w:pPr>
              <w:jc w:val="right"/>
              <w:ind w:right="519"/>
              <w:spacing w:after="0"/>
              <w:rPr>
                <w:sz w:val="20"/>
                <w:szCs w:val="20"/>
                <w:color w:val="auto"/>
              </w:rPr>
            </w:pPr>
            <w:r>
              <w:rPr>
                <w:rFonts w:ascii="Arial" w:cs="Arial" w:eastAsia="Arial" w:hAnsi="Arial"/>
                <w:sz w:val="16"/>
                <w:szCs w:val="16"/>
                <w:b w:val="1"/>
                <w:bCs w:val="1"/>
                <w:color w:val="auto"/>
              </w:rPr>
              <w:t>September 30,</w:t>
            </w:r>
          </w:p>
        </w:tc>
        <w:tc>
          <w:tcPr>
            <w:tcW w:w="30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180" w:type="dxa"/>
            <w:vAlign w:val="bottom"/>
          </w:tcPr>
          <w:p>
            <w:pPr>
              <w:spacing w:after="0"/>
              <w:rPr>
                <w:sz w:val="8"/>
                <w:szCs w:val="8"/>
                <w:color w:val="auto"/>
              </w:rPr>
            </w:pPr>
          </w:p>
        </w:tc>
        <w:tc>
          <w:tcPr>
            <w:tcW w:w="1620" w:type="dxa"/>
            <w:vAlign w:val="bottom"/>
            <w:tcBorders>
              <w:bottom w:val="single" w:sz="8" w:color="auto"/>
              <w:right w:val="single" w:sz="8" w:color="auto"/>
            </w:tcBorders>
            <w:gridSpan w:val="2"/>
            <w:vMerge w:val="continue"/>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vMerge w:val="continue"/>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gridSpan w:val="3"/>
            <w:vMerge w:val="continue"/>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21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Filmed Entertainment</w:t>
            </w:r>
          </w:p>
        </w:tc>
        <w:tc>
          <w:tcPr>
            <w:tcW w:w="480" w:type="dxa"/>
            <w:vAlign w:val="bottom"/>
            <w:tcBorders>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jc w:val="center"/>
              <w:ind w:right="499"/>
              <w:spacing w:after="0"/>
              <w:rPr>
                <w:sz w:val="20"/>
                <w:szCs w:val="20"/>
                <w:color w:val="auto"/>
              </w:rPr>
            </w:pPr>
            <w:r>
              <w:rPr>
                <w:rFonts w:ascii="Arial" w:cs="Arial" w:eastAsia="Arial" w:hAnsi="Arial"/>
                <w:sz w:val="16"/>
                <w:szCs w:val="16"/>
                <w:b w:val="1"/>
                <w:bCs w:val="1"/>
                <w:color w:val="auto"/>
              </w:rPr>
              <w:t>2025</w:t>
            </w: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99"/>
              <w:spacing w:after="0"/>
              <w:rPr>
                <w:sz w:val="20"/>
                <w:szCs w:val="20"/>
                <w:color w:val="auto"/>
              </w:rPr>
            </w:pPr>
            <w:r>
              <w:rPr>
                <w:rFonts w:ascii="Arial" w:cs="Arial" w:eastAsia="Arial" w:hAnsi="Arial"/>
                <w:sz w:val="16"/>
                <w:szCs w:val="16"/>
                <w:b w:val="1"/>
                <w:bCs w:val="1"/>
                <w:color w:val="auto"/>
              </w:rPr>
              <w:t>2025</w:t>
            </w:r>
          </w:p>
        </w:tc>
        <w:tc>
          <w:tcPr>
            <w:tcW w:w="6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2025</w:t>
            </w:r>
          </w:p>
        </w:tc>
        <w:tc>
          <w:tcPr>
            <w:tcW w:w="4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w:t>
            </w:r>
          </w:p>
        </w:tc>
        <w:tc>
          <w:tcPr>
            <w:tcW w:w="6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5"/>
        </w:trPr>
        <w:tc>
          <w:tcPr>
            <w:tcW w:w="2180" w:type="dxa"/>
            <w:vAlign w:val="bottom"/>
          </w:tcPr>
          <w:p>
            <w:pPr>
              <w:ind w:left="140"/>
              <w:spacing w:after="0"/>
              <w:rPr>
                <w:sz w:val="20"/>
                <w:szCs w:val="20"/>
                <w:color w:val="auto"/>
              </w:rPr>
            </w:pPr>
            <w:r>
              <w:rPr>
                <w:rFonts w:ascii="Arial" w:cs="Arial" w:eastAsia="Arial" w:hAnsi="Arial"/>
                <w:sz w:val="16"/>
                <w:szCs w:val="16"/>
                <w:color w:val="auto"/>
              </w:rPr>
              <w:t>Theatrical</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right w:val="single" w:sz="8" w:color="auto"/>
            </w:tcBorders>
          </w:tcPr>
          <w:p>
            <w:pPr>
              <w:jc w:val="right"/>
              <w:ind w:right="379"/>
              <w:spacing w:after="0"/>
              <w:rPr>
                <w:sz w:val="20"/>
                <w:szCs w:val="20"/>
                <w:color w:val="auto"/>
              </w:rPr>
            </w:pPr>
            <w:r>
              <w:rPr>
                <w:rFonts w:ascii="Arial" w:cs="Arial" w:eastAsia="Arial" w:hAnsi="Arial"/>
                <w:sz w:val="16"/>
                <w:szCs w:val="16"/>
                <w:color w:val="auto"/>
              </w:rPr>
              <w:t>39</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79"/>
              <w:spacing w:after="0"/>
              <w:rPr>
                <w:sz w:val="20"/>
                <w:szCs w:val="20"/>
                <w:color w:val="auto"/>
              </w:rPr>
            </w:pPr>
            <w:r>
              <w:rPr>
                <w:rFonts w:ascii="Arial" w:cs="Arial" w:eastAsia="Arial" w:hAnsi="Arial"/>
                <w:sz w:val="16"/>
                <w:szCs w:val="16"/>
                <w:color w:val="auto"/>
              </w:rPr>
              <w:t>73</w:t>
            </w:r>
          </w:p>
        </w:tc>
        <w:tc>
          <w:tcPr>
            <w:tcW w:w="6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59"/>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79"/>
              <w:spacing w:after="0"/>
              <w:rPr>
                <w:sz w:val="20"/>
                <w:szCs w:val="20"/>
                <w:color w:val="auto"/>
              </w:rPr>
            </w:pPr>
            <w:r>
              <w:rPr>
                <w:rFonts w:ascii="Arial" w:cs="Arial" w:eastAsia="Arial" w:hAnsi="Arial"/>
                <w:sz w:val="16"/>
                <w:szCs w:val="16"/>
                <w:color w:val="auto"/>
              </w:rPr>
              <w:t>112</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99"/>
              <w:spacing w:after="0"/>
              <w:rPr>
                <w:sz w:val="20"/>
                <w:szCs w:val="20"/>
                <w:color w:val="auto"/>
              </w:rPr>
            </w:pPr>
            <w:r>
              <w:rPr>
                <w:rFonts w:ascii="Arial" w:cs="Arial" w:eastAsia="Arial" w:hAnsi="Arial"/>
                <w:sz w:val="16"/>
                <w:szCs w:val="16"/>
                <w:color w:val="auto"/>
              </w:rPr>
              <w:t>108</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59"/>
              <w:spacing w:after="0"/>
              <w:rPr>
                <w:sz w:val="20"/>
                <w:szCs w:val="20"/>
                <w:color w:val="auto"/>
              </w:rPr>
            </w:pPr>
            <w:r>
              <w:rPr>
                <w:rFonts w:ascii="Arial" w:cs="Arial" w:eastAsia="Arial" w:hAnsi="Arial"/>
                <w:sz w:val="16"/>
                <w:szCs w:val="16"/>
                <w:color w:val="auto"/>
              </w:rPr>
              <w:t>4</w:t>
            </w:r>
          </w:p>
        </w:tc>
        <w:tc>
          <w:tcPr>
            <w:tcW w:w="620" w:type="dxa"/>
            <w:vAlign w:val="bottom"/>
          </w:tcPr>
          <w:p>
            <w:pPr>
              <w:jc w:val="right"/>
              <w:spacing w:after="0"/>
              <w:rPr>
                <w:sz w:val="20"/>
                <w:szCs w:val="20"/>
                <w:color w:val="auto"/>
              </w:rPr>
            </w:pPr>
            <w:r>
              <w:rPr>
                <w:rFonts w:ascii="Arial" w:cs="Arial" w:eastAsia="Arial" w:hAnsi="Arial"/>
                <w:sz w:val="16"/>
                <w:szCs w:val="16"/>
                <w:color w:val="auto"/>
              </w:rPr>
              <w:t>4 %</w:t>
            </w:r>
          </w:p>
        </w:tc>
        <w:tc>
          <w:tcPr>
            <w:tcW w:w="0" w:type="dxa"/>
            <w:vAlign w:val="bottom"/>
          </w:tcPr>
          <w:p>
            <w:pPr>
              <w:spacing w:after="0"/>
              <w:rPr>
                <w:sz w:val="1"/>
                <w:szCs w:val="1"/>
                <w:color w:val="auto"/>
              </w:rPr>
            </w:pPr>
          </w:p>
        </w:tc>
      </w:tr>
      <w:tr>
        <w:trPr>
          <w:trHeight w:val="243"/>
        </w:trPr>
        <w:tc>
          <w:tcPr>
            <w:tcW w:w="2180" w:type="dxa"/>
            <w:vAlign w:val="bottom"/>
          </w:tcPr>
          <w:p>
            <w:pPr>
              <w:ind w:left="140"/>
              <w:spacing w:after="0"/>
              <w:rPr>
                <w:sz w:val="20"/>
                <w:szCs w:val="20"/>
                <w:color w:val="auto"/>
              </w:rPr>
            </w:pPr>
            <w:r>
              <w:rPr>
                <w:rFonts w:ascii="Arial" w:cs="Arial" w:eastAsia="Arial" w:hAnsi="Arial"/>
                <w:sz w:val="16"/>
                <w:szCs w:val="16"/>
                <w:color w:val="auto"/>
              </w:rPr>
              <w:t>Licensing and other</w:t>
            </w:r>
          </w:p>
        </w:tc>
        <w:tc>
          <w:tcPr>
            <w:tcW w:w="480" w:type="dxa"/>
            <w:vAlign w:val="bottom"/>
          </w:tcPr>
          <w:p>
            <w:pPr>
              <w:spacing w:after="0"/>
              <w:rPr>
                <w:sz w:val="21"/>
                <w:szCs w:val="21"/>
                <w:color w:val="auto"/>
              </w:rPr>
            </w:pPr>
          </w:p>
        </w:tc>
        <w:tc>
          <w:tcPr>
            <w:tcW w:w="1140" w:type="dxa"/>
            <w:vAlign w:val="bottom"/>
            <w:tcBorders>
              <w:right w:val="single" w:sz="8" w:color="auto"/>
            </w:tcBorders>
          </w:tcPr>
          <w:p>
            <w:pPr>
              <w:jc w:val="right"/>
              <w:ind w:right="379"/>
              <w:spacing w:after="0"/>
              <w:rPr>
                <w:sz w:val="20"/>
                <w:szCs w:val="20"/>
                <w:color w:val="auto"/>
              </w:rPr>
            </w:pPr>
            <w:r>
              <w:rPr>
                <w:rFonts w:ascii="Arial" w:cs="Arial" w:eastAsia="Arial" w:hAnsi="Arial"/>
                <w:sz w:val="16"/>
                <w:szCs w:val="16"/>
                <w:color w:val="auto"/>
              </w:rPr>
              <w:t>440</w:t>
            </w:r>
          </w:p>
        </w:tc>
        <w:tc>
          <w:tcPr>
            <w:tcW w:w="460" w:type="dxa"/>
            <w:vAlign w:val="bottom"/>
          </w:tcPr>
          <w:p>
            <w:pPr>
              <w:spacing w:after="0"/>
              <w:rPr>
                <w:sz w:val="21"/>
                <w:szCs w:val="21"/>
                <w:color w:val="auto"/>
              </w:rPr>
            </w:pPr>
          </w:p>
        </w:tc>
        <w:tc>
          <w:tcPr>
            <w:tcW w:w="1000" w:type="dxa"/>
            <w:vAlign w:val="bottom"/>
          </w:tcPr>
          <w:p>
            <w:pPr>
              <w:jc w:val="right"/>
              <w:ind w:right="279"/>
              <w:spacing w:after="0"/>
              <w:rPr>
                <w:sz w:val="20"/>
                <w:szCs w:val="20"/>
                <w:color w:val="auto"/>
              </w:rPr>
            </w:pPr>
            <w:r>
              <w:rPr>
                <w:rFonts w:ascii="Arial" w:cs="Arial" w:eastAsia="Arial" w:hAnsi="Arial"/>
                <w:sz w:val="16"/>
                <w:szCs w:val="16"/>
                <w:color w:val="auto"/>
              </w:rPr>
              <w:t>202</w:t>
            </w:r>
          </w:p>
        </w:tc>
        <w:tc>
          <w:tcPr>
            <w:tcW w:w="640" w:type="dxa"/>
            <w:vAlign w:val="bottom"/>
          </w:tcPr>
          <w:p>
            <w:pPr>
              <w:spacing w:after="0"/>
              <w:rPr>
                <w:sz w:val="21"/>
                <w:szCs w:val="21"/>
                <w:color w:val="auto"/>
              </w:rPr>
            </w:pPr>
          </w:p>
        </w:tc>
        <w:tc>
          <w:tcPr>
            <w:tcW w:w="960" w:type="dxa"/>
            <w:vAlign w:val="bottom"/>
          </w:tcPr>
          <w:p>
            <w:pPr>
              <w:jc w:val="right"/>
              <w:ind w:right="259"/>
              <w:spacing w:after="0"/>
              <w:rPr>
                <w:sz w:val="20"/>
                <w:szCs w:val="20"/>
                <w:color w:val="auto"/>
              </w:rPr>
            </w:pPr>
            <w:r>
              <w:rPr>
                <w:rFonts w:ascii="Arial" w:cs="Arial" w:eastAsia="Arial" w:hAnsi="Arial"/>
                <w:sz w:val="16"/>
                <w:szCs w:val="16"/>
                <w:color w:val="auto"/>
              </w:rPr>
              <w:t>480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179"/>
              <w:spacing w:after="0"/>
              <w:rPr>
                <w:sz w:val="20"/>
                <w:szCs w:val="20"/>
                <w:color w:val="auto"/>
              </w:rPr>
            </w:pPr>
            <w:r>
              <w:rPr>
                <w:rFonts w:ascii="Arial" w:cs="Arial" w:eastAsia="Arial" w:hAnsi="Arial"/>
                <w:sz w:val="16"/>
                <w:szCs w:val="16"/>
                <w:color w:val="auto"/>
              </w:rPr>
              <w:t>654</w:t>
            </w:r>
          </w:p>
        </w:tc>
        <w:tc>
          <w:tcPr>
            <w:tcW w:w="400" w:type="dxa"/>
            <w:vAlign w:val="bottom"/>
          </w:tcPr>
          <w:p>
            <w:pPr>
              <w:spacing w:after="0"/>
              <w:rPr>
                <w:sz w:val="21"/>
                <w:szCs w:val="21"/>
                <w:color w:val="auto"/>
              </w:rPr>
            </w:pPr>
          </w:p>
        </w:tc>
        <w:tc>
          <w:tcPr>
            <w:tcW w:w="760" w:type="dxa"/>
            <w:vAlign w:val="bottom"/>
          </w:tcPr>
          <w:p>
            <w:pPr>
              <w:jc w:val="right"/>
              <w:ind w:right="99"/>
              <w:spacing w:after="0"/>
              <w:rPr>
                <w:sz w:val="20"/>
                <w:szCs w:val="20"/>
                <w:color w:val="auto"/>
              </w:rPr>
            </w:pPr>
            <w:r>
              <w:rPr>
                <w:rFonts w:ascii="Arial" w:cs="Arial" w:eastAsia="Arial" w:hAnsi="Arial"/>
                <w:sz w:val="16"/>
                <w:szCs w:val="16"/>
                <w:color w:val="auto"/>
              </w:rPr>
              <w:t>689</w:t>
            </w:r>
          </w:p>
        </w:tc>
        <w:tc>
          <w:tcPr>
            <w:tcW w:w="300" w:type="dxa"/>
            <w:vAlign w:val="bottom"/>
          </w:tcPr>
          <w:p>
            <w:pPr>
              <w:spacing w:after="0"/>
              <w:rPr>
                <w:sz w:val="21"/>
                <w:szCs w:val="21"/>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color w:val="auto"/>
              </w:rPr>
              <w:t>(35)</w:t>
            </w: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52"/>
        </w:trPr>
        <w:tc>
          <w:tcPr>
            <w:tcW w:w="21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Advertising</w:t>
            </w:r>
          </w:p>
        </w:tc>
        <w:tc>
          <w:tcPr>
            <w:tcW w:w="480" w:type="dxa"/>
            <w:vAlign w:val="bottom"/>
            <w:tcBorders>
              <w:bottom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jc w:val="right"/>
              <w:ind w:right="379"/>
              <w:spacing w:after="0"/>
              <w:rPr>
                <w:sz w:val="20"/>
                <w:szCs w:val="20"/>
                <w:color w:val="auto"/>
              </w:rPr>
            </w:pPr>
            <w:r>
              <w:rPr>
                <w:rFonts w:ascii="Arial" w:cs="Arial" w:eastAsia="Arial" w:hAnsi="Arial"/>
                <w:sz w:val="16"/>
                <w:szCs w:val="16"/>
                <w:color w:val="auto"/>
              </w:rPr>
              <w:t>1</w:t>
            </w:r>
          </w:p>
        </w:tc>
        <w:tc>
          <w:tcPr>
            <w:tcW w:w="4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w:t>
            </w:r>
          </w:p>
        </w:tc>
        <w:tc>
          <w:tcPr>
            <w:tcW w:w="6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w:t>
            </w:r>
          </w:p>
        </w:tc>
        <w:tc>
          <w:tcPr>
            <w:tcW w:w="4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2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Revenues</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right w:val="single" w:sz="8" w:color="auto"/>
            </w:tcBorders>
          </w:tcPr>
          <w:p>
            <w:pPr>
              <w:jc w:val="right"/>
              <w:ind w:right="379"/>
              <w:spacing w:after="0"/>
              <w:rPr>
                <w:sz w:val="20"/>
                <w:szCs w:val="20"/>
                <w:color w:val="auto"/>
              </w:rPr>
            </w:pPr>
            <w:r>
              <w:rPr>
                <w:rFonts w:ascii="Arial" w:cs="Arial" w:eastAsia="Arial" w:hAnsi="Arial"/>
                <w:sz w:val="16"/>
                <w:szCs w:val="16"/>
                <w:color w:val="auto"/>
              </w:rPr>
              <w:t>480</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276</w:t>
            </w:r>
          </w:p>
        </w:tc>
        <w:tc>
          <w:tcPr>
            <w:tcW w:w="6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590</w:t>
            </w:r>
          </w:p>
        </w:tc>
        <w:tc>
          <w:tcPr>
            <w:tcW w:w="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768</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799</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(31)</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340" w:right="60" w:hanging="170"/>
        <w:spacing w:after="0" w:line="263" w:lineRule="auto"/>
        <w:tabs>
          <w:tab w:leader="none" w:pos="407" w:val="left"/>
        </w:tabs>
        <w:numPr>
          <w:ilvl w:val="0"/>
          <w:numId w:val="11"/>
        </w:numPr>
        <w:rPr>
          <w:rFonts w:ascii="Arial" w:cs="Arial" w:eastAsia="Arial" w:hAnsi="Arial"/>
          <w:sz w:val="15"/>
          <w:szCs w:val="15"/>
          <w:color w:val="auto"/>
        </w:rPr>
      </w:pPr>
      <w:r>
        <w:rPr>
          <w:rFonts w:ascii="Arial" w:cs="Arial" w:eastAsia="Arial" w:hAnsi="Arial"/>
          <w:sz w:val="15"/>
          <w:szCs w:val="15"/>
          <w:color w:val="auto"/>
        </w:rPr>
        <w:t xml:space="preserve">Supplemental pro forma revenues reflect the inclusion of Skydance revenues after the elimination of intercompany revenues from Paramount Global in the Predecessor periods and, for the third quarter of 2025, the combination of the pro forma Predecessor and Successor revenues during the quarter. The Skydance revenue adjustments are included within pro forma licensing and other revenues and total pro forma revenues in the Consolidated and </w:t>
      </w:r>
      <w:r>
        <w:rPr>
          <w:rFonts w:ascii="Arial" w:cs="Arial" w:eastAsia="Arial" w:hAnsi="Arial"/>
          <w:sz w:val="15"/>
          <w:szCs w:val="15"/>
          <w:i w:val="1"/>
          <w:iCs w:val="1"/>
          <w:color w:val="auto"/>
        </w:rPr>
        <w:t>Filmed Entertainment</w:t>
      </w:r>
      <w:r>
        <w:rPr>
          <w:rFonts w:ascii="Arial" w:cs="Arial" w:eastAsia="Arial" w:hAnsi="Arial"/>
          <w:sz w:val="15"/>
          <w:szCs w:val="15"/>
          <w:color w:val="auto"/>
        </w:rPr>
        <w:t xml:space="preserve"> tables above. The amount of the adjustment for the third quarter of 2025 was $12 million, which reflects Skydance’s revenues for the period prior to the close of the Transactions and the adjustment for the third quarter of 2024 was $209 million.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247"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22"/>
          <w:szCs w:val="22"/>
          <w:b w:val="1"/>
          <w:bCs w:val="1"/>
          <w:color w:val="auto"/>
        </w:rPr>
        <w:t>PARAMOUNT SKYDANCE CORPORATION AND SUBSIDIARIES</w:t>
      </w:r>
    </w:p>
    <w:p>
      <w:pPr>
        <w:spacing w:after="0" w:line="152" w:lineRule="exact"/>
        <w:rPr>
          <w:sz w:val="20"/>
          <w:szCs w:val="20"/>
          <w:color w:val="auto"/>
        </w:rPr>
      </w:pPr>
    </w:p>
    <w:p>
      <w:pPr>
        <w:ind w:left="3100"/>
        <w:spacing w:after="0"/>
        <w:rPr>
          <w:sz w:val="20"/>
          <w:szCs w:val="20"/>
          <w:color w:val="auto"/>
        </w:rPr>
      </w:pPr>
      <w:r>
        <w:rPr>
          <w:rFonts w:ascii="Arial" w:cs="Arial" w:eastAsia="Arial" w:hAnsi="Arial"/>
          <w:sz w:val="22"/>
          <w:szCs w:val="22"/>
          <w:b w:val="1"/>
          <w:bCs w:val="1"/>
          <w:color w:val="auto"/>
        </w:rPr>
        <w:t>CONSOLIDATED STATEMENTS OF OPERATIONS</w:t>
      </w:r>
    </w:p>
    <w:p>
      <w:pPr>
        <w:spacing w:after="0" w:line="26" w:lineRule="exact"/>
        <w:rPr>
          <w:sz w:val="20"/>
          <w:szCs w:val="20"/>
          <w:color w:val="auto"/>
        </w:rPr>
      </w:pPr>
    </w:p>
    <w:p>
      <w:pPr>
        <w:ind w:left="3020"/>
        <w:spacing w:after="0"/>
        <w:rPr>
          <w:sz w:val="20"/>
          <w:szCs w:val="20"/>
          <w:color w:val="auto"/>
        </w:rPr>
      </w:pPr>
      <w:r>
        <w:rPr>
          <w:rFonts w:ascii="Arial" w:cs="Arial" w:eastAsia="Arial" w:hAnsi="Arial"/>
          <w:sz w:val="22"/>
          <w:szCs w:val="22"/>
          <w:b w:val="1"/>
          <w:bCs w:val="1"/>
          <w:color w:val="auto"/>
        </w:rPr>
        <w:t>(Unaudited; in millions, except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940" w:type="dxa"/>
            <w:vAlign w:val="bottom"/>
            <w:tcBorders>
              <w:top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right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Successor</w:t>
            </w:r>
          </w:p>
        </w:tc>
        <w:tc>
          <w:tcPr>
            <w:tcW w:w="260" w:type="dxa"/>
            <w:vAlign w:val="bottom"/>
            <w:tcBorders>
              <w:top w:val="single" w:sz="8" w:color="auto"/>
              <w:bottom w:val="single" w:sz="8" w:color="auto"/>
            </w:tcBorders>
          </w:tcPr>
          <w:p>
            <w:pPr>
              <w:spacing w:after="0"/>
              <w:rPr>
                <w:sz w:val="21"/>
                <w:szCs w:val="21"/>
                <w:color w:val="auto"/>
              </w:rPr>
            </w:pPr>
          </w:p>
        </w:tc>
        <w:tc>
          <w:tcPr>
            <w:tcW w:w="2060" w:type="dxa"/>
            <w:vAlign w:val="bottom"/>
            <w:tcBorders>
              <w:top w:val="single" w:sz="8" w:color="auto"/>
              <w:bottom w:val="single" w:sz="8" w:color="auto"/>
            </w:tcBorders>
            <w:gridSpan w:val="3"/>
          </w:tcPr>
          <w:p>
            <w:pPr>
              <w:jc w:val="right"/>
              <w:ind w:right="648"/>
              <w:spacing w:after="0"/>
              <w:rPr>
                <w:sz w:val="20"/>
                <w:szCs w:val="20"/>
                <w:color w:val="auto"/>
              </w:rPr>
            </w:pPr>
            <w:r>
              <w:rPr>
                <w:rFonts w:ascii="Arial" w:cs="Arial" w:eastAsia="Arial" w:hAnsi="Arial"/>
                <w:sz w:val="14"/>
                <w:szCs w:val="14"/>
                <w:b w:val="1"/>
                <w:bCs w:val="1"/>
                <w:color w:val="auto"/>
              </w:rPr>
              <w:t>Predecessor</w:t>
            </w: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right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Successor</w:t>
            </w:r>
          </w:p>
        </w:tc>
        <w:tc>
          <w:tcPr>
            <w:tcW w:w="180" w:type="dxa"/>
            <w:vAlign w:val="bottom"/>
            <w:tcBorders>
              <w:top w:val="single" w:sz="8" w:color="auto"/>
              <w:bottom w:val="single" w:sz="8" w:color="auto"/>
            </w:tcBorders>
          </w:tcPr>
          <w:p>
            <w:pPr>
              <w:spacing w:after="0"/>
              <w:rPr>
                <w:sz w:val="21"/>
                <w:szCs w:val="21"/>
                <w:color w:val="auto"/>
              </w:rPr>
            </w:pPr>
          </w:p>
        </w:tc>
        <w:tc>
          <w:tcPr>
            <w:tcW w:w="2260" w:type="dxa"/>
            <w:vAlign w:val="bottom"/>
            <w:tcBorders>
              <w:top w:val="single" w:sz="8" w:color="auto"/>
              <w:bottom w:val="single" w:sz="8" w:color="auto"/>
            </w:tcBorders>
            <w:gridSpan w:val="3"/>
          </w:tcPr>
          <w:p>
            <w:pPr>
              <w:jc w:val="right"/>
              <w:ind w:right="708"/>
              <w:spacing w:after="0"/>
              <w:rPr>
                <w:sz w:val="20"/>
                <w:szCs w:val="20"/>
                <w:color w:val="auto"/>
              </w:rPr>
            </w:pPr>
            <w:r>
              <w:rPr>
                <w:rFonts w:ascii="Arial" w:cs="Arial" w:eastAsia="Arial" w:hAnsi="Arial"/>
                <w:sz w:val="14"/>
                <w:szCs w:val="14"/>
                <w:b w:val="1"/>
                <w:bCs w:val="1"/>
                <w:color w:val="auto"/>
              </w:rPr>
              <w:t>Predecessor</w:t>
            </w:r>
          </w:p>
        </w:tc>
      </w:tr>
      <w:tr>
        <w:trPr>
          <w:trHeight w:val="193"/>
        </w:trPr>
        <w:tc>
          <w:tcPr>
            <w:tcW w:w="3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right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Period From</w:t>
            </w:r>
          </w:p>
        </w:tc>
        <w:tc>
          <w:tcPr>
            <w:tcW w:w="1180" w:type="dxa"/>
            <w:vAlign w:val="bottom"/>
            <w:gridSpan w:val="2"/>
          </w:tcPr>
          <w:p>
            <w:pPr>
              <w:jc w:val="center"/>
              <w:ind w:left="8"/>
              <w:spacing w:after="0"/>
              <w:rPr>
                <w:sz w:val="20"/>
                <w:szCs w:val="20"/>
                <w:color w:val="auto"/>
              </w:rPr>
            </w:pPr>
            <w:r>
              <w:rPr>
                <w:rFonts w:ascii="Arial" w:cs="Arial" w:eastAsia="Arial" w:hAnsi="Arial"/>
                <w:sz w:val="14"/>
                <w:szCs w:val="14"/>
                <w:b w:val="1"/>
                <w:bCs w:val="1"/>
                <w:color w:val="auto"/>
              </w:rPr>
              <w:t>Period From</w:t>
            </w:r>
          </w:p>
        </w:tc>
        <w:tc>
          <w:tcPr>
            <w:tcW w:w="12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Three Months</w:t>
            </w:r>
          </w:p>
        </w:tc>
        <w:tc>
          <w:tcPr>
            <w:tcW w:w="120" w:type="dxa"/>
            <w:vAlign w:val="bottom"/>
          </w:tcPr>
          <w:p>
            <w:pPr>
              <w:spacing w:after="0"/>
              <w:rPr>
                <w:sz w:val="16"/>
                <w:szCs w:val="16"/>
                <w:color w:val="auto"/>
              </w:rPr>
            </w:pPr>
          </w:p>
        </w:tc>
        <w:tc>
          <w:tcPr>
            <w:tcW w:w="1100" w:type="dxa"/>
            <w:vAlign w:val="bottom"/>
            <w:tcBorders>
              <w:right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Period From</w:t>
            </w: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rPr>
              <w:t>Period From</w:t>
            </w:r>
          </w:p>
        </w:tc>
        <w:tc>
          <w:tcPr>
            <w:tcW w:w="200" w:type="dxa"/>
            <w:vAlign w:val="bottom"/>
          </w:tcPr>
          <w:p>
            <w:pPr>
              <w:spacing w:after="0"/>
              <w:rPr>
                <w:sz w:val="16"/>
                <w:szCs w:val="16"/>
                <w:color w:val="auto"/>
              </w:rPr>
            </w:pPr>
          </w:p>
        </w:tc>
        <w:tc>
          <w:tcPr>
            <w:tcW w:w="1080" w:type="dxa"/>
            <w:vAlign w:val="bottom"/>
          </w:tcPr>
          <w:p>
            <w:pPr>
              <w:jc w:val="center"/>
              <w:ind w:right="28"/>
              <w:spacing w:after="0"/>
              <w:rPr>
                <w:sz w:val="20"/>
                <w:szCs w:val="20"/>
                <w:color w:val="auto"/>
              </w:rPr>
            </w:pPr>
            <w:r>
              <w:rPr>
                <w:rFonts w:ascii="Arial" w:cs="Arial" w:eastAsia="Arial" w:hAnsi="Arial"/>
                <w:sz w:val="14"/>
                <w:szCs w:val="14"/>
                <w:b w:val="1"/>
                <w:bCs w:val="1"/>
                <w:color w:val="auto"/>
              </w:rPr>
              <w:t>Nine Months</w:t>
            </w:r>
          </w:p>
        </w:tc>
      </w:tr>
      <w:tr>
        <w:trPr>
          <w:trHeight w:val="175"/>
        </w:trPr>
        <w:tc>
          <w:tcPr>
            <w:tcW w:w="3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right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August 7 -</w:t>
            </w:r>
          </w:p>
        </w:tc>
        <w:tc>
          <w:tcPr>
            <w:tcW w:w="260" w:type="dxa"/>
            <w:vAlign w:val="bottom"/>
          </w:tcPr>
          <w:p>
            <w:pPr>
              <w:spacing w:after="0"/>
              <w:rPr>
                <w:sz w:val="15"/>
                <w:szCs w:val="15"/>
                <w:color w:val="auto"/>
              </w:rPr>
            </w:pPr>
          </w:p>
        </w:tc>
        <w:tc>
          <w:tcPr>
            <w:tcW w:w="920" w:type="dxa"/>
            <w:vAlign w:val="bottom"/>
          </w:tcPr>
          <w:p>
            <w:pPr>
              <w:jc w:val="center"/>
              <w:ind w:right="108"/>
              <w:spacing w:after="0"/>
              <w:rPr>
                <w:sz w:val="20"/>
                <w:szCs w:val="20"/>
                <w:color w:val="auto"/>
              </w:rPr>
            </w:pPr>
            <w:r>
              <w:rPr>
                <w:rFonts w:ascii="Arial" w:cs="Arial" w:eastAsia="Arial" w:hAnsi="Arial"/>
                <w:sz w:val="14"/>
                <w:szCs w:val="14"/>
                <w:b w:val="1"/>
                <w:bCs w:val="1"/>
                <w:color w:val="auto"/>
              </w:rPr>
              <w:t>July 1 -</w:t>
            </w:r>
          </w:p>
        </w:tc>
        <w:tc>
          <w:tcPr>
            <w:tcW w:w="260" w:type="dxa"/>
            <w:vAlign w:val="bottom"/>
          </w:tcPr>
          <w:p>
            <w:pPr>
              <w:spacing w:after="0"/>
              <w:rPr>
                <w:sz w:val="15"/>
                <w:szCs w:val="15"/>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Ended</w:t>
            </w:r>
          </w:p>
        </w:tc>
        <w:tc>
          <w:tcPr>
            <w:tcW w:w="120" w:type="dxa"/>
            <w:vAlign w:val="bottom"/>
          </w:tcPr>
          <w:p>
            <w:pPr>
              <w:spacing w:after="0"/>
              <w:rPr>
                <w:sz w:val="15"/>
                <w:szCs w:val="15"/>
                <w:color w:val="auto"/>
              </w:rPr>
            </w:pPr>
          </w:p>
        </w:tc>
        <w:tc>
          <w:tcPr>
            <w:tcW w:w="1100" w:type="dxa"/>
            <w:vAlign w:val="bottom"/>
            <w:tcBorders>
              <w:right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August 7 -</w:t>
            </w:r>
          </w:p>
        </w:tc>
        <w:tc>
          <w:tcPr>
            <w:tcW w:w="180" w:type="dxa"/>
            <w:vAlign w:val="bottom"/>
          </w:tcPr>
          <w:p>
            <w:pPr>
              <w:spacing w:after="0"/>
              <w:rPr>
                <w:sz w:val="15"/>
                <w:szCs w:val="15"/>
                <w:color w:val="auto"/>
              </w:rPr>
            </w:pPr>
          </w:p>
        </w:tc>
        <w:tc>
          <w:tcPr>
            <w:tcW w:w="980" w:type="dxa"/>
            <w:vAlign w:val="bottom"/>
          </w:tcPr>
          <w:p>
            <w:pPr>
              <w:jc w:val="center"/>
              <w:ind w:right="108"/>
              <w:spacing w:after="0"/>
              <w:rPr>
                <w:sz w:val="20"/>
                <w:szCs w:val="20"/>
                <w:color w:val="auto"/>
              </w:rPr>
            </w:pPr>
            <w:r>
              <w:rPr>
                <w:rFonts w:ascii="Arial" w:cs="Arial" w:eastAsia="Arial" w:hAnsi="Arial"/>
                <w:sz w:val="14"/>
                <w:szCs w:val="14"/>
                <w:b w:val="1"/>
                <w:bCs w:val="1"/>
                <w:color w:val="auto"/>
              </w:rPr>
              <w:t>January 1 -</w:t>
            </w:r>
          </w:p>
        </w:tc>
        <w:tc>
          <w:tcPr>
            <w:tcW w:w="200" w:type="dxa"/>
            <w:vAlign w:val="bottom"/>
          </w:tcPr>
          <w:p>
            <w:pPr>
              <w:spacing w:after="0"/>
              <w:rPr>
                <w:sz w:val="15"/>
                <w:szCs w:val="15"/>
                <w:color w:val="auto"/>
              </w:rPr>
            </w:pPr>
          </w:p>
        </w:tc>
        <w:tc>
          <w:tcPr>
            <w:tcW w:w="1080" w:type="dxa"/>
            <w:vAlign w:val="bottom"/>
          </w:tcPr>
          <w:p>
            <w:pPr>
              <w:jc w:val="center"/>
              <w:ind w:right="48"/>
              <w:spacing w:after="0"/>
              <w:rPr>
                <w:sz w:val="20"/>
                <w:szCs w:val="20"/>
                <w:color w:val="auto"/>
              </w:rPr>
            </w:pPr>
            <w:r>
              <w:rPr>
                <w:rFonts w:ascii="Arial" w:cs="Arial" w:eastAsia="Arial" w:hAnsi="Arial"/>
                <w:sz w:val="14"/>
                <w:szCs w:val="14"/>
                <w:b w:val="1"/>
                <w:bCs w:val="1"/>
                <w:color w:val="auto"/>
              </w:rPr>
              <w:t>Ended</w:t>
            </w:r>
          </w:p>
        </w:tc>
      </w:tr>
      <w:tr>
        <w:trPr>
          <w:trHeight w:val="197"/>
        </w:trPr>
        <w:tc>
          <w:tcPr>
            <w:tcW w:w="3940" w:type="dxa"/>
            <w:vAlign w:val="bottom"/>
          </w:tcPr>
          <w:p>
            <w:pPr>
              <w:spacing w:after="0"/>
              <w:rPr>
                <w:sz w:val="17"/>
                <w:szCs w:val="17"/>
                <w:color w:val="auto"/>
              </w:rPr>
            </w:pPr>
          </w:p>
        </w:tc>
        <w:tc>
          <w:tcPr>
            <w:tcW w:w="1220" w:type="dxa"/>
            <w:vAlign w:val="bottom"/>
            <w:tcBorders>
              <w:bottom w:val="single" w:sz="8" w:color="auto"/>
              <w:right w:val="single" w:sz="8" w:color="auto"/>
            </w:tcBorders>
            <w:gridSpan w:val="2"/>
          </w:tcPr>
          <w:p>
            <w:pPr>
              <w:jc w:val="center"/>
              <w:ind w:right="8"/>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August 6,</w:t>
            </w:r>
          </w:p>
        </w:tc>
        <w:tc>
          <w:tcPr>
            <w:tcW w:w="124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rPr>
              <w:t>September 30,</w:t>
            </w:r>
          </w:p>
        </w:tc>
        <w:tc>
          <w:tcPr>
            <w:tcW w:w="1220" w:type="dxa"/>
            <w:vAlign w:val="bottom"/>
            <w:tcBorders>
              <w:bottom w:val="single" w:sz="8" w:color="auto"/>
              <w:right w:val="single" w:sz="8" w:color="auto"/>
            </w:tcBorders>
            <w:gridSpan w:val="2"/>
          </w:tcPr>
          <w:p>
            <w:pPr>
              <w:jc w:val="center"/>
              <w:ind w:right="48"/>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August 6,</w:t>
            </w: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September 30,</w:t>
            </w:r>
          </w:p>
        </w:tc>
      </w:tr>
      <w:tr>
        <w:trPr>
          <w:trHeight w:val="218"/>
        </w:trPr>
        <w:tc>
          <w:tcPr>
            <w:tcW w:w="3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2025</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2025</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2025</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2025</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2024</w:t>
            </w:r>
          </w:p>
        </w:tc>
      </w:tr>
      <w:tr>
        <w:trPr>
          <w:trHeight w:val="208"/>
        </w:trPr>
        <w:tc>
          <w:tcPr>
            <w:tcW w:w="3940" w:type="dxa"/>
            <w:vAlign w:val="bottom"/>
          </w:tcPr>
          <w:p>
            <w:pPr>
              <w:ind w:left="20"/>
              <w:spacing w:after="0"/>
              <w:rPr>
                <w:sz w:val="20"/>
                <w:szCs w:val="20"/>
                <w:color w:val="auto"/>
              </w:rPr>
            </w:pPr>
            <w:r>
              <w:rPr>
                <w:rFonts w:ascii="Arial" w:cs="Arial" w:eastAsia="Arial" w:hAnsi="Arial"/>
                <w:sz w:val="14"/>
                <w:szCs w:val="14"/>
                <w:color w:val="auto"/>
              </w:rPr>
              <w:t>Revenues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4,121</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2,581</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6,731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4,121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16,622</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21,229</w:t>
            </w:r>
          </w:p>
        </w:tc>
      </w:tr>
      <w:tr>
        <w:trPr>
          <w:trHeight w:val="21"/>
        </w:trPr>
        <w:tc>
          <w:tcPr>
            <w:tcW w:w="3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02"/>
        </w:trPr>
        <w:tc>
          <w:tcPr>
            <w:tcW w:w="3940" w:type="dxa"/>
            <w:vAlign w:val="bottom"/>
          </w:tcPr>
          <w:p>
            <w:pPr>
              <w:ind w:left="20"/>
              <w:spacing w:after="0"/>
              <w:rPr>
                <w:sz w:val="20"/>
                <w:szCs w:val="20"/>
                <w:color w:val="auto"/>
              </w:rPr>
            </w:pPr>
            <w:r>
              <w:rPr>
                <w:rFonts w:ascii="Arial" w:cs="Arial" w:eastAsia="Arial" w:hAnsi="Arial"/>
                <w:sz w:val="14"/>
                <w:szCs w:val="14"/>
                <w:color w:val="auto"/>
              </w:rPr>
              <w:t>Costs and expenses:</w:t>
            </w:r>
          </w:p>
        </w:tc>
        <w:tc>
          <w:tcPr>
            <w:tcW w:w="120" w:type="dxa"/>
            <w:vAlign w:val="bottom"/>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0"/>
        </w:trPr>
        <w:tc>
          <w:tcPr>
            <w:tcW w:w="3940" w:type="dxa"/>
            <w:vAlign w:val="bottom"/>
          </w:tcPr>
          <w:p>
            <w:pPr>
              <w:ind w:left="140"/>
              <w:spacing w:after="0"/>
              <w:rPr>
                <w:sz w:val="20"/>
                <w:szCs w:val="20"/>
                <w:color w:val="auto"/>
              </w:rPr>
            </w:pPr>
            <w:r>
              <w:rPr>
                <w:rFonts w:ascii="Arial" w:cs="Arial" w:eastAsia="Arial" w:hAnsi="Arial"/>
                <w:sz w:val="14"/>
                <w:szCs w:val="14"/>
                <w:color w:val="auto"/>
              </w:rPr>
              <w:t>Operating</w:t>
            </w:r>
          </w:p>
        </w:tc>
        <w:tc>
          <w:tcPr>
            <w:tcW w:w="120" w:type="dxa"/>
            <w:vAlign w:val="bottom"/>
          </w:tcPr>
          <w:p>
            <w:pPr>
              <w:spacing w:after="0"/>
              <w:rPr>
                <w:sz w:val="19"/>
                <w:szCs w:val="19"/>
                <w:color w:val="auto"/>
              </w:rPr>
            </w:pPr>
          </w:p>
        </w:tc>
        <w:tc>
          <w:tcPr>
            <w:tcW w:w="110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2,641</w:t>
            </w:r>
          </w:p>
        </w:tc>
        <w:tc>
          <w:tcPr>
            <w:tcW w:w="260" w:type="dxa"/>
            <w:vAlign w:val="bottom"/>
          </w:tcPr>
          <w:p>
            <w:pPr>
              <w:spacing w:after="0"/>
              <w:rPr>
                <w:sz w:val="19"/>
                <w:szCs w:val="19"/>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1,702</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4,342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2,641</w:t>
            </w:r>
          </w:p>
        </w:tc>
        <w:tc>
          <w:tcPr>
            <w:tcW w:w="180" w:type="dxa"/>
            <w:vAlign w:val="bottom"/>
          </w:tcPr>
          <w:p>
            <w:pPr>
              <w:spacing w:after="0"/>
              <w:rPr>
                <w:sz w:val="19"/>
                <w:szCs w:val="19"/>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11,287</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13,745</w:t>
            </w:r>
          </w:p>
        </w:tc>
      </w:tr>
      <w:tr>
        <w:trPr>
          <w:trHeight w:val="229"/>
        </w:trPr>
        <w:tc>
          <w:tcPr>
            <w:tcW w:w="3940" w:type="dxa"/>
            <w:vAlign w:val="bottom"/>
          </w:tcPr>
          <w:p>
            <w:pPr>
              <w:ind w:left="140"/>
              <w:spacing w:after="0"/>
              <w:rPr>
                <w:sz w:val="20"/>
                <w:szCs w:val="20"/>
                <w:color w:val="auto"/>
              </w:rPr>
            </w:pPr>
            <w:r>
              <w:rPr>
                <w:rFonts w:ascii="Arial" w:cs="Arial" w:eastAsia="Arial" w:hAnsi="Arial"/>
                <w:sz w:val="14"/>
                <w:szCs w:val="14"/>
                <w:color w:val="auto"/>
              </w:rPr>
              <w:t>Programming charges</w:t>
            </w:r>
          </w:p>
        </w:tc>
        <w:tc>
          <w:tcPr>
            <w:tcW w:w="120" w:type="dxa"/>
            <w:vAlign w:val="bottom"/>
          </w:tcPr>
          <w:p>
            <w:pPr>
              <w:spacing w:after="0"/>
              <w:rPr>
                <w:sz w:val="19"/>
                <w:szCs w:val="19"/>
                <w:color w:val="auto"/>
              </w:rPr>
            </w:pPr>
          </w:p>
        </w:tc>
        <w:tc>
          <w:tcPr>
            <w:tcW w:w="110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10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1,118</w:t>
            </w:r>
          </w:p>
        </w:tc>
      </w:tr>
      <w:tr>
        <w:trPr>
          <w:trHeight w:val="229"/>
        </w:trPr>
        <w:tc>
          <w:tcPr>
            <w:tcW w:w="3940" w:type="dxa"/>
            <w:vAlign w:val="bottom"/>
          </w:tcPr>
          <w:p>
            <w:pPr>
              <w:ind w:left="140"/>
              <w:spacing w:after="0"/>
              <w:rPr>
                <w:sz w:val="20"/>
                <w:szCs w:val="20"/>
                <w:color w:val="auto"/>
              </w:rPr>
            </w:pPr>
            <w:r>
              <w:rPr>
                <w:rFonts w:ascii="Arial" w:cs="Arial" w:eastAsia="Arial" w:hAnsi="Arial"/>
                <w:sz w:val="14"/>
                <w:szCs w:val="14"/>
                <w:color w:val="auto"/>
              </w:rPr>
              <w:t>Selling, general and administrative</w:t>
            </w:r>
          </w:p>
        </w:tc>
        <w:tc>
          <w:tcPr>
            <w:tcW w:w="120" w:type="dxa"/>
            <w:vAlign w:val="bottom"/>
          </w:tcPr>
          <w:p>
            <w:pPr>
              <w:spacing w:after="0"/>
              <w:rPr>
                <w:sz w:val="19"/>
                <w:szCs w:val="19"/>
                <w:color w:val="auto"/>
              </w:rPr>
            </w:pPr>
          </w:p>
        </w:tc>
        <w:tc>
          <w:tcPr>
            <w:tcW w:w="110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825</w:t>
            </w:r>
          </w:p>
        </w:tc>
        <w:tc>
          <w:tcPr>
            <w:tcW w:w="260" w:type="dxa"/>
            <w:vAlign w:val="bottom"/>
          </w:tcPr>
          <w:p>
            <w:pPr>
              <w:spacing w:after="0"/>
              <w:rPr>
                <w:sz w:val="19"/>
                <w:szCs w:val="19"/>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582</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825</w:t>
            </w:r>
          </w:p>
        </w:tc>
        <w:tc>
          <w:tcPr>
            <w:tcW w:w="180" w:type="dxa"/>
            <w:vAlign w:val="bottom"/>
          </w:tcPr>
          <w:p>
            <w:pPr>
              <w:spacing w:after="0"/>
              <w:rPr>
                <w:sz w:val="19"/>
                <w:szCs w:val="19"/>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3,526</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4,772</w:t>
            </w:r>
          </w:p>
        </w:tc>
      </w:tr>
      <w:tr>
        <w:trPr>
          <w:trHeight w:val="230"/>
        </w:trPr>
        <w:tc>
          <w:tcPr>
            <w:tcW w:w="394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120" w:type="dxa"/>
            <w:vAlign w:val="bottom"/>
          </w:tcPr>
          <w:p>
            <w:pPr>
              <w:spacing w:after="0"/>
              <w:rPr>
                <w:sz w:val="19"/>
                <w:szCs w:val="19"/>
                <w:color w:val="auto"/>
              </w:rPr>
            </w:pPr>
          </w:p>
        </w:tc>
        <w:tc>
          <w:tcPr>
            <w:tcW w:w="110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226</w:t>
            </w:r>
          </w:p>
        </w:tc>
        <w:tc>
          <w:tcPr>
            <w:tcW w:w="260" w:type="dxa"/>
            <w:vAlign w:val="bottom"/>
          </w:tcPr>
          <w:p>
            <w:pPr>
              <w:spacing w:after="0"/>
              <w:rPr>
                <w:sz w:val="19"/>
                <w:szCs w:val="19"/>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226</w:t>
            </w:r>
          </w:p>
        </w:tc>
        <w:tc>
          <w:tcPr>
            <w:tcW w:w="180" w:type="dxa"/>
            <w:vAlign w:val="bottom"/>
          </w:tcPr>
          <w:p>
            <w:pPr>
              <w:spacing w:after="0"/>
              <w:rPr>
                <w:sz w:val="19"/>
                <w:szCs w:val="19"/>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204</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297</w:t>
            </w:r>
          </w:p>
        </w:tc>
      </w:tr>
      <w:tr>
        <w:trPr>
          <w:trHeight w:val="229"/>
        </w:trPr>
        <w:tc>
          <w:tcPr>
            <w:tcW w:w="3940" w:type="dxa"/>
            <w:vAlign w:val="bottom"/>
          </w:tcPr>
          <w:p>
            <w:pPr>
              <w:ind w:left="140"/>
              <w:spacing w:after="0"/>
              <w:rPr>
                <w:sz w:val="20"/>
                <w:szCs w:val="20"/>
                <w:color w:val="auto"/>
              </w:rPr>
            </w:pPr>
            <w:r>
              <w:rPr>
                <w:rFonts w:ascii="Arial" w:cs="Arial" w:eastAsia="Arial" w:hAnsi="Arial"/>
                <w:sz w:val="14"/>
                <w:szCs w:val="14"/>
                <w:color w:val="auto"/>
              </w:rPr>
              <w:t>Impairment charges</w:t>
            </w:r>
          </w:p>
        </w:tc>
        <w:tc>
          <w:tcPr>
            <w:tcW w:w="120" w:type="dxa"/>
            <w:vAlign w:val="bottom"/>
          </w:tcPr>
          <w:p>
            <w:pPr>
              <w:spacing w:after="0"/>
              <w:rPr>
                <w:sz w:val="19"/>
                <w:szCs w:val="19"/>
                <w:color w:val="auto"/>
              </w:rPr>
            </w:pPr>
          </w:p>
        </w:tc>
        <w:tc>
          <w:tcPr>
            <w:tcW w:w="110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157</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6,100</w:t>
            </w:r>
          </w:p>
        </w:tc>
      </w:tr>
      <w:tr>
        <w:trPr>
          <w:trHeight w:val="229"/>
        </w:trPr>
        <w:tc>
          <w:tcPr>
            <w:tcW w:w="3940" w:type="dxa"/>
            <w:vAlign w:val="bottom"/>
          </w:tcPr>
          <w:p>
            <w:pPr>
              <w:ind w:left="140"/>
              <w:spacing w:after="0"/>
              <w:rPr>
                <w:sz w:val="20"/>
                <w:szCs w:val="20"/>
                <w:color w:val="auto"/>
              </w:rPr>
            </w:pPr>
            <w:r>
              <w:rPr>
                <w:rFonts w:ascii="Arial" w:cs="Arial" w:eastAsia="Arial" w:hAnsi="Arial"/>
                <w:sz w:val="14"/>
                <w:szCs w:val="14"/>
                <w:color w:val="auto"/>
              </w:rPr>
              <w:t>Restructuring and transaction-related items</w:t>
            </w:r>
          </w:p>
        </w:tc>
        <w:tc>
          <w:tcPr>
            <w:tcW w:w="120" w:type="dxa"/>
            <w:vAlign w:val="bottom"/>
          </w:tcPr>
          <w:p>
            <w:pPr>
              <w:spacing w:after="0"/>
              <w:rPr>
                <w:sz w:val="19"/>
                <w:szCs w:val="19"/>
                <w:color w:val="auto"/>
              </w:rPr>
            </w:pPr>
          </w:p>
        </w:tc>
        <w:tc>
          <w:tcPr>
            <w:tcW w:w="110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185</w:t>
            </w:r>
          </w:p>
        </w:tc>
        <w:tc>
          <w:tcPr>
            <w:tcW w:w="260" w:type="dxa"/>
            <w:vAlign w:val="bottom"/>
          </w:tcPr>
          <w:p>
            <w:pPr>
              <w:spacing w:after="0"/>
              <w:rPr>
                <w:sz w:val="19"/>
                <w:szCs w:val="19"/>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188</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185</w:t>
            </w:r>
          </w:p>
        </w:tc>
        <w:tc>
          <w:tcPr>
            <w:tcW w:w="180" w:type="dxa"/>
            <w:vAlign w:val="bottom"/>
          </w:tcPr>
          <w:p>
            <w:pPr>
              <w:spacing w:after="0"/>
              <w:rPr>
                <w:sz w:val="19"/>
                <w:szCs w:val="19"/>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454</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595</w:t>
            </w:r>
          </w:p>
        </w:tc>
      </w:tr>
      <w:tr>
        <w:trPr>
          <w:trHeight w:val="22"/>
        </w:trPr>
        <w:tc>
          <w:tcPr>
            <w:tcW w:w="3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02"/>
        </w:trPr>
        <w:tc>
          <w:tcPr>
            <w:tcW w:w="3940" w:type="dxa"/>
            <w:vAlign w:val="bottom"/>
          </w:tcPr>
          <w:p>
            <w:pPr>
              <w:ind w:left="360"/>
              <w:spacing w:after="0"/>
              <w:rPr>
                <w:sz w:val="20"/>
                <w:szCs w:val="20"/>
                <w:color w:val="auto"/>
              </w:rPr>
            </w:pPr>
            <w:r>
              <w:rPr>
                <w:rFonts w:ascii="Arial" w:cs="Arial" w:eastAsia="Arial" w:hAnsi="Arial"/>
                <w:sz w:val="14"/>
                <w:szCs w:val="14"/>
                <w:color w:val="auto"/>
              </w:rPr>
              <w:t>Total costs and expenses</w:t>
            </w:r>
          </w:p>
        </w:tc>
        <w:tc>
          <w:tcPr>
            <w:tcW w:w="120" w:type="dxa"/>
            <w:vAlign w:val="bottom"/>
          </w:tcPr>
          <w:p>
            <w:pPr>
              <w:spacing w:after="0"/>
              <w:rPr>
                <w:sz w:val="17"/>
                <w:szCs w:val="17"/>
                <w:color w:val="auto"/>
              </w:rPr>
            </w:pPr>
          </w:p>
        </w:tc>
        <w:tc>
          <w:tcPr>
            <w:tcW w:w="110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3,877</w:t>
            </w: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2,501</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6,394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3,877</w:t>
            </w:r>
          </w:p>
        </w:tc>
        <w:tc>
          <w:tcPr>
            <w:tcW w:w="18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15,628</w:t>
            </w: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26,627</w:t>
            </w:r>
          </w:p>
        </w:tc>
      </w:tr>
      <w:tr>
        <w:trPr>
          <w:trHeight w:val="229"/>
        </w:trPr>
        <w:tc>
          <w:tcPr>
            <w:tcW w:w="3940" w:type="dxa"/>
            <w:vAlign w:val="bottom"/>
          </w:tcPr>
          <w:p>
            <w:pPr>
              <w:ind w:left="140"/>
              <w:spacing w:after="0"/>
              <w:rPr>
                <w:sz w:val="20"/>
                <w:szCs w:val="20"/>
                <w:color w:val="auto"/>
              </w:rPr>
            </w:pPr>
            <w:r>
              <w:rPr>
                <w:rFonts w:ascii="Arial" w:cs="Arial" w:eastAsia="Arial" w:hAnsi="Arial"/>
                <w:sz w:val="14"/>
                <w:szCs w:val="14"/>
                <w:color w:val="auto"/>
              </w:rPr>
              <w:t>Gain on dispositions</w:t>
            </w:r>
          </w:p>
        </w:tc>
        <w:tc>
          <w:tcPr>
            <w:tcW w:w="120" w:type="dxa"/>
            <w:vAlign w:val="bottom"/>
          </w:tcPr>
          <w:p>
            <w:pPr>
              <w:spacing w:after="0"/>
              <w:rPr>
                <w:sz w:val="19"/>
                <w:szCs w:val="19"/>
                <w:color w:val="auto"/>
              </w:rPr>
            </w:pPr>
          </w:p>
        </w:tc>
        <w:tc>
          <w:tcPr>
            <w:tcW w:w="110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10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35</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3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02"/>
        </w:trPr>
        <w:tc>
          <w:tcPr>
            <w:tcW w:w="3940" w:type="dxa"/>
            <w:vAlign w:val="bottom"/>
          </w:tcPr>
          <w:p>
            <w:pPr>
              <w:ind w:left="20"/>
              <w:spacing w:after="0"/>
              <w:rPr>
                <w:sz w:val="20"/>
                <w:szCs w:val="20"/>
                <w:color w:val="auto"/>
              </w:rPr>
            </w:pPr>
            <w:r>
              <w:rPr>
                <w:rFonts w:ascii="Arial" w:cs="Arial" w:eastAsia="Arial" w:hAnsi="Arial"/>
                <w:sz w:val="14"/>
                <w:szCs w:val="14"/>
                <w:color w:val="auto"/>
              </w:rPr>
              <w:t>Operating income (loss)</w:t>
            </w:r>
          </w:p>
        </w:tc>
        <w:tc>
          <w:tcPr>
            <w:tcW w:w="120" w:type="dxa"/>
            <w:vAlign w:val="bottom"/>
          </w:tcPr>
          <w:p>
            <w:pPr>
              <w:spacing w:after="0"/>
              <w:rPr>
                <w:sz w:val="17"/>
                <w:szCs w:val="17"/>
                <w:color w:val="auto"/>
              </w:rPr>
            </w:pPr>
          </w:p>
        </w:tc>
        <w:tc>
          <w:tcPr>
            <w:tcW w:w="110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244</w:t>
            </w: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80</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244</w:t>
            </w:r>
          </w:p>
        </w:tc>
        <w:tc>
          <w:tcPr>
            <w:tcW w:w="18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1,029</w:t>
            </w: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(5,398)</w:t>
            </w:r>
          </w:p>
        </w:tc>
      </w:tr>
      <w:tr>
        <w:trPr>
          <w:trHeight w:val="229"/>
        </w:trPr>
        <w:tc>
          <w:tcPr>
            <w:tcW w:w="394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20" w:type="dxa"/>
            <w:vAlign w:val="bottom"/>
          </w:tcPr>
          <w:p>
            <w:pPr>
              <w:spacing w:after="0"/>
              <w:rPr>
                <w:sz w:val="19"/>
                <w:szCs w:val="19"/>
                <w:color w:val="auto"/>
              </w:rPr>
            </w:pPr>
          </w:p>
        </w:tc>
        <w:tc>
          <w:tcPr>
            <w:tcW w:w="110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(138)</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(85)</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(138)</w:t>
            </w:r>
          </w:p>
        </w:tc>
        <w:tc>
          <w:tcPr>
            <w:tcW w:w="180" w:type="dxa"/>
            <w:vAlign w:val="bottom"/>
          </w:tcPr>
          <w:p>
            <w:pPr>
              <w:spacing w:after="0"/>
              <w:rPr>
                <w:sz w:val="19"/>
                <w:szCs w:val="19"/>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(516)</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(645)</w:t>
            </w:r>
          </w:p>
        </w:tc>
      </w:tr>
      <w:tr>
        <w:trPr>
          <w:trHeight w:val="230"/>
        </w:trPr>
        <w:tc>
          <w:tcPr>
            <w:tcW w:w="394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120" w:type="dxa"/>
            <w:vAlign w:val="bottom"/>
          </w:tcPr>
          <w:p>
            <w:pPr>
              <w:spacing w:after="0"/>
              <w:rPr>
                <w:sz w:val="19"/>
                <w:szCs w:val="19"/>
                <w:color w:val="auto"/>
              </w:rPr>
            </w:pPr>
          </w:p>
        </w:tc>
        <w:tc>
          <w:tcPr>
            <w:tcW w:w="110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24</w:t>
            </w:r>
          </w:p>
        </w:tc>
        <w:tc>
          <w:tcPr>
            <w:tcW w:w="260" w:type="dxa"/>
            <w:vAlign w:val="bottom"/>
          </w:tcPr>
          <w:p>
            <w:pPr>
              <w:spacing w:after="0"/>
              <w:rPr>
                <w:sz w:val="19"/>
                <w:szCs w:val="19"/>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24</w:t>
            </w:r>
          </w:p>
        </w:tc>
        <w:tc>
          <w:tcPr>
            <w:tcW w:w="180" w:type="dxa"/>
            <w:vAlign w:val="bottom"/>
          </w:tcPr>
          <w:p>
            <w:pPr>
              <w:spacing w:after="0"/>
              <w:rPr>
                <w:sz w:val="19"/>
                <w:szCs w:val="19"/>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83</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111</w:t>
            </w:r>
          </w:p>
        </w:tc>
      </w:tr>
      <w:tr>
        <w:trPr>
          <w:trHeight w:val="229"/>
        </w:trPr>
        <w:tc>
          <w:tcPr>
            <w:tcW w:w="3940" w:type="dxa"/>
            <w:vAlign w:val="bottom"/>
          </w:tcPr>
          <w:p>
            <w:pPr>
              <w:ind w:left="20"/>
              <w:spacing w:after="0"/>
              <w:rPr>
                <w:sz w:val="20"/>
                <w:szCs w:val="20"/>
                <w:color w:val="auto"/>
              </w:rPr>
            </w:pPr>
            <w:r>
              <w:rPr>
                <w:rFonts w:ascii="Arial" w:cs="Arial" w:eastAsia="Arial" w:hAnsi="Arial"/>
                <w:sz w:val="14"/>
                <w:szCs w:val="14"/>
                <w:color w:val="auto"/>
              </w:rPr>
              <w:t>Loss from investment</w:t>
            </w:r>
          </w:p>
        </w:tc>
        <w:tc>
          <w:tcPr>
            <w:tcW w:w="120" w:type="dxa"/>
            <w:vAlign w:val="bottom"/>
          </w:tcPr>
          <w:p>
            <w:pPr>
              <w:spacing w:after="0"/>
              <w:rPr>
                <w:sz w:val="19"/>
                <w:szCs w:val="19"/>
                <w:color w:val="auto"/>
              </w:rPr>
            </w:pPr>
          </w:p>
        </w:tc>
        <w:tc>
          <w:tcPr>
            <w:tcW w:w="110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10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30"/>
        </w:trPr>
        <w:tc>
          <w:tcPr>
            <w:tcW w:w="3940" w:type="dxa"/>
            <w:vAlign w:val="bottom"/>
          </w:tcPr>
          <w:p>
            <w:pPr>
              <w:ind w:left="20"/>
              <w:spacing w:after="0"/>
              <w:rPr>
                <w:sz w:val="20"/>
                <w:szCs w:val="20"/>
                <w:color w:val="auto"/>
              </w:rPr>
            </w:pPr>
            <w:r>
              <w:rPr>
                <w:rFonts w:ascii="Arial" w:cs="Arial" w:eastAsia="Arial" w:hAnsi="Arial"/>
                <w:sz w:val="14"/>
                <w:szCs w:val="14"/>
                <w:color w:val="auto"/>
              </w:rPr>
              <w:t>Other items, net</w:t>
            </w:r>
          </w:p>
        </w:tc>
        <w:tc>
          <w:tcPr>
            <w:tcW w:w="120" w:type="dxa"/>
            <w:vAlign w:val="bottom"/>
          </w:tcPr>
          <w:p>
            <w:pPr>
              <w:spacing w:after="0"/>
              <w:rPr>
                <w:sz w:val="19"/>
                <w:szCs w:val="19"/>
                <w:color w:val="auto"/>
              </w:rPr>
            </w:pPr>
          </w:p>
        </w:tc>
        <w:tc>
          <w:tcPr>
            <w:tcW w:w="110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(8)</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(8)</w:t>
            </w:r>
          </w:p>
        </w:tc>
        <w:tc>
          <w:tcPr>
            <w:tcW w:w="180" w:type="dxa"/>
            <w:vAlign w:val="bottom"/>
          </w:tcPr>
          <w:p>
            <w:pPr>
              <w:spacing w:after="0"/>
              <w:rPr>
                <w:sz w:val="19"/>
                <w:szCs w:val="19"/>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(92)</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(126)</w:t>
            </w:r>
          </w:p>
        </w:tc>
      </w:tr>
      <w:tr>
        <w:trPr>
          <w:trHeight w:val="22"/>
        </w:trPr>
        <w:tc>
          <w:tcPr>
            <w:tcW w:w="3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7"/>
        </w:trPr>
        <w:tc>
          <w:tcPr>
            <w:tcW w:w="3940" w:type="dxa"/>
            <w:vAlign w:val="bottom"/>
          </w:tcPr>
          <w:p>
            <w:pPr>
              <w:ind w:left="20"/>
              <w:spacing w:after="0"/>
              <w:rPr>
                <w:sz w:val="20"/>
                <w:szCs w:val="20"/>
                <w:color w:val="auto"/>
              </w:rPr>
            </w:pPr>
            <w:r>
              <w:rPr>
                <w:rFonts w:ascii="Arial" w:cs="Arial" w:eastAsia="Arial" w:hAnsi="Arial"/>
                <w:sz w:val="14"/>
                <w:szCs w:val="14"/>
                <w:color w:val="auto"/>
              </w:rPr>
              <w:t>Earnings (loss) from continuing operations before income</w:t>
            </w:r>
          </w:p>
        </w:tc>
        <w:tc>
          <w:tcPr>
            <w:tcW w:w="120" w:type="dxa"/>
            <w:vAlign w:val="bottom"/>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3940" w:type="dxa"/>
            <w:vAlign w:val="bottom"/>
          </w:tcPr>
          <w:p>
            <w:pPr>
              <w:ind w:left="140"/>
              <w:spacing w:after="0"/>
              <w:rPr>
                <w:sz w:val="20"/>
                <w:szCs w:val="20"/>
                <w:color w:val="auto"/>
              </w:rPr>
            </w:pPr>
            <w:r>
              <w:rPr>
                <w:rFonts w:ascii="Arial" w:cs="Arial" w:eastAsia="Arial" w:hAnsi="Arial"/>
                <w:sz w:val="14"/>
                <w:szCs w:val="14"/>
                <w:color w:val="auto"/>
              </w:rPr>
              <w:t>taxes and equity in loss of investee companies</w:t>
            </w:r>
          </w:p>
        </w:tc>
        <w:tc>
          <w:tcPr>
            <w:tcW w:w="120" w:type="dxa"/>
            <w:vAlign w:val="bottom"/>
          </w:tcPr>
          <w:p>
            <w:pPr>
              <w:spacing w:after="0"/>
              <w:rPr>
                <w:sz w:val="16"/>
                <w:szCs w:val="16"/>
                <w:color w:val="auto"/>
              </w:rPr>
            </w:pPr>
          </w:p>
        </w:tc>
        <w:tc>
          <w:tcPr>
            <w:tcW w:w="110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122</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122</w:t>
            </w:r>
          </w:p>
        </w:tc>
        <w:tc>
          <w:tcPr>
            <w:tcW w:w="180" w:type="dxa"/>
            <w:vAlign w:val="bottom"/>
          </w:tcPr>
          <w:p>
            <w:pPr>
              <w:spacing w:after="0"/>
              <w:rPr>
                <w:sz w:val="16"/>
                <w:szCs w:val="16"/>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504</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(6,062)</w:t>
            </w:r>
          </w:p>
        </w:tc>
      </w:tr>
      <w:tr>
        <w:trPr>
          <w:trHeight w:val="230"/>
        </w:trPr>
        <w:tc>
          <w:tcPr>
            <w:tcW w:w="3940" w:type="dxa"/>
            <w:vAlign w:val="bottom"/>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120" w:type="dxa"/>
            <w:vAlign w:val="bottom"/>
          </w:tcPr>
          <w:p>
            <w:pPr>
              <w:spacing w:after="0"/>
              <w:rPr>
                <w:sz w:val="19"/>
                <w:szCs w:val="19"/>
                <w:color w:val="auto"/>
              </w:rPr>
            </w:pPr>
          </w:p>
        </w:tc>
        <w:tc>
          <w:tcPr>
            <w:tcW w:w="110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(85)</w:t>
            </w:r>
          </w:p>
        </w:tc>
        <w:tc>
          <w:tcPr>
            <w:tcW w:w="260" w:type="dxa"/>
            <w:vAlign w:val="bottom"/>
          </w:tcPr>
          <w:p>
            <w:pPr>
              <w:spacing w:after="0"/>
              <w:rPr>
                <w:sz w:val="19"/>
                <w:szCs w:val="19"/>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229</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(85)</w:t>
            </w:r>
          </w:p>
        </w:tc>
        <w:tc>
          <w:tcPr>
            <w:tcW w:w="180" w:type="dxa"/>
            <w:vAlign w:val="bottom"/>
          </w:tcPr>
          <w:p>
            <w:pPr>
              <w:spacing w:after="0"/>
              <w:rPr>
                <w:sz w:val="19"/>
                <w:szCs w:val="19"/>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79</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342</w:t>
            </w:r>
          </w:p>
        </w:tc>
      </w:tr>
      <w:tr>
        <w:trPr>
          <w:trHeight w:val="230"/>
        </w:trPr>
        <w:tc>
          <w:tcPr>
            <w:tcW w:w="3940" w:type="dxa"/>
            <w:vAlign w:val="bottom"/>
          </w:tcPr>
          <w:p>
            <w:pPr>
              <w:ind w:left="20"/>
              <w:spacing w:after="0"/>
              <w:rPr>
                <w:sz w:val="20"/>
                <w:szCs w:val="20"/>
                <w:color w:val="auto"/>
              </w:rPr>
            </w:pPr>
            <w:r>
              <w:rPr>
                <w:rFonts w:ascii="Arial" w:cs="Arial" w:eastAsia="Arial" w:hAnsi="Arial"/>
                <w:sz w:val="14"/>
                <w:szCs w:val="14"/>
                <w:color w:val="auto"/>
              </w:rPr>
              <w:t>Equity in loss of investee companies, net of tax</w:t>
            </w:r>
          </w:p>
        </w:tc>
        <w:tc>
          <w:tcPr>
            <w:tcW w:w="120" w:type="dxa"/>
            <w:vAlign w:val="bottom"/>
          </w:tcPr>
          <w:p>
            <w:pPr>
              <w:spacing w:after="0"/>
              <w:rPr>
                <w:sz w:val="19"/>
                <w:szCs w:val="19"/>
                <w:color w:val="auto"/>
              </w:rPr>
            </w:pPr>
          </w:p>
        </w:tc>
        <w:tc>
          <w:tcPr>
            <w:tcW w:w="110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(33)</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(31)</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(33)</w:t>
            </w:r>
          </w:p>
        </w:tc>
        <w:tc>
          <w:tcPr>
            <w:tcW w:w="180" w:type="dxa"/>
            <w:vAlign w:val="bottom"/>
          </w:tcPr>
          <w:p>
            <w:pPr>
              <w:spacing w:after="0"/>
              <w:rPr>
                <w:sz w:val="19"/>
                <w:szCs w:val="19"/>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(171)</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(221)</w:t>
            </w:r>
          </w:p>
        </w:tc>
      </w:tr>
      <w:tr>
        <w:trPr>
          <w:trHeight w:val="22"/>
        </w:trPr>
        <w:tc>
          <w:tcPr>
            <w:tcW w:w="3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01"/>
        </w:trPr>
        <w:tc>
          <w:tcPr>
            <w:tcW w:w="3940" w:type="dxa"/>
            <w:vAlign w:val="bottom"/>
          </w:tcPr>
          <w:p>
            <w:pPr>
              <w:ind w:left="20"/>
              <w:spacing w:after="0"/>
              <w:rPr>
                <w:sz w:val="20"/>
                <w:szCs w:val="20"/>
                <w:color w:val="auto"/>
              </w:rPr>
            </w:pPr>
            <w:r>
              <w:rPr>
                <w:rFonts w:ascii="Arial" w:cs="Arial" w:eastAsia="Arial" w:hAnsi="Arial"/>
                <w:sz w:val="14"/>
                <w:szCs w:val="14"/>
                <w:color w:val="auto"/>
              </w:rPr>
              <w:t>Net earnings (loss) from continuing operations</w:t>
            </w:r>
          </w:p>
        </w:tc>
        <w:tc>
          <w:tcPr>
            <w:tcW w:w="120" w:type="dxa"/>
            <w:vAlign w:val="bottom"/>
          </w:tcPr>
          <w:p>
            <w:pPr>
              <w:spacing w:after="0"/>
              <w:rPr>
                <w:sz w:val="17"/>
                <w:szCs w:val="17"/>
                <w:color w:val="auto"/>
              </w:rPr>
            </w:pPr>
          </w:p>
        </w:tc>
        <w:tc>
          <w:tcPr>
            <w:tcW w:w="110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4</w:t>
            </w: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190</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4</w:t>
            </w:r>
          </w:p>
        </w:tc>
        <w:tc>
          <w:tcPr>
            <w:tcW w:w="18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412</w:t>
            </w: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(5,941)</w:t>
            </w:r>
          </w:p>
        </w:tc>
      </w:tr>
      <w:tr>
        <w:trPr>
          <w:trHeight w:val="215"/>
        </w:trPr>
        <w:tc>
          <w:tcPr>
            <w:tcW w:w="3940" w:type="dxa"/>
            <w:vAlign w:val="bottom"/>
          </w:tcPr>
          <w:p>
            <w:pPr>
              <w:ind w:left="20"/>
              <w:spacing w:after="0"/>
              <w:rPr>
                <w:sz w:val="20"/>
                <w:szCs w:val="20"/>
                <w:color w:val="auto"/>
              </w:rPr>
            </w:pPr>
            <w:r>
              <w:rPr>
                <w:rFonts w:ascii="Arial" w:cs="Arial" w:eastAsia="Arial" w:hAnsi="Arial"/>
                <w:sz w:val="14"/>
                <w:szCs w:val="14"/>
                <w:color w:val="auto"/>
              </w:rPr>
              <w:t>Net earnings from discontinued operations,</w:t>
            </w:r>
          </w:p>
        </w:tc>
        <w:tc>
          <w:tcPr>
            <w:tcW w:w="12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90"/>
        </w:trPr>
        <w:tc>
          <w:tcPr>
            <w:tcW w:w="3940" w:type="dxa"/>
            <w:vAlign w:val="bottom"/>
          </w:tcPr>
          <w:p>
            <w:pPr>
              <w:ind w:left="20"/>
              <w:spacing w:after="0"/>
              <w:rPr>
                <w:sz w:val="20"/>
                <w:szCs w:val="20"/>
                <w:color w:val="auto"/>
              </w:rPr>
            </w:pPr>
            <w:r>
              <w:rPr>
                <w:rFonts w:ascii="Arial" w:cs="Arial" w:eastAsia="Arial" w:hAnsi="Arial"/>
                <w:sz w:val="14"/>
                <w:szCs w:val="14"/>
                <w:color w:val="auto"/>
              </w:rPr>
              <w:t>net of tax</w:t>
            </w:r>
          </w:p>
        </w:tc>
        <w:tc>
          <w:tcPr>
            <w:tcW w:w="120" w:type="dxa"/>
            <w:vAlign w:val="bottom"/>
          </w:tcPr>
          <w:p>
            <w:pPr>
              <w:spacing w:after="0"/>
              <w:rPr>
                <w:sz w:val="16"/>
                <w:szCs w:val="16"/>
                <w:color w:val="auto"/>
              </w:rPr>
            </w:pPr>
          </w:p>
        </w:tc>
        <w:tc>
          <w:tcPr>
            <w:tcW w:w="110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2"/>
        </w:trPr>
        <w:tc>
          <w:tcPr>
            <w:tcW w:w="3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7"/>
        </w:trPr>
        <w:tc>
          <w:tcPr>
            <w:tcW w:w="3940" w:type="dxa"/>
            <w:vAlign w:val="bottom"/>
          </w:tcPr>
          <w:p>
            <w:pPr>
              <w:ind w:left="20"/>
              <w:spacing w:after="0"/>
              <w:rPr>
                <w:sz w:val="20"/>
                <w:szCs w:val="20"/>
                <w:color w:val="auto"/>
              </w:rPr>
            </w:pPr>
            <w:r>
              <w:rPr>
                <w:rFonts w:ascii="Arial" w:cs="Arial" w:eastAsia="Arial" w:hAnsi="Arial"/>
                <w:sz w:val="14"/>
                <w:szCs w:val="14"/>
                <w:color w:val="auto"/>
              </w:rPr>
              <w:t>Net earnings (loss)</w:t>
            </w:r>
          </w:p>
        </w:tc>
        <w:tc>
          <w:tcPr>
            <w:tcW w:w="120" w:type="dxa"/>
            <w:vAlign w:val="bottom"/>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3940" w:type="dxa"/>
            <w:vAlign w:val="bottom"/>
          </w:tcPr>
          <w:p>
            <w:pPr>
              <w:ind w:left="20"/>
              <w:spacing w:after="0"/>
              <w:rPr>
                <w:sz w:val="20"/>
                <w:szCs w:val="20"/>
                <w:color w:val="auto"/>
              </w:rPr>
            </w:pPr>
            <w:r>
              <w:rPr>
                <w:rFonts w:ascii="Arial" w:cs="Arial" w:eastAsia="Arial" w:hAnsi="Arial"/>
                <w:sz w:val="14"/>
                <w:szCs w:val="14"/>
                <w:color w:val="auto"/>
              </w:rPr>
              <w:t>(Parent and noncontrolling interests)</w:t>
            </w:r>
          </w:p>
        </w:tc>
        <w:tc>
          <w:tcPr>
            <w:tcW w:w="120" w:type="dxa"/>
            <w:vAlign w:val="bottom"/>
          </w:tcPr>
          <w:p>
            <w:pPr>
              <w:spacing w:after="0"/>
              <w:rPr>
                <w:sz w:val="16"/>
                <w:szCs w:val="16"/>
                <w:color w:val="auto"/>
              </w:rPr>
            </w:pPr>
          </w:p>
        </w:tc>
        <w:tc>
          <w:tcPr>
            <w:tcW w:w="110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4</w:t>
            </w:r>
          </w:p>
        </w:tc>
        <w:tc>
          <w:tcPr>
            <w:tcW w:w="26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190</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4</w:t>
            </w:r>
          </w:p>
        </w:tc>
        <w:tc>
          <w:tcPr>
            <w:tcW w:w="180" w:type="dxa"/>
            <w:vAlign w:val="bottom"/>
          </w:tcPr>
          <w:p>
            <w:pPr>
              <w:spacing w:after="0"/>
              <w:rPr>
                <w:sz w:val="16"/>
                <w:szCs w:val="16"/>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412</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(5,927)</w:t>
            </w:r>
          </w:p>
        </w:tc>
      </w:tr>
      <w:tr>
        <w:trPr>
          <w:trHeight w:val="230"/>
        </w:trPr>
        <w:tc>
          <w:tcPr>
            <w:tcW w:w="3940" w:type="dxa"/>
            <w:vAlign w:val="bottom"/>
          </w:tcPr>
          <w:p>
            <w:pPr>
              <w:ind w:left="20"/>
              <w:spacing w:after="0"/>
              <w:rPr>
                <w:sz w:val="20"/>
                <w:szCs w:val="20"/>
                <w:color w:val="auto"/>
              </w:rPr>
            </w:pPr>
            <w:r>
              <w:rPr>
                <w:rFonts w:ascii="Arial" w:cs="Arial" w:eastAsia="Arial" w:hAnsi="Arial"/>
                <w:sz w:val="14"/>
                <w:szCs w:val="14"/>
                <w:color w:val="auto"/>
              </w:rPr>
              <w:t>Net earnings attributable to noncontrolling interests</w:t>
            </w:r>
          </w:p>
        </w:tc>
        <w:tc>
          <w:tcPr>
            <w:tcW w:w="120" w:type="dxa"/>
            <w:vAlign w:val="bottom"/>
          </w:tcPr>
          <w:p>
            <w:pPr>
              <w:spacing w:after="0"/>
              <w:rPr>
                <w:sz w:val="19"/>
                <w:szCs w:val="19"/>
                <w:color w:val="auto"/>
              </w:rPr>
            </w:pPr>
          </w:p>
        </w:tc>
        <w:tc>
          <w:tcPr>
            <w:tcW w:w="110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(17)</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(434)</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(17)</w:t>
            </w:r>
          </w:p>
        </w:tc>
        <w:tc>
          <w:tcPr>
            <w:tcW w:w="180" w:type="dxa"/>
            <w:vAlign w:val="bottom"/>
          </w:tcPr>
          <w:p>
            <w:pPr>
              <w:spacing w:after="0"/>
              <w:rPr>
                <w:sz w:val="19"/>
                <w:szCs w:val="19"/>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(447)</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22"/>
        </w:trPr>
        <w:tc>
          <w:tcPr>
            <w:tcW w:w="3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01"/>
        </w:trPr>
        <w:tc>
          <w:tcPr>
            <w:tcW w:w="3940" w:type="dxa"/>
            <w:vAlign w:val="bottom"/>
          </w:tcPr>
          <w:p>
            <w:pPr>
              <w:ind w:left="20"/>
              <w:spacing w:after="0"/>
              <w:rPr>
                <w:sz w:val="20"/>
                <w:szCs w:val="20"/>
                <w:color w:val="auto"/>
              </w:rPr>
            </w:pPr>
            <w:r>
              <w:rPr>
                <w:rFonts w:ascii="Arial" w:cs="Arial" w:eastAsia="Arial" w:hAnsi="Arial"/>
                <w:sz w:val="14"/>
                <w:szCs w:val="14"/>
                <w:color w:val="auto"/>
              </w:rPr>
              <w:t>Net earnings (loss) attributable to Parent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(13)</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(244)</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(13)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(35)</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(5,966)</w:t>
            </w:r>
          </w:p>
        </w:tc>
      </w:tr>
      <w:tr>
        <w:trPr>
          <w:trHeight w:val="29"/>
        </w:trPr>
        <w:tc>
          <w:tcPr>
            <w:tcW w:w="3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302"/>
        </w:trPr>
        <w:tc>
          <w:tcPr>
            <w:tcW w:w="3940" w:type="dxa"/>
            <w:vAlign w:val="bottom"/>
          </w:tcPr>
          <w:p>
            <w:pPr>
              <w:ind w:left="20"/>
              <w:spacing w:after="0"/>
              <w:rPr>
                <w:sz w:val="20"/>
                <w:szCs w:val="20"/>
                <w:color w:val="auto"/>
              </w:rPr>
            </w:pPr>
            <w:r>
              <w:rPr>
                <w:rFonts w:ascii="Arial" w:cs="Arial" w:eastAsia="Arial" w:hAnsi="Arial"/>
                <w:sz w:val="14"/>
                <w:szCs w:val="14"/>
                <w:color w:val="auto"/>
              </w:rPr>
              <w:t>Amounts attributable to Parent:</w:t>
            </w:r>
          </w:p>
        </w:tc>
        <w:tc>
          <w:tcPr>
            <w:tcW w:w="12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30"/>
        </w:trPr>
        <w:tc>
          <w:tcPr>
            <w:tcW w:w="3940" w:type="dxa"/>
            <w:vAlign w:val="bottom"/>
          </w:tcPr>
          <w:p>
            <w:pPr>
              <w:ind w:left="140"/>
              <w:spacing w:after="0"/>
              <w:rPr>
                <w:sz w:val="20"/>
                <w:szCs w:val="20"/>
                <w:color w:val="auto"/>
              </w:rPr>
            </w:pPr>
            <w:r>
              <w:rPr>
                <w:rFonts w:ascii="Arial" w:cs="Arial" w:eastAsia="Arial" w:hAnsi="Arial"/>
                <w:sz w:val="14"/>
                <w:szCs w:val="14"/>
                <w:color w:val="auto"/>
              </w:rPr>
              <w:t>Net loss from continuing operations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(13)</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(244)</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(13)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(35)</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(5,980)</w:t>
            </w:r>
          </w:p>
        </w:tc>
      </w:tr>
      <w:tr>
        <w:trPr>
          <w:trHeight w:val="230"/>
        </w:trPr>
        <w:tc>
          <w:tcPr>
            <w:tcW w:w="3940" w:type="dxa"/>
            <w:vAlign w:val="bottom"/>
          </w:tcPr>
          <w:p>
            <w:pPr>
              <w:ind w:left="140"/>
              <w:spacing w:after="0"/>
              <w:rPr>
                <w:sz w:val="20"/>
                <w:szCs w:val="20"/>
                <w:color w:val="auto"/>
              </w:rPr>
            </w:pPr>
            <w:r>
              <w:rPr>
                <w:rFonts w:ascii="Arial" w:cs="Arial" w:eastAsia="Arial" w:hAnsi="Arial"/>
                <w:sz w:val="14"/>
                <w:szCs w:val="14"/>
                <w:color w:val="auto"/>
              </w:rPr>
              <w:t>Net earnings from discontinued operations, net of tax</w:t>
            </w:r>
          </w:p>
        </w:tc>
        <w:tc>
          <w:tcPr>
            <w:tcW w:w="120" w:type="dxa"/>
            <w:vAlign w:val="bottom"/>
          </w:tcPr>
          <w:p>
            <w:pPr>
              <w:spacing w:after="0"/>
              <w:rPr>
                <w:sz w:val="19"/>
                <w:szCs w:val="19"/>
                <w:color w:val="auto"/>
              </w:rPr>
            </w:pPr>
          </w:p>
        </w:tc>
        <w:tc>
          <w:tcPr>
            <w:tcW w:w="110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2"/>
        </w:trPr>
        <w:tc>
          <w:tcPr>
            <w:tcW w:w="3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01"/>
        </w:trPr>
        <w:tc>
          <w:tcPr>
            <w:tcW w:w="3940" w:type="dxa"/>
            <w:vAlign w:val="bottom"/>
          </w:tcPr>
          <w:p>
            <w:pPr>
              <w:ind w:left="140"/>
              <w:spacing w:after="0"/>
              <w:rPr>
                <w:sz w:val="20"/>
                <w:szCs w:val="20"/>
                <w:color w:val="auto"/>
              </w:rPr>
            </w:pPr>
            <w:r>
              <w:rPr>
                <w:rFonts w:ascii="Arial" w:cs="Arial" w:eastAsia="Arial" w:hAnsi="Arial"/>
                <w:sz w:val="14"/>
                <w:szCs w:val="14"/>
                <w:color w:val="auto"/>
              </w:rPr>
              <w:t>Net earnings (loss) attributable to Parent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(13)</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(244)</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(13)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(35)</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(5,966)</w:t>
            </w:r>
          </w:p>
        </w:tc>
      </w:tr>
      <w:tr>
        <w:trPr>
          <w:trHeight w:val="29"/>
        </w:trPr>
        <w:tc>
          <w:tcPr>
            <w:tcW w:w="3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8"/>
        </w:trPr>
        <w:tc>
          <w:tcPr>
            <w:tcW w:w="3940" w:type="dxa"/>
            <w:vAlign w:val="bottom"/>
          </w:tcPr>
          <w:p>
            <w:pPr>
              <w:ind w:left="20"/>
              <w:spacing w:after="0"/>
              <w:rPr>
                <w:sz w:val="20"/>
                <w:szCs w:val="20"/>
                <w:color w:val="auto"/>
              </w:rPr>
            </w:pPr>
            <w:r>
              <w:rPr>
                <w:rFonts w:ascii="Arial" w:cs="Arial" w:eastAsia="Arial" w:hAnsi="Arial"/>
                <w:sz w:val="14"/>
                <w:szCs w:val="14"/>
                <w:color w:val="auto"/>
              </w:rPr>
              <w:t>Basic net earnings (loss) per common share</w:t>
            </w:r>
          </w:p>
        </w:tc>
        <w:tc>
          <w:tcPr>
            <w:tcW w:w="12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0"/>
        </w:trPr>
        <w:tc>
          <w:tcPr>
            <w:tcW w:w="3940" w:type="dxa"/>
            <w:vAlign w:val="bottom"/>
          </w:tcPr>
          <w:p>
            <w:pPr>
              <w:ind w:left="20"/>
              <w:spacing w:after="0"/>
              <w:rPr>
                <w:sz w:val="20"/>
                <w:szCs w:val="20"/>
                <w:color w:val="auto"/>
              </w:rPr>
            </w:pPr>
            <w:r>
              <w:rPr>
                <w:rFonts w:ascii="Arial" w:cs="Arial" w:eastAsia="Arial" w:hAnsi="Arial"/>
                <w:sz w:val="14"/>
                <w:szCs w:val="14"/>
                <w:color w:val="auto"/>
              </w:rPr>
              <w:t>attributable to Parent:</w:t>
            </w:r>
          </w:p>
        </w:tc>
        <w:tc>
          <w:tcPr>
            <w:tcW w:w="120" w:type="dxa"/>
            <w:vAlign w:val="bottom"/>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29"/>
        </w:trPr>
        <w:tc>
          <w:tcPr>
            <w:tcW w:w="3940" w:type="dxa"/>
            <w:vAlign w:val="bottom"/>
          </w:tcPr>
          <w:p>
            <w:pPr>
              <w:ind w:left="140"/>
              <w:spacing w:after="0"/>
              <w:rPr>
                <w:sz w:val="20"/>
                <w:szCs w:val="20"/>
                <w:color w:val="auto"/>
              </w:rPr>
            </w:pPr>
            <w:r>
              <w:rPr>
                <w:rFonts w:ascii="Arial" w:cs="Arial" w:eastAsia="Arial" w:hAnsi="Arial"/>
                <w:sz w:val="14"/>
                <w:szCs w:val="14"/>
                <w:color w:val="auto"/>
              </w:rPr>
              <w:t>Net loss from continuing operations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(.01)</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(.36)</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(.01)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(.05)</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(9.04)</w:t>
            </w:r>
          </w:p>
        </w:tc>
      </w:tr>
      <w:tr>
        <w:trPr>
          <w:trHeight w:val="230"/>
        </w:trPr>
        <w:tc>
          <w:tcPr>
            <w:tcW w:w="3940" w:type="dxa"/>
            <w:vAlign w:val="bottom"/>
          </w:tcPr>
          <w:p>
            <w:pPr>
              <w:ind w:left="140"/>
              <w:spacing w:after="0"/>
              <w:rPr>
                <w:sz w:val="20"/>
                <w:szCs w:val="20"/>
                <w:color w:val="auto"/>
              </w:rPr>
            </w:pPr>
            <w:r>
              <w:rPr>
                <w:rFonts w:ascii="Arial" w:cs="Arial" w:eastAsia="Arial" w:hAnsi="Arial"/>
                <w:sz w:val="14"/>
                <w:szCs w:val="14"/>
                <w:color w:val="auto"/>
              </w:rPr>
              <w:t>Net earnings from discontinued operations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230"/>
        </w:trPr>
        <w:tc>
          <w:tcPr>
            <w:tcW w:w="3940" w:type="dxa"/>
            <w:vAlign w:val="bottom"/>
          </w:tcPr>
          <w:p>
            <w:pPr>
              <w:ind w:left="140"/>
              <w:spacing w:after="0"/>
              <w:rPr>
                <w:sz w:val="20"/>
                <w:szCs w:val="20"/>
                <w:color w:val="auto"/>
              </w:rPr>
            </w:pPr>
            <w:r>
              <w:rPr>
                <w:rFonts w:ascii="Arial" w:cs="Arial" w:eastAsia="Arial" w:hAnsi="Arial"/>
                <w:sz w:val="14"/>
                <w:szCs w:val="14"/>
                <w:color w:val="auto"/>
              </w:rPr>
              <w:t>Net loss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(.01)</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(.36)</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(.01)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(.05)</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(9.02)</w:t>
            </w:r>
          </w:p>
        </w:tc>
      </w:tr>
      <w:tr>
        <w:trPr>
          <w:trHeight w:val="323"/>
        </w:trPr>
        <w:tc>
          <w:tcPr>
            <w:tcW w:w="3940" w:type="dxa"/>
            <w:vAlign w:val="bottom"/>
          </w:tcPr>
          <w:p>
            <w:pPr>
              <w:ind w:left="20"/>
              <w:spacing w:after="0"/>
              <w:rPr>
                <w:sz w:val="20"/>
                <w:szCs w:val="20"/>
                <w:color w:val="auto"/>
              </w:rPr>
            </w:pPr>
            <w:r>
              <w:rPr>
                <w:rFonts w:ascii="Arial" w:cs="Arial" w:eastAsia="Arial" w:hAnsi="Arial"/>
                <w:sz w:val="14"/>
                <w:szCs w:val="14"/>
                <w:color w:val="auto"/>
              </w:rPr>
              <w:t>Diluted net earnings (loss) per common share attributable</w:t>
            </w:r>
          </w:p>
        </w:tc>
        <w:tc>
          <w:tcPr>
            <w:tcW w:w="12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0"/>
        </w:trPr>
        <w:tc>
          <w:tcPr>
            <w:tcW w:w="3940" w:type="dxa"/>
            <w:vAlign w:val="bottom"/>
          </w:tcPr>
          <w:p>
            <w:pPr>
              <w:ind w:left="20"/>
              <w:spacing w:after="0"/>
              <w:rPr>
                <w:sz w:val="20"/>
                <w:szCs w:val="20"/>
                <w:color w:val="auto"/>
              </w:rPr>
            </w:pPr>
            <w:r>
              <w:rPr>
                <w:rFonts w:ascii="Arial" w:cs="Arial" w:eastAsia="Arial" w:hAnsi="Arial"/>
                <w:sz w:val="14"/>
                <w:szCs w:val="14"/>
                <w:color w:val="auto"/>
              </w:rPr>
              <w:t>to Parent:</w:t>
            </w:r>
          </w:p>
        </w:tc>
        <w:tc>
          <w:tcPr>
            <w:tcW w:w="120" w:type="dxa"/>
            <w:vAlign w:val="bottom"/>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29"/>
        </w:trPr>
        <w:tc>
          <w:tcPr>
            <w:tcW w:w="3940" w:type="dxa"/>
            <w:vAlign w:val="bottom"/>
          </w:tcPr>
          <w:p>
            <w:pPr>
              <w:ind w:left="140"/>
              <w:spacing w:after="0"/>
              <w:rPr>
                <w:sz w:val="20"/>
                <w:szCs w:val="20"/>
                <w:color w:val="auto"/>
              </w:rPr>
            </w:pPr>
            <w:r>
              <w:rPr>
                <w:rFonts w:ascii="Arial" w:cs="Arial" w:eastAsia="Arial" w:hAnsi="Arial"/>
                <w:sz w:val="14"/>
                <w:szCs w:val="14"/>
                <w:color w:val="auto"/>
              </w:rPr>
              <w:t>Net loss from continuing operations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(.01)</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(.36)</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(.01)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(.05)</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(9.04)</w:t>
            </w:r>
          </w:p>
        </w:tc>
      </w:tr>
      <w:tr>
        <w:trPr>
          <w:trHeight w:val="230"/>
        </w:trPr>
        <w:tc>
          <w:tcPr>
            <w:tcW w:w="3940" w:type="dxa"/>
            <w:vAlign w:val="bottom"/>
          </w:tcPr>
          <w:p>
            <w:pPr>
              <w:ind w:left="140"/>
              <w:spacing w:after="0"/>
              <w:rPr>
                <w:sz w:val="20"/>
                <w:szCs w:val="20"/>
                <w:color w:val="auto"/>
              </w:rPr>
            </w:pPr>
            <w:r>
              <w:rPr>
                <w:rFonts w:ascii="Arial" w:cs="Arial" w:eastAsia="Arial" w:hAnsi="Arial"/>
                <w:sz w:val="14"/>
                <w:szCs w:val="14"/>
                <w:color w:val="auto"/>
              </w:rPr>
              <w:t>Net earnings from discontinued operations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229"/>
        </w:trPr>
        <w:tc>
          <w:tcPr>
            <w:tcW w:w="3940" w:type="dxa"/>
            <w:vAlign w:val="bottom"/>
          </w:tcPr>
          <w:p>
            <w:pPr>
              <w:ind w:left="140"/>
              <w:spacing w:after="0"/>
              <w:rPr>
                <w:sz w:val="20"/>
                <w:szCs w:val="20"/>
                <w:color w:val="auto"/>
              </w:rPr>
            </w:pPr>
            <w:r>
              <w:rPr>
                <w:rFonts w:ascii="Arial" w:cs="Arial" w:eastAsia="Arial" w:hAnsi="Arial"/>
                <w:sz w:val="14"/>
                <w:szCs w:val="14"/>
                <w:color w:val="auto"/>
              </w:rPr>
              <w:t>Net loss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(.01)</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(.36)</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(.01)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(.05)</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(9.02)</w:t>
            </w:r>
          </w:p>
        </w:tc>
      </w:tr>
      <w:tr>
        <w:trPr>
          <w:trHeight w:val="338"/>
        </w:trPr>
        <w:tc>
          <w:tcPr>
            <w:tcW w:w="3940" w:type="dxa"/>
            <w:vAlign w:val="bottom"/>
          </w:tcPr>
          <w:p>
            <w:pPr>
              <w:ind w:left="20"/>
              <w:spacing w:after="0"/>
              <w:rPr>
                <w:sz w:val="20"/>
                <w:szCs w:val="20"/>
                <w:color w:val="auto"/>
              </w:rPr>
            </w:pPr>
            <w:r>
              <w:rPr>
                <w:rFonts w:ascii="Arial" w:cs="Arial" w:eastAsia="Arial" w:hAnsi="Arial"/>
                <w:sz w:val="14"/>
                <w:szCs w:val="14"/>
                <w:color w:val="auto"/>
              </w:rPr>
              <w:t>Weighted average number of common shares outstanding:</w:t>
            </w:r>
          </w:p>
        </w:tc>
        <w:tc>
          <w:tcPr>
            <w:tcW w:w="12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30"/>
        </w:trPr>
        <w:tc>
          <w:tcPr>
            <w:tcW w:w="3940" w:type="dxa"/>
            <w:vAlign w:val="bottom"/>
          </w:tcPr>
          <w:p>
            <w:pPr>
              <w:ind w:left="140"/>
              <w:spacing w:after="0"/>
              <w:rPr>
                <w:sz w:val="20"/>
                <w:szCs w:val="20"/>
                <w:color w:val="auto"/>
              </w:rPr>
            </w:pPr>
            <w:r>
              <w:rPr>
                <w:rFonts w:ascii="Arial" w:cs="Arial" w:eastAsia="Arial" w:hAnsi="Arial"/>
                <w:sz w:val="14"/>
                <w:szCs w:val="14"/>
                <w:color w:val="auto"/>
              </w:rPr>
              <w:t>Basic</w:t>
            </w:r>
          </w:p>
        </w:tc>
        <w:tc>
          <w:tcPr>
            <w:tcW w:w="120" w:type="dxa"/>
            <w:vAlign w:val="bottom"/>
          </w:tcPr>
          <w:p>
            <w:pPr>
              <w:spacing w:after="0"/>
              <w:rPr>
                <w:sz w:val="19"/>
                <w:szCs w:val="19"/>
                <w:color w:val="auto"/>
              </w:rPr>
            </w:pPr>
          </w:p>
        </w:tc>
        <w:tc>
          <w:tcPr>
            <w:tcW w:w="110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1,098</w:t>
            </w:r>
          </w:p>
        </w:tc>
        <w:tc>
          <w:tcPr>
            <w:tcW w:w="260" w:type="dxa"/>
            <w:vAlign w:val="bottom"/>
          </w:tcPr>
          <w:p>
            <w:pPr>
              <w:spacing w:after="0"/>
              <w:rPr>
                <w:sz w:val="19"/>
                <w:szCs w:val="19"/>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675</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1,098</w:t>
            </w:r>
          </w:p>
        </w:tc>
        <w:tc>
          <w:tcPr>
            <w:tcW w:w="180" w:type="dxa"/>
            <w:vAlign w:val="bottom"/>
          </w:tcPr>
          <w:p>
            <w:pPr>
              <w:spacing w:after="0"/>
              <w:rPr>
                <w:sz w:val="19"/>
                <w:szCs w:val="19"/>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674</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663</w:t>
            </w:r>
          </w:p>
        </w:tc>
      </w:tr>
      <w:tr>
        <w:trPr>
          <w:trHeight w:val="229"/>
        </w:trPr>
        <w:tc>
          <w:tcPr>
            <w:tcW w:w="3940" w:type="dxa"/>
            <w:vAlign w:val="bottom"/>
          </w:tcPr>
          <w:p>
            <w:pPr>
              <w:ind w:left="140"/>
              <w:spacing w:after="0"/>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19"/>
                <w:szCs w:val="19"/>
                <w:color w:val="auto"/>
              </w:rPr>
            </w:pPr>
          </w:p>
        </w:tc>
        <w:tc>
          <w:tcPr>
            <w:tcW w:w="110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1,098</w:t>
            </w:r>
          </w:p>
        </w:tc>
        <w:tc>
          <w:tcPr>
            <w:tcW w:w="260" w:type="dxa"/>
            <w:vAlign w:val="bottom"/>
          </w:tcPr>
          <w:p>
            <w:pPr>
              <w:spacing w:after="0"/>
              <w:rPr>
                <w:sz w:val="19"/>
                <w:szCs w:val="19"/>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675</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1,098</w:t>
            </w:r>
          </w:p>
        </w:tc>
        <w:tc>
          <w:tcPr>
            <w:tcW w:w="180" w:type="dxa"/>
            <w:vAlign w:val="bottom"/>
          </w:tcPr>
          <w:p>
            <w:pPr>
              <w:spacing w:after="0"/>
              <w:rPr>
                <w:sz w:val="19"/>
                <w:szCs w:val="19"/>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674</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663</w:t>
            </w:r>
          </w:p>
        </w:tc>
      </w:tr>
      <w:tr>
        <w:trPr>
          <w:trHeight w:val="29"/>
        </w:trPr>
        <w:tc>
          <w:tcPr>
            <w:tcW w:w="3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097" w:right="339" w:bottom="11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240"/>
          </w:cols>
          <w:pgMar w:left="320" w:top="1097" w:right="339" w:bottom="1148" w:gutter="0" w:footer="0" w:header="0"/>
          <w:type w:val="continuous"/>
        </w:sectPr>
      </w:pPr>
    </w:p>
    <w:bookmarkStart w:id="20" w:name="page21"/>
    <w:bookmarkEnd w:id="20"/>
    <w:p>
      <w:pPr>
        <w:ind w:left="2360"/>
        <w:spacing w:after="0"/>
        <w:rPr>
          <w:sz w:val="20"/>
          <w:szCs w:val="20"/>
          <w:color w:val="auto"/>
        </w:rPr>
      </w:pPr>
      <w:r>
        <w:rPr>
          <w:rFonts w:ascii="Arial" w:cs="Arial" w:eastAsia="Arial" w:hAnsi="Arial"/>
          <w:sz w:val="22"/>
          <w:szCs w:val="22"/>
          <w:b w:val="1"/>
          <w:bCs w:val="1"/>
          <w:color w:val="auto"/>
        </w:rPr>
        <w:t>PARAMOUNT SKYDANCE CORPORATION AND SUBSIDIARIES</w:t>
      </w:r>
    </w:p>
    <w:p>
      <w:pPr>
        <w:spacing w:after="0" w:line="152"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CONSOLIDATED BALANCE SHEETS</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(Unaudited; in millions, except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7040" w:type="dxa"/>
            <w:vAlign w:val="bottom"/>
            <w:tcBorders>
              <w:top w:val="single" w:sz="8" w:color="auto"/>
            </w:tcBorders>
          </w:tcPr>
          <w:p>
            <w:pPr>
              <w:spacing w:after="0"/>
              <w:rPr>
                <w:sz w:val="23"/>
                <w:szCs w:val="23"/>
                <w:color w:val="auto"/>
              </w:rPr>
            </w:pPr>
          </w:p>
        </w:tc>
        <w:tc>
          <w:tcPr>
            <w:tcW w:w="540" w:type="dxa"/>
            <w:vAlign w:val="bottom"/>
            <w:tcBorders>
              <w:top w:val="single" w:sz="8" w:color="auto"/>
              <w:bottom w:val="single" w:sz="8" w:color="auto"/>
            </w:tcBorders>
          </w:tcPr>
          <w:p>
            <w:pPr>
              <w:spacing w:after="0"/>
              <w:rPr>
                <w:sz w:val="23"/>
                <w:szCs w:val="23"/>
                <w:color w:val="auto"/>
              </w:rPr>
            </w:pPr>
          </w:p>
        </w:tc>
        <w:tc>
          <w:tcPr>
            <w:tcW w:w="1680" w:type="dxa"/>
            <w:vAlign w:val="bottom"/>
            <w:tcBorders>
              <w:top w:val="single" w:sz="8" w:color="auto"/>
              <w:bottom w:val="single" w:sz="8" w:color="auto"/>
              <w:right w:val="single" w:sz="8" w:color="auto"/>
            </w:tcBorders>
          </w:tcPr>
          <w:p>
            <w:pPr>
              <w:jc w:val="center"/>
              <w:ind w:right="579"/>
              <w:spacing w:after="0"/>
              <w:rPr>
                <w:sz w:val="20"/>
                <w:szCs w:val="20"/>
                <w:color w:val="auto"/>
              </w:rPr>
            </w:pPr>
            <w:r>
              <w:rPr>
                <w:rFonts w:ascii="Arial" w:cs="Arial" w:eastAsia="Arial" w:hAnsi="Arial"/>
                <w:sz w:val="16"/>
                <w:szCs w:val="16"/>
                <w:b w:val="1"/>
                <w:bCs w:val="1"/>
                <w:color w:val="auto"/>
              </w:rPr>
              <w:t>Successor</w:t>
            </w:r>
          </w:p>
        </w:tc>
        <w:tc>
          <w:tcPr>
            <w:tcW w:w="192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Predecessor</w:t>
            </w:r>
          </w:p>
        </w:tc>
      </w:tr>
      <w:tr>
        <w:trPr>
          <w:trHeight w:val="233"/>
        </w:trPr>
        <w:tc>
          <w:tcPr>
            <w:tcW w:w="7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80" w:type="dxa"/>
            <w:vAlign w:val="bottom"/>
            <w:tcBorders>
              <w:right w:val="single" w:sz="8" w:color="auto"/>
            </w:tcBorders>
          </w:tcPr>
          <w:p>
            <w:pPr>
              <w:jc w:val="center"/>
              <w:ind w:right="579"/>
              <w:spacing w:after="0"/>
              <w:rPr>
                <w:sz w:val="20"/>
                <w:szCs w:val="20"/>
                <w:color w:val="auto"/>
              </w:rPr>
            </w:pPr>
            <w:r>
              <w:rPr>
                <w:rFonts w:ascii="Arial" w:cs="Arial" w:eastAsia="Arial" w:hAnsi="Arial"/>
                <w:sz w:val="16"/>
                <w:szCs w:val="16"/>
                <w:b w:val="1"/>
                <w:bCs w:val="1"/>
                <w:color w:val="auto"/>
              </w:rPr>
              <w:t>At</w:t>
            </w:r>
          </w:p>
        </w:tc>
        <w:tc>
          <w:tcPr>
            <w:tcW w:w="720" w:type="dxa"/>
            <w:vAlign w:val="bottom"/>
          </w:tcPr>
          <w:p>
            <w:pPr>
              <w:spacing w:after="0"/>
              <w:rPr>
                <w:sz w:val="20"/>
                <w:szCs w:val="20"/>
                <w:color w:val="auto"/>
              </w:rPr>
            </w:pPr>
          </w:p>
        </w:tc>
        <w:tc>
          <w:tcPr>
            <w:tcW w:w="1200" w:type="dxa"/>
            <w:vAlign w:val="bottom"/>
          </w:tcPr>
          <w:p>
            <w:pPr>
              <w:jc w:val="center"/>
              <w:ind w:right="579"/>
              <w:spacing w:after="0"/>
              <w:rPr>
                <w:sz w:val="20"/>
                <w:szCs w:val="20"/>
                <w:color w:val="auto"/>
              </w:rPr>
            </w:pPr>
            <w:r>
              <w:rPr>
                <w:rFonts w:ascii="Arial" w:cs="Arial" w:eastAsia="Arial" w:hAnsi="Arial"/>
                <w:sz w:val="16"/>
                <w:szCs w:val="16"/>
                <w:b w:val="1"/>
                <w:bCs w:val="1"/>
                <w:color w:val="auto"/>
              </w:rPr>
              <w:t>At</w:t>
            </w:r>
          </w:p>
        </w:tc>
      </w:tr>
      <w:tr>
        <w:trPr>
          <w:trHeight w:val="247"/>
        </w:trPr>
        <w:tc>
          <w:tcPr>
            <w:tcW w:w="7040" w:type="dxa"/>
            <w:vAlign w:val="bottom"/>
            <w:tcBorders>
              <w:bottom w:val="single" w:sz="8" w:color="auto"/>
            </w:tcBorders>
          </w:tcPr>
          <w:p>
            <w:pPr>
              <w:spacing w:after="0"/>
              <w:rPr>
                <w:sz w:val="21"/>
                <w:szCs w:val="21"/>
                <w:color w:val="auto"/>
              </w:rPr>
            </w:pPr>
          </w:p>
        </w:tc>
        <w:tc>
          <w:tcPr>
            <w:tcW w:w="2220" w:type="dxa"/>
            <w:vAlign w:val="bottom"/>
            <w:tcBorders>
              <w:bottom w:val="single" w:sz="8" w:color="auto"/>
              <w:right w:val="single" w:sz="8" w:color="auto"/>
            </w:tcBorders>
            <w:gridSpan w:val="2"/>
          </w:tcPr>
          <w:p>
            <w:pPr>
              <w:jc w:val="center"/>
              <w:ind w:right="39"/>
              <w:spacing w:after="0"/>
              <w:rPr>
                <w:sz w:val="20"/>
                <w:szCs w:val="20"/>
                <w:color w:val="auto"/>
              </w:rPr>
            </w:pPr>
            <w:r>
              <w:rPr>
                <w:rFonts w:ascii="Arial" w:cs="Arial" w:eastAsia="Arial" w:hAnsi="Arial"/>
                <w:sz w:val="16"/>
                <w:szCs w:val="16"/>
                <w:b w:val="1"/>
                <w:bCs w:val="1"/>
                <w:color w:val="auto"/>
              </w:rPr>
              <w:t>September 30, 2025</w:t>
            </w:r>
          </w:p>
        </w:tc>
        <w:tc>
          <w:tcPr>
            <w:tcW w:w="19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December 31, 2024</w:t>
            </w:r>
          </w:p>
        </w:tc>
      </w:tr>
      <w:tr>
        <w:trPr>
          <w:trHeight w:val="233"/>
        </w:trPr>
        <w:tc>
          <w:tcPr>
            <w:tcW w:w="704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540" w:type="dxa"/>
            <w:vAlign w:val="bottom"/>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7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35"/>
        </w:trPr>
        <w:tc>
          <w:tcPr>
            <w:tcW w:w="7040" w:type="dxa"/>
            <w:vAlign w:val="bottom"/>
          </w:tcPr>
          <w:p>
            <w:pPr>
              <w:spacing w:after="0"/>
              <w:rPr>
                <w:sz w:val="20"/>
                <w:szCs w:val="20"/>
                <w:color w:val="auto"/>
              </w:rPr>
            </w:pPr>
            <w:r>
              <w:rPr>
                <w:rFonts w:ascii="Arial" w:cs="Arial" w:eastAsia="Arial" w:hAnsi="Arial"/>
                <w:sz w:val="16"/>
                <w:szCs w:val="16"/>
                <w:color w:val="auto"/>
              </w:rPr>
              <w:t>Current Assets:</w:t>
            </w:r>
          </w:p>
        </w:tc>
        <w:tc>
          <w:tcPr>
            <w:tcW w:w="540" w:type="dxa"/>
            <w:vAlign w:val="bottom"/>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7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43"/>
        </w:trPr>
        <w:tc>
          <w:tcPr>
            <w:tcW w:w="704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80" w:type="dxa"/>
            <w:vAlign w:val="bottom"/>
            <w:tcBorders>
              <w:right w:val="single" w:sz="8" w:color="auto"/>
            </w:tcBorders>
          </w:tcPr>
          <w:p>
            <w:pPr>
              <w:jc w:val="right"/>
              <w:ind w:right="439"/>
              <w:spacing w:after="0"/>
              <w:rPr>
                <w:sz w:val="20"/>
                <w:szCs w:val="20"/>
                <w:color w:val="auto"/>
              </w:rPr>
            </w:pPr>
            <w:r>
              <w:rPr>
                <w:rFonts w:ascii="Arial" w:cs="Arial" w:eastAsia="Arial" w:hAnsi="Arial"/>
                <w:sz w:val="16"/>
                <w:szCs w:val="16"/>
                <w:color w:val="auto"/>
              </w:rPr>
              <w:t>3,263</w:t>
            </w:r>
          </w:p>
        </w:tc>
        <w:tc>
          <w:tcPr>
            <w:tcW w:w="7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2,661</w:t>
            </w:r>
          </w:p>
        </w:tc>
      </w:tr>
      <w:tr>
        <w:trPr>
          <w:trHeight w:val="243"/>
        </w:trPr>
        <w:tc>
          <w:tcPr>
            <w:tcW w:w="7040" w:type="dxa"/>
            <w:vAlign w:val="bottom"/>
          </w:tcPr>
          <w:p>
            <w:pPr>
              <w:ind w:left="120"/>
              <w:spacing w:after="0"/>
              <w:rPr>
                <w:sz w:val="20"/>
                <w:szCs w:val="20"/>
                <w:color w:val="auto"/>
              </w:rPr>
            </w:pPr>
            <w:r>
              <w:rPr>
                <w:rFonts w:ascii="Arial" w:cs="Arial" w:eastAsia="Arial" w:hAnsi="Arial"/>
                <w:sz w:val="16"/>
                <w:szCs w:val="16"/>
                <w:color w:val="auto"/>
              </w:rPr>
              <w:t>Receivables, net</w:t>
            </w:r>
          </w:p>
        </w:tc>
        <w:tc>
          <w:tcPr>
            <w:tcW w:w="540" w:type="dxa"/>
            <w:vAlign w:val="bottom"/>
          </w:tcPr>
          <w:p>
            <w:pPr>
              <w:spacing w:after="0"/>
              <w:rPr>
                <w:sz w:val="21"/>
                <w:szCs w:val="21"/>
                <w:color w:val="auto"/>
              </w:rPr>
            </w:pPr>
          </w:p>
        </w:tc>
        <w:tc>
          <w:tcPr>
            <w:tcW w:w="1680" w:type="dxa"/>
            <w:vAlign w:val="bottom"/>
            <w:tcBorders>
              <w:right w:val="single" w:sz="8" w:color="auto"/>
            </w:tcBorders>
          </w:tcPr>
          <w:p>
            <w:pPr>
              <w:jc w:val="right"/>
              <w:ind w:right="439"/>
              <w:spacing w:after="0"/>
              <w:rPr>
                <w:sz w:val="20"/>
                <w:szCs w:val="20"/>
                <w:color w:val="auto"/>
              </w:rPr>
            </w:pPr>
            <w:r>
              <w:rPr>
                <w:rFonts w:ascii="Arial" w:cs="Arial" w:eastAsia="Arial" w:hAnsi="Arial"/>
                <w:sz w:val="16"/>
                <w:szCs w:val="16"/>
                <w:color w:val="auto"/>
              </w:rPr>
              <w:t>6,302</w:t>
            </w:r>
          </w:p>
        </w:tc>
        <w:tc>
          <w:tcPr>
            <w:tcW w:w="720" w:type="dxa"/>
            <w:vAlign w:val="bottom"/>
          </w:tcPr>
          <w:p>
            <w:pPr>
              <w:spacing w:after="0"/>
              <w:rPr>
                <w:sz w:val="21"/>
                <w:szCs w:val="21"/>
                <w:color w:val="auto"/>
              </w:rPr>
            </w:pP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6,920</w:t>
            </w:r>
          </w:p>
        </w:tc>
      </w:tr>
      <w:tr>
        <w:trPr>
          <w:trHeight w:val="243"/>
        </w:trPr>
        <w:tc>
          <w:tcPr>
            <w:tcW w:w="7040" w:type="dxa"/>
            <w:vAlign w:val="bottom"/>
          </w:tcPr>
          <w:p>
            <w:pPr>
              <w:ind w:left="120"/>
              <w:spacing w:after="0"/>
              <w:rPr>
                <w:sz w:val="20"/>
                <w:szCs w:val="20"/>
                <w:color w:val="auto"/>
              </w:rPr>
            </w:pPr>
            <w:r>
              <w:rPr>
                <w:rFonts w:ascii="Arial" w:cs="Arial" w:eastAsia="Arial" w:hAnsi="Arial"/>
                <w:sz w:val="16"/>
                <w:szCs w:val="16"/>
                <w:color w:val="auto"/>
              </w:rPr>
              <w:t>Programming and other inventory</w:t>
            </w:r>
          </w:p>
        </w:tc>
        <w:tc>
          <w:tcPr>
            <w:tcW w:w="540" w:type="dxa"/>
            <w:vAlign w:val="bottom"/>
          </w:tcPr>
          <w:p>
            <w:pPr>
              <w:spacing w:after="0"/>
              <w:rPr>
                <w:sz w:val="21"/>
                <w:szCs w:val="21"/>
                <w:color w:val="auto"/>
              </w:rPr>
            </w:pPr>
          </w:p>
        </w:tc>
        <w:tc>
          <w:tcPr>
            <w:tcW w:w="1680" w:type="dxa"/>
            <w:vAlign w:val="bottom"/>
            <w:tcBorders>
              <w:right w:val="single" w:sz="8" w:color="auto"/>
            </w:tcBorders>
          </w:tcPr>
          <w:p>
            <w:pPr>
              <w:jc w:val="right"/>
              <w:ind w:right="439"/>
              <w:spacing w:after="0"/>
              <w:rPr>
                <w:sz w:val="20"/>
                <w:szCs w:val="20"/>
                <w:color w:val="auto"/>
              </w:rPr>
            </w:pPr>
            <w:r>
              <w:rPr>
                <w:rFonts w:ascii="Arial" w:cs="Arial" w:eastAsia="Arial" w:hAnsi="Arial"/>
                <w:sz w:val="16"/>
                <w:szCs w:val="16"/>
                <w:color w:val="auto"/>
              </w:rPr>
              <w:t>1,776</w:t>
            </w:r>
          </w:p>
        </w:tc>
        <w:tc>
          <w:tcPr>
            <w:tcW w:w="720" w:type="dxa"/>
            <w:vAlign w:val="bottom"/>
          </w:tcPr>
          <w:p>
            <w:pPr>
              <w:spacing w:after="0"/>
              <w:rPr>
                <w:sz w:val="21"/>
                <w:szCs w:val="21"/>
                <w:color w:val="auto"/>
              </w:rPr>
            </w:pP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1,429</w:t>
            </w:r>
          </w:p>
        </w:tc>
      </w:tr>
      <w:tr>
        <w:trPr>
          <w:trHeight w:val="252"/>
        </w:trPr>
        <w:tc>
          <w:tcPr>
            <w:tcW w:w="70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540" w:type="dxa"/>
            <w:vAlign w:val="bottom"/>
            <w:tcBorders>
              <w:bottom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jc w:val="right"/>
              <w:ind w:right="439"/>
              <w:spacing w:after="0"/>
              <w:rPr>
                <w:sz w:val="20"/>
                <w:szCs w:val="20"/>
                <w:color w:val="auto"/>
              </w:rPr>
            </w:pPr>
            <w:r>
              <w:rPr>
                <w:rFonts w:ascii="Arial" w:cs="Arial" w:eastAsia="Arial" w:hAnsi="Arial"/>
                <w:sz w:val="16"/>
                <w:szCs w:val="16"/>
                <w:color w:val="auto"/>
              </w:rPr>
              <w:t>1,861</w:t>
            </w:r>
          </w:p>
        </w:tc>
        <w:tc>
          <w:tcPr>
            <w:tcW w:w="7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1,532</w:t>
            </w:r>
          </w:p>
        </w:tc>
      </w:tr>
      <w:tr>
        <w:trPr>
          <w:trHeight w:val="237"/>
        </w:trPr>
        <w:tc>
          <w:tcPr>
            <w:tcW w:w="704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Total current assets</w:t>
            </w:r>
          </w:p>
        </w:tc>
        <w:tc>
          <w:tcPr>
            <w:tcW w:w="540" w:type="dxa"/>
            <w:vAlign w:val="bottom"/>
            <w:tcBorders>
              <w:bottom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jc w:val="right"/>
              <w:ind w:right="439"/>
              <w:spacing w:after="0"/>
              <w:rPr>
                <w:sz w:val="20"/>
                <w:szCs w:val="20"/>
                <w:color w:val="auto"/>
              </w:rPr>
            </w:pPr>
            <w:r>
              <w:rPr>
                <w:rFonts w:ascii="Arial" w:cs="Arial" w:eastAsia="Arial" w:hAnsi="Arial"/>
                <w:sz w:val="16"/>
                <w:szCs w:val="16"/>
                <w:color w:val="auto"/>
              </w:rPr>
              <w:t>13,202</w:t>
            </w:r>
          </w:p>
        </w:tc>
        <w:tc>
          <w:tcPr>
            <w:tcW w:w="7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12,542</w:t>
            </w:r>
          </w:p>
        </w:tc>
      </w:tr>
      <w:tr>
        <w:trPr>
          <w:trHeight w:val="227"/>
        </w:trPr>
        <w:tc>
          <w:tcPr>
            <w:tcW w:w="704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540" w:type="dxa"/>
            <w:vAlign w:val="bottom"/>
          </w:tcPr>
          <w:p>
            <w:pPr>
              <w:spacing w:after="0"/>
              <w:rPr>
                <w:sz w:val="19"/>
                <w:szCs w:val="19"/>
                <w:color w:val="auto"/>
              </w:rPr>
            </w:pPr>
          </w:p>
        </w:tc>
        <w:tc>
          <w:tcPr>
            <w:tcW w:w="1680" w:type="dxa"/>
            <w:vAlign w:val="bottom"/>
            <w:tcBorders>
              <w:right w:val="single" w:sz="8" w:color="auto"/>
            </w:tcBorders>
          </w:tcPr>
          <w:p>
            <w:pPr>
              <w:jc w:val="right"/>
              <w:ind w:right="439"/>
              <w:spacing w:after="0"/>
              <w:rPr>
                <w:sz w:val="20"/>
                <w:szCs w:val="20"/>
                <w:color w:val="auto"/>
              </w:rPr>
            </w:pPr>
            <w:r>
              <w:rPr>
                <w:rFonts w:ascii="Arial" w:cs="Arial" w:eastAsia="Arial" w:hAnsi="Arial"/>
                <w:sz w:val="16"/>
                <w:szCs w:val="16"/>
                <w:color w:val="auto"/>
              </w:rPr>
              <w:t>2,170</w:t>
            </w:r>
          </w:p>
        </w:tc>
        <w:tc>
          <w:tcPr>
            <w:tcW w:w="720" w:type="dxa"/>
            <w:vAlign w:val="bottom"/>
          </w:tcPr>
          <w:p>
            <w:pPr>
              <w:spacing w:after="0"/>
              <w:rPr>
                <w:sz w:val="19"/>
                <w:szCs w:val="19"/>
                <w:color w:val="auto"/>
              </w:rPr>
            </w:pP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1,566</w:t>
            </w:r>
          </w:p>
        </w:tc>
      </w:tr>
      <w:tr>
        <w:trPr>
          <w:trHeight w:val="243"/>
        </w:trPr>
        <w:tc>
          <w:tcPr>
            <w:tcW w:w="7040" w:type="dxa"/>
            <w:vAlign w:val="bottom"/>
          </w:tcPr>
          <w:p>
            <w:pPr>
              <w:spacing w:after="0"/>
              <w:rPr>
                <w:sz w:val="20"/>
                <w:szCs w:val="20"/>
                <w:color w:val="auto"/>
              </w:rPr>
            </w:pPr>
            <w:r>
              <w:rPr>
                <w:rFonts w:ascii="Arial" w:cs="Arial" w:eastAsia="Arial" w:hAnsi="Arial"/>
                <w:sz w:val="16"/>
                <w:szCs w:val="16"/>
                <w:color w:val="auto"/>
              </w:rPr>
              <w:t>Programming and other inventory</w:t>
            </w:r>
          </w:p>
        </w:tc>
        <w:tc>
          <w:tcPr>
            <w:tcW w:w="540" w:type="dxa"/>
            <w:vAlign w:val="bottom"/>
          </w:tcPr>
          <w:p>
            <w:pPr>
              <w:spacing w:after="0"/>
              <w:rPr>
                <w:sz w:val="21"/>
                <w:szCs w:val="21"/>
                <w:color w:val="auto"/>
              </w:rPr>
            </w:pPr>
          </w:p>
        </w:tc>
        <w:tc>
          <w:tcPr>
            <w:tcW w:w="1680" w:type="dxa"/>
            <w:vAlign w:val="bottom"/>
            <w:tcBorders>
              <w:right w:val="single" w:sz="8" w:color="auto"/>
            </w:tcBorders>
          </w:tcPr>
          <w:p>
            <w:pPr>
              <w:jc w:val="right"/>
              <w:ind w:right="439"/>
              <w:spacing w:after="0"/>
              <w:rPr>
                <w:sz w:val="20"/>
                <w:szCs w:val="20"/>
                <w:color w:val="auto"/>
              </w:rPr>
            </w:pPr>
            <w:r>
              <w:rPr>
                <w:rFonts w:ascii="Arial" w:cs="Arial" w:eastAsia="Arial" w:hAnsi="Arial"/>
                <w:sz w:val="16"/>
                <w:szCs w:val="16"/>
                <w:color w:val="auto"/>
              </w:rPr>
              <w:t>15,449</w:t>
            </w:r>
          </w:p>
        </w:tc>
        <w:tc>
          <w:tcPr>
            <w:tcW w:w="720" w:type="dxa"/>
            <w:vAlign w:val="bottom"/>
          </w:tcPr>
          <w:p>
            <w:pPr>
              <w:spacing w:after="0"/>
              <w:rPr>
                <w:sz w:val="21"/>
                <w:szCs w:val="21"/>
                <w:color w:val="auto"/>
              </w:rPr>
            </w:pP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13,924</w:t>
            </w:r>
          </w:p>
        </w:tc>
      </w:tr>
      <w:tr>
        <w:trPr>
          <w:trHeight w:val="243"/>
        </w:trPr>
        <w:tc>
          <w:tcPr>
            <w:tcW w:w="7040" w:type="dxa"/>
            <w:vAlign w:val="bottom"/>
          </w:tcPr>
          <w:p>
            <w:pPr>
              <w:spacing w:after="0"/>
              <w:rPr>
                <w:sz w:val="20"/>
                <w:szCs w:val="20"/>
                <w:color w:val="auto"/>
              </w:rPr>
            </w:pPr>
            <w:r>
              <w:rPr>
                <w:rFonts w:ascii="Arial" w:cs="Arial" w:eastAsia="Arial" w:hAnsi="Arial"/>
                <w:sz w:val="16"/>
                <w:szCs w:val="16"/>
                <w:color w:val="auto"/>
              </w:rPr>
              <w:t>Goodwill</w:t>
            </w:r>
          </w:p>
        </w:tc>
        <w:tc>
          <w:tcPr>
            <w:tcW w:w="540" w:type="dxa"/>
            <w:vAlign w:val="bottom"/>
          </w:tcPr>
          <w:p>
            <w:pPr>
              <w:spacing w:after="0"/>
              <w:rPr>
                <w:sz w:val="21"/>
                <w:szCs w:val="21"/>
                <w:color w:val="auto"/>
              </w:rPr>
            </w:pPr>
          </w:p>
        </w:tc>
        <w:tc>
          <w:tcPr>
            <w:tcW w:w="1680" w:type="dxa"/>
            <w:vAlign w:val="bottom"/>
            <w:tcBorders>
              <w:right w:val="single" w:sz="8" w:color="auto"/>
            </w:tcBorders>
          </w:tcPr>
          <w:p>
            <w:pPr>
              <w:jc w:val="right"/>
              <w:ind w:right="439"/>
              <w:spacing w:after="0"/>
              <w:rPr>
                <w:sz w:val="20"/>
                <w:szCs w:val="20"/>
                <w:color w:val="auto"/>
              </w:rPr>
            </w:pPr>
            <w:r>
              <w:rPr>
                <w:rFonts w:ascii="Arial" w:cs="Arial" w:eastAsia="Arial" w:hAnsi="Arial"/>
                <w:sz w:val="16"/>
                <w:szCs w:val="16"/>
                <w:color w:val="auto"/>
              </w:rPr>
              <w:t>984</w:t>
            </w:r>
          </w:p>
        </w:tc>
        <w:tc>
          <w:tcPr>
            <w:tcW w:w="720" w:type="dxa"/>
            <w:vAlign w:val="bottom"/>
          </w:tcPr>
          <w:p>
            <w:pPr>
              <w:spacing w:after="0"/>
              <w:rPr>
                <w:sz w:val="21"/>
                <w:szCs w:val="21"/>
                <w:color w:val="auto"/>
              </w:rPr>
            </w:pP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10,508</w:t>
            </w:r>
          </w:p>
        </w:tc>
      </w:tr>
      <w:tr>
        <w:trPr>
          <w:trHeight w:val="243"/>
        </w:trPr>
        <w:tc>
          <w:tcPr>
            <w:tcW w:w="7040" w:type="dxa"/>
            <w:vAlign w:val="bottom"/>
          </w:tcPr>
          <w:p>
            <w:pPr>
              <w:spacing w:after="0"/>
              <w:rPr>
                <w:sz w:val="20"/>
                <w:szCs w:val="20"/>
                <w:color w:val="auto"/>
              </w:rPr>
            </w:pPr>
            <w:r>
              <w:rPr>
                <w:rFonts w:ascii="Arial" w:cs="Arial" w:eastAsia="Arial" w:hAnsi="Arial"/>
                <w:sz w:val="16"/>
                <w:szCs w:val="16"/>
                <w:color w:val="auto"/>
              </w:rPr>
              <w:t>Intangible assets, net</w:t>
            </w:r>
          </w:p>
        </w:tc>
        <w:tc>
          <w:tcPr>
            <w:tcW w:w="540" w:type="dxa"/>
            <w:vAlign w:val="bottom"/>
          </w:tcPr>
          <w:p>
            <w:pPr>
              <w:spacing w:after="0"/>
              <w:rPr>
                <w:sz w:val="21"/>
                <w:szCs w:val="21"/>
                <w:color w:val="auto"/>
              </w:rPr>
            </w:pPr>
          </w:p>
        </w:tc>
        <w:tc>
          <w:tcPr>
            <w:tcW w:w="1680" w:type="dxa"/>
            <w:vAlign w:val="bottom"/>
            <w:tcBorders>
              <w:right w:val="single" w:sz="8" w:color="auto"/>
            </w:tcBorders>
          </w:tcPr>
          <w:p>
            <w:pPr>
              <w:jc w:val="right"/>
              <w:ind w:right="439"/>
              <w:spacing w:after="0"/>
              <w:rPr>
                <w:sz w:val="20"/>
                <w:szCs w:val="20"/>
                <w:color w:val="auto"/>
              </w:rPr>
            </w:pPr>
            <w:r>
              <w:rPr>
                <w:rFonts w:ascii="Arial" w:cs="Arial" w:eastAsia="Arial" w:hAnsi="Arial"/>
                <w:sz w:val="16"/>
                <w:szCs w:val="16"/>
                <w:color w:val="auto"/>
              </w:rPr>
              <w:t>6,566</w:t>
            </w:r>
          </w:p>
        </w:tc>
        <w:tc>
          <w:tcPr>
            <w:tcW w:w="720" w:type="dxa"/>
            <w:vAlign w:val="bottom"/>
          </w:tcPr>
          <w:p>
            <w:pPr>
              <w:spacing w:after="0"/>
              <w:rPr>
                <w:sz w:val="21"/>
                <w:szCs w:val="21"/>
                <w:color w:val="auto"/>
              </w:rPr>
            </w:pP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2,406</w:t>
            </w:r>
          </w:p>
        </w:tc>
      </w:tr>
      <w:tr>
        <w:trPr>
          <w:trHeight w:val="243"/>
        </w:trPr>
        <w:tc>
          <w:tcPr>
            <w:tcW w:w="7040" w:type="dxa"/>
            <w:vAlign w:val="bottom"/>
          </w:tcPr>
          <w:p>
            <w:pPr>
              <w:spacing w:after="0"/>
              <w:rPr>
                <w:sz w:val="20"/>
                <w:szCs w:val="20"/>
                <w:color w:val="auto"/>
              </w:rPr>
            </w:pPr>
            <w:r>
              <w:rPr>
                <w:rFonts w:ascii="Arial" w:cs="Arial" w:eastAsia="Arial" w:hAnsi="Arial"/>
                <w:sz w:val="16"/>
                <w:szCs w:val="16"/>
                <w:color w:val="auto"/>
              </w:rPr>
              <w:t>Operating lease assets</w:t>
            </w:r>
          </w:p>
        </w:tc>
        <w:tc>
          <w:tcPr>
            <w:tcW w:w="540" w:type="dxa"/>
            <w:vAlign w:val="bottom"/>
          </w:tcPr>
          <w:p>
            <w:pPr>
              <w:spacing w:after="0"/>
              <w:rPr>
                <w:sz w:val="21"/>
                <w:szCs w:val="21"/>
                <w:color w:val="auto"/>
              </w:rPr>
            </w:pPr>
          </w:p>
        </w:tc>
        <w:tc>
          <w:tcPr>
            <w:tcW w:w="1680" w:type="dxa"/>
            <w:vAlign w:val="bottom"/>
            <w:tcBorders>
              <w:right w:val="single" w:sz="8" w:color="auto"/>
            </w:tcBorders>
          </w:tcPr>
          <w:p>
            <w:pPr>
              <w:jc w:val="right"/>
              <w:ind w:right="439"/>
              <w:spacing w:after="0"/>
              <w:rPr>
                <w:sz w:val="20"/>
                <w:szCs w:val="20"/>
                <w:color w:val="auto"/>
              </w:rPr>
            </w:pPr>
            <w:r>
              <w:rPr>
                <w:rFonts w:ascii="Arial" w:cs="Arial" w:eastAsia="Arial" w:hAnsi="Arial"/>
                <w:sz w:val="16"/>
                <w:szCs w:val="16"/>
                <w:color w:val="auto"/>
              </w:rPr>
              <w:t>1,026</w:t>
            </w:r>
          </w:p>
        </w:tc>
        <w:tc>
          <w:tcPr>
            <w:tcW w:w="720" w:type="dxa"/>
            <w:vAlign w:val="bottom"/>
          </w:tcPr>
          <w:p>
            <w:pPr>
              <w:spacing w:after="0"/>
              <w:rPr>
                <w:sz w:val="21"/>
                <w:szCs w:val="21"/>
                <w:color w:val="auto"/>
              </w:rPr>
            </w:pP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1,012</w:t>
            </w:r>
          </w:p>
        </w:tc>
      </w:tr>
      <w:tr>
        <w:trPr>
          <w:trHeight w:val="243"/>
        </w:trPr>
        <w:tc>
          <w:tcPr>
            <w:tcW w:w="7040" w:type="dxa"/>
            <w:vAlign w:val="bottom"/>
          </w:tcPr>
          <w:p>
            <w:pPr>
              <w:spacing w:after="0"/>
              <w:rPr>
                <w:sz w:val="20"/>
                <w:szCs w:val="20"/>
                <w:color w:val="auto"/>
              </w:rPr>
            </w:pPr>
            <w:r>
              <w:rPr>
                <w:rFonts w:ascii="Arial" w:cs="Arial" w:eastAsia="Arial" w:hAnsi="Arial"/>
                <w:sz w:val="16"/>
                <w:szCs w:val="16"/>
                <w:color w:val="auto"/>
              </w:rPr>
              <w:t>Deferred income tax assets, net</w:t>
            </w:r>
          </w:p>
        </w:tc>
        <w:tc>
          <w:tcPr>
            <w:tcW w:w="540" w:type="dxa"/>
            <w:vAlign w:val="bottom"/>
          </w:tcPr>
          <w:p>
            <w:pPr>
              <w:spacing w:after="0"/>
              <w:rPr>
                <w:sz w:val="21"/>
                <w:szCs w:val="21"/>
                <w:color w:val="auto"/>
              </w:rPr>
            </w:pPr>
          </w:p>
        </w:tc>
        <w:tc>
          <w:tcPr>
            <w:tcW w:w="1680" w:type="dxa"/>
            <w:vAlign w:val="bottom"/>
            <w:tcBorders>
              <w:right w:val="single" w:sz="8" w:color="auto"/>
            </w:tcBorders>
          </w:tcPr>
          <w:p>
            <w:pPr>
              <w:jc w:val="right"/>
              <w:ind w:right="439"/>
              <w:spacing w:after="0"/>
              <w:rPr>
                <w:sz w:val="20"/>
                <w:szCs w:val="20"/>
                <w:color w:val="auto"/>
              </w:rPr>
            </w:pPr>
            <w:r>
              <w:rPr>
                <w:rFonts w:ascii="Arial" w:cs="Arial" w:eastAsia="Arial" w:hAnsi="Arial"/>
                <w:sz w:val="16"/>
                <w:szCs w:val="16"/>
                <w:color w:val="auto"/>
              </w:rPr>
              <w:t>1,200</w:t>
            </w:r>
          </w:p>
        </w:tc>
        <w:tc>
          <w:tcPr>
            <w:tcW w:w="720" w:type="dxa"/>
            <w:vAlign w:val="bottom"/>
          </w:tcPr>
          <w:p>
            <w:pPr>
              <w:spacing w:after="0"/>
              <w:rPr>
                <w:sz w:val="21"/>
                <w:szCs w:val="21"/>
                <w:color w:val="auto"/>
              </w:rPr>
            </w:pP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1,386</w:t>
            </w:r>
          </w:p>
        </w:tc>
      </w:tr>
      <w:tr>
        <w:trPr>
          <w:trHeight w:val="252"/>
        </w:trPr>
        <w:tc>
          <w:tcPr>
            <w:tcW w:w="70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assets</w:t>
            </w:r>
          </w:p>
        </w:tc>
        <w:tc>
          <w:tcPr>
            <w:tcW w:w="540" w:type="dxa"/>
            <w:vAlign w:val="bottom"/>
            <w:tcBorders>
              <w:bottom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jc w:val="right"/>
              <w:ind w:right="439"/>
              <w:spacing w:after="0"/>
              <w:rPr>
                <w:sz w:val="20"/>
                <w:szCs w:val="20"/>
                <w:color w:val="auto"/>
              </w:rPr>
            </w:pPr>
            <w:r>
              <w:rPr>
                <w:rFonts w:ascii="Arial" w:cs="Arial" w:eastAsia="Arial" w:hAnsi="Arial"/>
                <w:sz w:val="16"/>
                <w:szCs w:val="16"/>
                <w:color w:val="auto"/>
              </w:rPr>
              <w:t>2,584</w:t>
            </w:r>
          </w:p>
        </w:tc>
        <w:tc>
          <w:tcPr>
            <w:tcW w:w="7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2,828</w:t>
            </w:r>
          </w:p>
        </w:tc>
      </w:tr>
      <w:tr>
        <w:trPr>
          <w:trHeight w:val="250"/>
        </w:trPr>
        <w:tc>
          <w:tcPr>
            <w:tcW w:w="70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Assets</w:t>
            </w: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right w:val="single" w:sz="8" w:color="auto"/>
            </w:tcBorders>
          </w:tcPr>
          <w:p>
            <w:pPr>
              <w:jc w:val="right"/>
              <w:ind w:right="439"/>
              <w:spacing w:after="0"/>
              <w:rPr>
                <w:sz w:val="20"/>
                <w:szCs w:val="20"/>
                <w:color w:val="auto"/>
              </w:rPr>
            </w:pPr>
            <w:r>
              <w:rPr>
                <w:rFonts w:ascii="Arial" w:cs="Arial" w:eastAsia="Arial" w:hAnsi="Arial"/>
                <w:sz w:val="16"/>
                <w:szCs w:val="16"/>
                <w:color w:val="auto"/>
              </w:rPr>
              <w:t>43,181</w:t>
            </w:r>
          </w:p>
        </w:tc>
        <w:tc>
          <w:tcPr>
            <w:tcW w:w="7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46,172</w:t>
            </w:r>
          </w:p>
        </w:tc>
      </w:tr>
      <w:tr>
        <w:trPr>
          <w:trHeight w:val="235"/>
        </w:trPr>
        <w:tc>
          <w:tcPr>
            <w:tcW w:w="7040" w:type="dxa"/>
            <w:vAlign w:val="bottom"/>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540" w:type="dxa"/>
            <w:vAlign w:val="bottom"/>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7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35"/>
        </w:trPr>
        <w:tc>
          <w:tcPr>
            <w:tcW w:w="7040" w:type="dxa"/>
            <w:vAlign w:val="bottom"/>
          </w:tcPr>
          <w:p>
            <w:pPr>
              <w:spacing w:after="0"/>
              <w:rPr>
                <w:sz w:val="20"/>
                <w:szCs w:val="20"/>
                <w:color w:val="auto"/>
              </w:rPr>
            </w:pPr>
            <w:r>
              <w:rPr>
                <w:rFonts w:ascii="Arial" w:cs="Arial" w:eastAsia="Arial" w:hAnsi="Arial"/>
                <w:sz w:val="16"/>
                <w:szCs w:val="16"/>
                <w:color w:val="auto"/>
              </w:rPr>
              <w:t>Current Liabilities:</w:t>
            </w:r>
          </w:p>
        </w:tc>
        <w:tc>
          <w:tcPr>
            <w:tcW w:w="540" w:type="dxa"/>
            <w:vAlign w:val="bottom"/>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7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43"/>
        </w:trPr>
        <w:tc>
          <w:tcPr>
            <w:tcW w:w="704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80" w:type="dxa"/>
            <w:vAlign w:val="bottom"/>
            <w:tcBorders>
              <w:right w:val="single" w:sz="8" w:color="auto"/>
            </w:tcBorders>
          </w:tcPr>
          <w:p>
            <w:pPr>
              <w:jc w:val="right"/>
              <w:ind w:right="439"/>
              <w:spacing w:after="0"/>
              <w:rPr>
                <w:sz w:val="20"/>
                <w:szCs w:val="20"/>
                <w:color w:val="auto"/>
              </w:rPr>
            </w:pPr>
            <w:r>
              <w:rPr>
                <w:rFonts w:ascii="Arial" w:cs="Arial" w:eastAsia="Arial" w:hAnsi="Arial"/>
                <w:sz w:val="16"/>
                <w:szCs w:val="16"/>
                <w:color w:val="auto"/>
              </w:rPr>
              <w:t>689</w:t>
            </w:r>
          </w:p>
        </w:tc>
        <w:tc>
          <w:tcPr>
            <w:tcW w:w="7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953</w:t>
            </w:r>
          </w:p>
        </w:tc>
      </w:tr>
      <w:tr>
        <w:trPr>
          <w:trHeight w:val="243"/>
        </w:trPr>
        <w:tc>
          <w:tcPr>
            <w:tcW w:w="7040" w:type="dxa"/>
            <w:vAlign w:val="bottom"/>
          </w:tcPr>
          <w:p>
            <w:pPr>
              <w:ind w:left="120"/>
              <w:spacing w:after="0"/>
              <w:rPr>
                <w:sz w:val="20"/>
                <w:szCs w:val="20"/>
                <w:color w:val="auto"/>
              </w:rPr>
            </w:pPr>
            <w:r>
              <w:rPr>
                <w:rFonts w:ascii="Arial" w:cs="Arial" w:eastAsia="Arial" w:hAnsi="Arial"/>
                <w:sz w:val="16"/>
                <w:szCs w:val="16"/>
                <w:color w:val="auto"/>
              </w:rPr>
              <w:t>Accrued expenses</w:t>
            </w:r>
          </w:p>
        </w:tc>
        <w:tc>
          <w:tcPr>
            <w:tcW w:w="540" w:type="dxa"/>
            <w:vAlign w:val="bottom"/>
          </w:tcPr>
          <w:p>
            <w:pPr>
              <w:spacing w:after="0"/>
              <w:rPr>
                <w:sz w:val="21"/>
                <w:szCs w:val="21"/>
                <w:color w:val="auto"/>
              </w:rPr>
            </w:pPr>
          </w:p>
        </w:tc>
        <w:tc>
          <w:tcPr>
            <w:tcW w:w="1680" w:type="dxa"/>
            <w:vAlign w:val="bottom"/>
            <w:tcBorders>
              <w:right w:val="single" w:sz="8" w:color="auto"/>
            </w:tcBorders>
          </w:tcPr>
          <w:p>
            <w:pPr>
              <w:jc w:val="right"/>
              <w:ind w:right="439"/>
              <w:spacing w:after="0"/>
              <w:rPr>
                <w:sz w:val="20"/>
                <w:szCs w:val="20"/>
                <w:color w:val="auto"/>
              </w:rPr>
            </w:pPr>
            <w:r>
              <w:rPr>
                <w:rFonts w:ascii="Arial" w:cs="Arial" w:eastAsia="Arial" w:hAnsi="Arial"/>
                <w:sz w:val="16"/>
                <w:szCs w:val="16"/>
                <w:color w:val="auto"/>
              </w:rPr>
              <w:t>1,817</w:t>
            </w:r>
          </w:p>
        </w:tc>
        <w:tc>
          <w:tcPr>
            <w:tcW w:w="720" w:type="dxa"/>
            <w:vAlign w:val="bottom"/>
          </w:tcPr>
          <w:p>
            <w:pPr>
              <w:spacing w:after="0"/>
              <w:rPr>
                <w:sz w:val="21"/>
                <w:szCs w:val="21"/>
                <w:color w:val="auto"/>
              </w:rPr>
            </w:pP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2,199</w:t>
            </w:r>
          </w:p>
        </w:tc>
      </w:tr>
      <w:tr>
        <w:trPr>
          <w:trHeight w:val="243"/>
        </w:trPr>
        <w:tc>
          <w:tcPr>
            <w:tcW w:w="7040" w:type="dxa"/>
            <w:vAlign w:val="bottom"/>
          </w:tcPr>
          <w:p>
            <w:pPr>
              <w:ind w:left="120"/>
              <w:spacing w:after="0"/>
              <w:rPr>
                <w:sz w:val="20"/>
                <w:szCs w:val="20"/>
                <w:color w:val="auto"/>
              </w:rPr>
            </w:pPr>
            <w:r>
              <w:rPr>
                <w:rFonts w:ascii="Arial" w:cs="Arial" w:eastAsia="Arial" w:hAnsi="Arial"/>
                <w:sz w:val="16"/>
                <w:szCs w:val="16"/>
                <w:color w:val="auto"/>
              </w:rPr>
              <w:t>Participants’ share and royalties payable</w:t>
            </w:r>
          </w:p>
        </w:tc>
        <w:tc>
          <w:tcPr>
            <w:tcW w:w="540" w:type="dxa"/>
            <w:vAlign w:val="bottom"/>
          </w:tcPr>
          <w:p>
            <w:pPr>
              <w:spacing w:after="0"/>
              <w:rPr>
                <w:sz w:val="21"/>
                <w:szCs w:val="21"/>
                <w:color w:val="auto"/>
              </w:rPr>
            </w:pPr>
          </w:p>
        </w:tc>
        <w:tc>
          <w:tcPr>
            <w:tcW w:w="1680" w:type="dxa"/>
            <w:vAlign w:val="bottom"/>
            <w:tcBorders>
              <w:right w:val="single" w:sz="8" w:color="auto"/>
            </w:tcBorders>
          </w:tcPr>
          <w:p>
            <w:pPr>
              <w:jc w:val="right"/>
              <w:ind w:right="439"/>
              <w:spacing w:after="0"/>
              <w:rPr>
                <w:sz w:val="20"/>
                <w:szCs w:val="20"/>
                <w:color w:val="auto"/>
              </w:rPr>
            </w:pPr>
            <w:r>
              <w:rPr>
                <w:rFonts w:ascii="Arial" w:cs="Arial" w:eastAsia="Arial" w:hAnsi="Arial"/>
                <w:sz w:val="16"/>
                <w:szCs w:val="16"/>
                <w:color w:val="auto"/>
              </w:rPr>
              <w:t>2,497</w:t>
            </w:r>
          </w:p>
        </w:tc>
        <w:tc>
          <w:tcPr>
            <w:tcW w:w="720" w:type="dxa"/>
            <w:vAlign w:val="bottom"/>
          </w:tcPr>
          <w:p>
            <w:pPr>
              <w:spacing w:after="0"/>
              <w:rPr>
                <w:sz w:val="21"/>
                <w:szCs w:val="21"/>
                <w:color w:val="auto"/>
              </w:rPr>
            </w:pP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2,574</w:t>
            </w:r>
          </w:p>
        </w:tc>
      </w:tr>
      <w:tr>
        <w:trPr>
          <w:trHeight w:val="243"/>
        </w:trPr>
        <w:tc>
          <w:tcPr>
            <w:tcW w:w="7040" w:type="dxa"/>
            <w:vAlign w:val="bottom"/>
          </w:tcPr>
          <w:p>
            <w:pPr>
              <w:ind w:left="120"/>
              <w:spacing w:after="0"/>
              <w:rPr>
                <w:sz w:val="20"/>
                <w:szCs w:val="20"/>
                <w:color w:val="auto"/>
              </w:rPr>
            </w:pPr>
            <w:r>
              <w:rPr>
                <w:rFonts w:ascii="Arial" w:cs="Arial" w:eastAsia="Arial" w:hAnsi="Arial"/>
                <w:sz w:val="16"/>
                <w:szCs w:val="16"/>
                <w:color w:val="auto"/>
              </w:rPr>
              <w:t>Accrued programming and production costs</w:t>
            </w:r>
          </w:p>
        </w:tc>
        <w:tc>
          <w:tcPr>
            <w:tcW w:w="540" w:type="dxa"/>
            <w:vAlign w:val="bottom"/>
          </w:tcPr>
          <w:p>
            <w:pPr>
              <w:spacing w:after="0"/>
              <w:rPr>
                <w:sz w:val="21"/>
                <w:szCs w:val="21"/>
                <w:color w:val="auto"/>
              </w:rPr>
            </w:pPr>
          </w:p>
        </w:tc>
        <w:tc>
          <w:tcPr>
            <w:tcW w:w="1680" w:type="dxa"/>
            <w:vAlign w:val="bottom"/>
            <w:tcBorders>
              <w:right w:val="single" w:sz="8" w:color="auto"/>
            </w:tcBorders>
          </w:tcPr>
          <w:p>
            <w:pPr>
              <w:jc w:val="right"/>
              <w:ind w:right="439"/>
              <w:spacing w:after="0"/>
              <w:rPr>
                <w:sz w:val="20"/>
                <w:szCs w:val="20"/>
                <w:color w:val="auto"/>
              </w:rPr>
            </w:pPr>
            <w:r>
              <w:rPr>
                <w:rFonts w:ascii="Arial" w:cs="Arial" w:eastAsia="Arial" w:hAnsi="Arial"/>
                <w:sz w:val="16"/>
                <w:szCs w:val="16"/>
                <w:color w:val="auto"/>
              </w:rPr>
              <w:t>1,829</w:t>
            </w:r>
          </w:p>
        </w:tc>
        <w:tc>
          <w:tcPr>
            <w:tcW w:w="720" w:type="dxa"/>
            <w:vAlign w:val="bottom"/>
          </w:tcPr>
          <w:p>
            <w:pPr>
              <w:spacing w:after="0"/>
              <w:rPr>
                <w:sz w:val="21"/>
                <w:szCs w:val="21"/>
                <w:color w:val="auto"/>
              </w:rPr>
            </w:pP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1,720</w:t>
            </w:r>
          </w:p>
        </w:tc>
      </w:tr>
      <w:tr>
        <w:trPr>
          <w:trHeight w:val="243"/>
        </w:trPr>
        <w:tc>
          <w:tcPr>
            <w:tcW w:w="7040" w:type="dxa"/>
            <w:vAlign w:val="bottom"/>
          </w:tcPr>
          <w:p>
            <w:pPr>
              <w:ind w:left="120"/>
              <w:spacing w:after="0"/>
              <w:rPr>
                <w:sz w:val="20"/>
                <w:szCs w:val="20"/>
                <w:color w:val="auto"/>
              </w:rPr>
            </w:pPr>
            <w:r>
              <w:rPr>
                <w:rFonts w:ascii="Arial" w:cs="Arial" w:eastAsia="Arial" w:hAnsi="Arial"/>
                <w:sz w:val="16"/>
                <w:szCs w:val="16"/>
                <w:color w:val="auto"/>
              </w:rPr>
              <w:t>Deferred revenues</w:t>
            </w:r>
          </w:p>
        </w:tc>
        <w:tc>
          <w:tcPr>
            <w:tcW w:w="540" w:type="dxa"/>
            <w:vAlign w:val="bottom"/>
          </w:tcPr>
          <w:p>
            <w:pPr>
              <w:spacing w:after="0"/>
              <w:rPr>
                <w:sz w:val="21"/>
                <w:szCs w:val="21"/>
                <w:color w:val="auto"/>
              </w:rPr>
            </w:pPr>
          </w:p>
        </w:tc>
        <w:tc>
          <w:tcPr>
            <w:tcW w:w="1680" w:type="dxa"/>
            <w:vAlign w:val="bottom"/>
            <w:tcBorders>
              <w:right w:val="single" w:sz="8" w:color="auto"/>
            </w:tcBorders>
          </w:tcPr>
          <w:p>
            <w:pPr>
              <w:jc w:val="right"/>
              <w:ind w:right="439"/>
              <w:spacing w:after="0"/>
              <w:rPr>
                <w:sz w:val="20"/>
                <w:szCs w:val="20"/>
                <w:color w:val="auto"/>
              </w:rPr>
            </w:pPr>
            <w:r>
              <w:rPr>
                <w:rFonts w:ascii="Arial" w:cs="Arial" w:eastAsia="Arial" w:hAnsi="Arial"/>
                <w:sz w:val="16"/>
                <w:szCs w:val="16"/>
                <w:color w:val="auto"/>
              </w:rPr>
              <w:t>1,615</w:t>
            </w:r>
          </w:p>
        </w:tc>
        <w:tc>
          <w:tcPr>
            <w:tcW w:w="720" w:type="dxa"/>
            <w:vAlign w:val="bottom"/>
          </w:tcPr>
          <w:p>
            <w:pPr>
              <w:spacing w:after="0"/>
              <w:rPr>
                <w:sz w:val="21"/>
                <w:szCs w:val="21"/>
                <w:color w:val="auto"/>
              </w:rPr>
            </w:pP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825</w:t>
            </w:r>
          </w:p>
        </w:tc>
      </w:tr>
      <w:tr>
        <w:trPr>
          <w:trHeight w:val="243"/>
        </w:trPr>
        <w:tc>
          <w:tcPr>
            <w:tcW w:w="7040" w:type="dxa"/>
            <w:vAlign w:val="bottom"/>
          </w:tcPr>
          <w:p>
            <w:pPr>
              <w:ind w:left="120"/>
              <w:spacing w:after="0"/>
              <w:rPr>
                <w:sz w:val="20"/>
                <w:szCs w:val="20"/>
                <w:color w:val="auto"/>
              </w:rPr>
            </w:pPr>
            <w:r>
              <w:rPr>
                <w:rFonts w:ascii="Arial" w:cs="Arial" w:eastAsia="Arial" w:hAnsi="Arial"/>
                <w:sz w:val="16"/>
                <w:szCs w:val="16"/>
                <w:color w:val="auto"/>
              </w:rPr>
              <w:t>Debt</w:t>
            </w:r>
          </w:p>
        </w:tc>
        <w:tc>
          <w:tcPr>
            <w:tcW w:w="540" w:type="dxa"/>
            <w:vAlign w:val="bottom"/>
          </w:tcPr>
          <w:p>
            <w:pPr>
              <w:spacing w:after="0"/>
              <w:rPr>
                <w:sz w:val="21"/>
                <w:szCs w:val="21"/>
                <w:color w:val="auto"/>
              </w:rPr>
            </w:pPr>
          </w:p>
        </w:tc>
        <w:tc>
          <w:tcPr>
            <w:tcW w:w="1680" w:type="dxa"/>
            <w:vAlign w:val="bottom"/>
            <w:tcBorders>
              <w:right w:val="single" w:sz="8" w:color="auto"/>
            </w:tcBorders>
          </w:tcPr>
          <w:p>
            <w:pPr>
              <w:jc w:val="right"/>
              <w:ind w:right="439"/>
              <w:spacing w:after="0"/>
              <w:rPr>
                <w:sz w:val="20"/>
                <w:szCs w:val="20"/>
                <w:color w:val="auto"/>
              </w:rPr>
            </w:pPr>
            <w:r>
              <w:rPr>
                <w:rFonts w:ascii="Arial" w:cs="Arial" w:eastAsia="Arial" w:hAnsi="Arial"/>
                <w:sz w:val="16"/>
                <w:szCs w:val="16"/>
                <w:color w:val="auto"/>
              </w:rPr>
              <w:t>347</w:t>
            </w:r>
          </w:p>
        </w:tc>
        <w:tc>
          <w:tcPr>
            <w:tcW w:w="720" w:type="dxa"/>
            <w:vAlign w:val="bottom"/>
          </w:tcPr>
          <w:p>
            <w:pPr>
              <w:spacing w:after="0"/>
              <w:rPr>
                <w:sz w:val="21"/>
                <w:szCs w:val="21"/>
                <w:color w:val="auto"/>
              </w:rPr>
            </w:pP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w:t>
            </w:r>
          </w:p>
        </w:tc>
      </w:tr>
      <w:tr>
        <w:trPr>
          <w:trHeight w:val="252"/>
        </w:trPr>
        <w:tc>
          <w:tcPr>
            <w:tcW w:w="70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Other current liabilities</w:t>
            </w:r>
          </w:p>
        </w:tc>
        <w:tc>
          <w:tcPr>
            <w:tcW w:w="540" w:type="dxa"/>
            <w:vAlign w:val="bottom"/>
            <w:tcBorders>
              <w:bottom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jc w:val="right"/>
              <w:ind w:right="439"/>
              <w:spacing w:after="0"/>
              <w:rPr>
                <w:sz w:val="20"/>
                <w:szCs w:val="20"/>
                <w:color w:val="auto"/>
              </w:rPr>
            </w:pPr>
            <w:r>
              <w:rPr>
                <w:rFonts w:ascii="Arial" w:cs="Arial" w:eastAsia="Arial" w:hAnsi="Arial"/>
                <w:sz w:val="16"/>
                <w:szCs w:val="16"/>
                <w:color w:val="auto"/>
              </w:rPr>
              <w:t>1,090</w:t>
            </w:r>
          </w:p>
        </w:tc>
        <w:tc>
          <w:tcPr>
            <w:tcW w:w="7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1,360</w:t>
            </w:r>
          </w:p>
        </w:tc>
      </w:tr>
      <w:tr>
        <w:trPr>
          <w:trHeight w:val="237"/>
        </w:trPr>
        <w:tc>
          <w:tcPr>
            <w:tcW w:w="704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Total current liabilities</w:t>
            </w:r>
          </w:p>
        </w:tc>
        <w:tc>
          <w:tcPr>
            <w:tcW w:w="540" w:type="dxa"/>
            <w:vAlign w:val="bottom"/>
            <w:tcBorders>
              <w:bottom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jc w:val="right"/>
              <w:ind w:right="439"/>
              <w:spacing w:after="0"/>
              <w:rPr>
                <w:sz w:val="20"/>
                <w:szCs w:val="20"/>
                <w:color w:val="auto"/>
              </w:rPr>
            </w:pPr>
            <w:r>
              <w:rPr>
                <w:rFonts w:ascii="Arial" w:cs="Arial" w:eastAsia="Arial" w:hAnsi="Arial"/>
                <w:sz w:val="16"/>
                <w:szCs w:val="16"/>
                <w:color w:val="auto"/>
              </w:rPr>
              <w:t>9,884</w:t>
            </w:r>
          </w:p>
        </w:tc>
        <w:tc>
          <w:tcPr>
            <w:tcW w:w="7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9,631</w:t>
            </w:r>
          </w:p>
        </w:tc>
      </w:tr>
      <w:tr>
        <w:trPr>
          <w:trHeight w:val="228"/>
        </w:trPr>
        <w:tc>
          <w:tcPr>
            <w:tcW w:w="7040" w:type="dxa"/>
            <w:vAlign w:val="bottom"/>
          </w:tcPr>
          <w:p>
            <w:pPr>
              <w:spacing w:after="0"/>
              <w:rPr>
                <w:sz w:val="20"/>
                <w:szCs w:val="20"/>
                <w:color w:val="auto"/>
              </w:rPr>
            </w:pPr>
            <w:r>
              <w:rPr>
                <w:rFonts w:ascii="Arial" w:cs="Arial" w:eastAsia="Arial" w:hAnsi="Arial"/>
                <w:sz w:val="16"/>
                <w:szCs w:val="16"/>
                <w:color w:val="auto"/>
              </w:rPr>
              <w:t>Long-term debt</w:t>
            </w:r>
          </w:p>
        </w:tc>
        <w:tc>
          <w:tcPr>
            <w:tcW w:w="540" w:type="dxa"/>
            <w:vAlign w:val="bottom"/>
          </w:tcPr>
          <w:p>
            <w:pPr>
              <w:spacing w:after="0"/>
              <w:rPr>
                <w:sz w:val="19"/>
                <w:szCs w:val="19"/>
                <w:color w:val="auto"/>
              </w:rPr>
            </w:pPr>
          </w:p>
        </w:tc>
        <w:tc>
          <w:tcPr>
            <w:tcW w:w="1680" w:type="dxa"/>
            <w:vAlign w:val="bottom"/>
            <w:tcBorders>
              <w:right w:val="single" w:sz="8" w:color="auto"/>
            </w:tcBorders>
          </w:tcPr>
          <w:p>
            <w:pPr>
              <w:jc w:val="right"/>
              <w:ind w:right="439"/>
              <w:spacing w:after="0"/>
              <w:rPr>
                <w:sz w:val="20"/>
                <w:szCs w:val="20"/>
                <w:color w:val="auto"/>
              </w:rPr>
            </w:pPr>
            <w:r>
              <w:rPr>
                <w:rFonts w:ascii="Arial" w:cs="Arial" w:eastAsia="Arial" w:hAnsi="Arial"/>
                <w:sz w:val="16"/>
                <w:szCs w:val="16"/>
                <w:color w:val="auto"/>
              </w:rPr>
              <w:t>13,286</w:t>
            </w:r>
          </w:p>
        </w:tc>
        <w:tc>
          <w:tcPr>
            <w:tcW w:w="720" w:type="dxa"/>
            <w:vAlign w:val="bottom"/>
          </w:tcPr>
          <w:p>
            <w:pPr>
              <w:spacing w:after="0"/>
              <w:rPr>
                <w:sz w:val="19"/>
                <w:szCs w:val="19"/>
                <w:color w:val="auto"/>
              </w:rPr>
            </w:pP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14,501</w:t>
            </w:r>
          </w:p>
        </w:tc>
      </w:tr>
      <w:tr>
        <w:trPr>
          <w:trHeight w:val="243"/>
        </w:trPr>
        <w:tc>
          <w:tcPr>
            <w:tcW w:w="7040" w:type="dxa"/>
            <w:vAlign w:val="bottom"/>
          </w:tcPr>
          <w:p>
            <w:pPr>
              <w:spacing w:after="0"/>
              <w:rPr>
                <w:sz w:val="20"/>
                <w:szCs w:val="20"/>
                <w:color w:val="auto"/>
              </w:rPr>
            </w:pPr>
            <w:r>
              <w:rPr>
                <w:rFonts w:ascii="Arial" w:cs="Arial" w:eastAsia="Arial" w:hAnsi="Arial"/>
                <w:sz w:val="16"/>
                <w:szCs w:val="16"/>
                <w:color w:val="auto"/>
              </w:rPr>
              <w:t>Participants’ share and royalties payable</w:t>
            </w:r>
          </w:p>
        </w:tc>
        <w:tc>
          <w:tcPr>
            <w:tcW w:w="540" w:type="dxa"/>
            <w:vAlign w:val="bottom"/>
          </w:tcPr>
          <w:p>
            <w:pPr>
              <w:spacing w:after="0"/>
              <w:rPr>
                <w:sz w:val="21"/>
                <w:szCs w:val="21"/>
                <w:color w:val="auto"/>
              </w:rPr>
            </w:pPr>
          </w:p>
        </w:tc>
        <w:tc>
          <w:tcPr>
            <w:tcW w:w="1680" w:type="dxa"/>
            <w:vAlign w:val="bottom"/>
            <w:tcBorders>
              <w:right w:val="single" w:sz="8" w:color="auto"/>
            </w:tcBorders>
          </w:tcPr>
          <w:p>
            <w:pPr>
              <w:jc w:val="right"/>
              <w:ind w:right="439"/>
              <w:spacing w:after="0"/>
              <w:rPr>
                <w:sz w:val="20"/>
                <w:szCs w:val="20"/>
                <w:color w:val="auto"/>
              </w:rPr>
            </w:pPr>
            <w:r>
              <w:rPr>
                <w:rFonts w:ascii="Arial" w:cs="Arial" w:eastAsia="Arial" w:hAnsi="Arial"/>
                <w:sz w:val="16"/>
                <w:szCs w:val="16"/>
                <w:color w:val="auto"/>
              </w:rPr>
              <w:t>1,271</w:t>
            </w:r>
          </w:p>
        </w:tc>
        <w:tc>
          <w:tcPr>
            <w:tcW w:w="720" w:type="dxa"/>
            <w:vAlign w:val="bottom"/>
          </w:tcPr>
          <w:p>
            <w:pPr>
              <w:spacing w:after="0"/>
              <w:rPr>
                <w:sz w:val="21"/>
                <w:szCs w:val="21"/>
                <w:color w:val="auto"/>
              </w:rPr>
            </w:pP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1,310</w:t>
            </w:r>
          </w:p>
        </w:tc>
      </w:tr>
      <w:tr>
        <w:trPr>
          <w:trHeight w:val="243"/>
        </w:trPr>
        <w:tc>
          <w:tcPr>
            <w:tcW w:w="7040" w:type="dxa"/>
            <w:vAlign w:val="bottom"/>
          </w:tcPr>
          <w:p>
            <w:pPr>
              <w:spacing w:after="0"/>
              <w:rPr>
                <w:sz w:val="20"/>
                <w:szCs w:val="20"/>
                <w:color w:val="auto"/>
              </w:rPr>
            </w:pPr>
            <w:r>
              <w:rPr>
                <w:rFonts w:ascii="Arial" w:cs="Arial" w:eastAsia="Arial" w:hAnsi="Arial"/>
                <w:sz w:val="16"/>
                <w:szCs w:val="16"/>
                <w:color w:val="auto"/>
              </w:rPr>
              <w:t>Pension and postretirement benefit obligations</w:t>
            </w:r>
          </w:p>
        </w:tc>
        <w:tc>
          <w:tcPr>
            <w:tcW w:w="540" w:type="dxa"/>
            <w:vAlign w:val="bottom"/>
          </w:tcPr>
          <w:p>
            <w:pPr>
              <w:spacing w:after="0"/>
              <w:rPr>
                <w:sz w:val="21"/>
                <w:szCs w:val="21"/>
                <w:color w:val="auto"/>
              </w:rPr>
            </w:pPr>
          </w:p>
        </w:tc>
        <w:tc>
          <w:tcPr>
            <w:tcW w:w="1680" w:type="dxa"/>
            <w:vAlign w:val="bottom"/>
            <w:tcBorders>
              <w:right w:val="single" w:sz="8" w:color="auto"/>
            </w:tcBorders>
          </w:tcPr>
          <w:p>
            <w:pPr>
              <w:jc w:val="right"/>
              <w:ind w:right="439"/>
              <w:spacing w:after="0"/>
              <w:rPr>
                <w:sz w:val="20"/>
                <w:szCs w:val="20"/>
                <w:color w:val="auto"/>
              </w:rPr>
            </w:pPr>
            <w:r>
              <w:rPr>
                <w:rFonts w:ascii="Arial" w:cs="Arial" w:eastAsia="Arial" w:hAnsi="Arial"/>
                <w:sz w:val="16"/>
                <w:szCs w:val="16"/>
                <w:color w:val="auto"/>
              </w:rPr>
              <w:t>1,289</w:t>
            </w:r>
          </w:p>
        </w:tc>
        <w:tc>
          <w:tcPr>
            <w:tcW w:w="720" w:type="dxa"/>
            <w:vAlign w:val="bottom"/>
          </w:tcPr>
          <w:p>
            <w:pPr>
              <w:spacing w:after="0"/>
              <w:rPr>
                <w:sz w:val="21"/>
                <w:szCs w:val="21"/>
                <w:color w:val="auto"/>
              </w:rPr>
            </w:pP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1,226</w:t>
            </w:r>
          </w:p>
        </w:tc>
      </w:tr>
      <w:tr>
        <w:trPr>
          <w:trHeight w:val="243"/>
        </w:trPr>
        <w:tc>
          <w:tcPr>
            <w:tcW w:w="7040" w:type="dxa"/>
            <w:vAlign w:val="bottom"/>
          </w:tcPr>
          <w:p>
            <w:pPr>
              <w:spacing w:after="0"/>
              <w:rPr>
                <w:sz w:val="20"/>
                <w:szCs w:val="20"/>
                <w:color w:val="auto"/>
              </w:rPr>
            </w:pPr>
            <w:r>
              <w:rPr>
                <w:rFonts w:ascii="Arial" w:cs="Arial" w:eastAsia="Arial" w:hAnsi="Arial"/>
                <w:sz w:val="16"/>
                <w:szCs w:val="16"/>
                <w:color w:val="auto"/>
              </w:rPr>
              <w:t>Deferred income tax liabilities, net</w:t>
            </w:r>
          </w:p>
        </w:tc>
        <w:tc>
          <w:tcPr>
            <w:tcW w:w="540" w:type="dxa"/>
            <w:vAlign w:val="bottom"/>
          </w:tcPr>
          <w:p>
            <w:pPr>
              <w:spacing w:after="0"/>
              <w:rPr>
                <w:sz w:val="21"/>
                <w:szCs w:val="21"/>
                <w:color w:val="auto"/>
              </w:rPr>
            </w:pPr>
          </w:p>
        </w:tc>
        <w:tc>
          <w:tcPr>
            <w:tcW w:w="1680" w:type="dxa"/>
            <w:vAlign w:val="bottom"/>
            <w:tcBorders>
              <w:right w:val="single" w:sz="8" w:color="auto"/>
            </w:tcBorders>
          </w:tcPr>
          <w:p>
            <w:pPr>
              <w:jc w:val="right"/>
              <w:ind w:right="439"/>
              <w:spacing w:after="0"/>
              <w:rPr>
                <w:sz w:val="20"/>
                <w:szCs w:val="20"/>
                <w:color w:val="auto"/>
              </w:rPr>
            </w:pPr>
            <w:r>
              <w:rPr>
                <w:rFonts w:ascii="Arial" w:cs="Arial" w:eastAsia="Arial" w:hAnsi="Arial"/>
                <w:sz w:val="16"/>
                <w:szCs w:val="16"/>
                <w:color w:val="auto"/>
              </w:rPr>
              <w:t>221</w:t>
            </w:r>
          </w:p>
        </w:tc>
        <w:tc>
          <w:tcPr>
            <w:tcW w:w="720" w:type="dxa"/>
            <w:vAlign w:val="bottom"/>
          </w:tcPr>
          <w:p>
            <w:pPr>
              <w:spacing w:after="0"/>
              <w:rPr>
                <w:sz w:val="21"/>
                <w:szCs w:val="21"/>
                <w:color w:val="auto"/>
              </w:rPr>
            </w:pP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34</w:t>
            </w:r>
          </w:p>
        </w:tc>
      </w:tr>
      <w:tr>
        <w:trPr>
          <w:trHeight w:val="243"/>
        </w:trPr>
        <w:tc>
          <w:tcPr>
            <w:tcW w:w="7040" w:type="dxa"/>
            <w:vAlign w:val="bottom"/>
          </w:tcPr>
          <w:p>
            <w:pPr>
              <w:spacing w:after="0"/>
              <w:rPr>
                <w:sz w:val="20"/>
                <w:szCs w:val="20"/>
                <w:color w:val="auto"/>
              </w:rPr>
            </w:pPr>
            <w:r>
              <w:rPr>
                <w:rFonts w:ascii="Arial" w:cs="Arial" w:eastAsia="Arial" w:hAnsi="Arial"/>
                <w:sz w:val="16"/>
                <w:szCs w:val="16"/>
                <w:color w:val="auto"/>
              </w:rPr>
              <w:t>Operating lease liabilities</w:t>
            </w:r>
          </w:p>
        </w:tc>
        <w:tc>
          <w:tcPr>
            <w:tcW w:w="540" w:type="dxa"/>
            <w:vAlign w:val="bottom"/>
          </w:tcPr>
          <w:p>
            <w:pPr>
              <w:spacing w:after="0"/>
              <w:rPr>
                <w:sz w:val="21"/>
                <w:szCs w:val="21"/>
                <w:color w:val="auto"/>
              </w:rPr>
            </w:pPr>
          </w:p>
        </w:tc>
        <w:tc>
          <w:tcPr>
            <w:tcW w:w="1680" w:type="dxa"/>
            <w:vAlign w:val="bottom"/>
            <w:tcBorders>
              <w:right w:val="single" w:sz="8" w:color="auto"/>
            </w:tcBorders>
          </w:tcPr>
          <w:p>
            <w:pPr>
              <w:jc w:val="right"/>
              <w:ind w:right="439"/>
              <w:spacing w:after="0"/>
              <w:rPr>
                <w:sz w:val="20"/>
                <w:szCs w:val="20"/>
                <w:color w:val="auto"/>
              </w:rPr>
            </w:pPr>
            <w:r>
              <w:rPr>
                <w:rFonts w:ascii="Arial" w:cs="Arial" w:eastAsia="Arial" w:hAnsi="Arial"/>
                <w:sz w:val="16"/>
                <w:szCs w:val="16"/>
                <w:color w:val="auto"/>
              </w:rPr>
              <w:t>1,100</w:t>
            </w:r>
          </w:p>
        </w:tc>
        <w:tc>
          <w:tcPr>
            <w:tcW w:w="720" w:type="dxa"/>
            <w:vAlign w:val="bottom"/>
          </w:tcPr>
          <w:p>
            <w:pPr>
              <w:spacing w:after="0"/>
              <w:rPr>
                <w:sz w:val="21"/>
                <w:szCs w:val="21"/>
                <w:color w:val="auto"/>
              </w:rPr>
            </w:pP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1,048</w:t>
            </w:r>
          </w:p>
        </w:tc>
      </w:tr>
      <w:tr>
        <w:trPr>
          <w:trHeight w:val="243"/>
        </w:trPr>
        <w:tc>
          <w:tcPr>
            <w:tcW w:w="7040" w:type="dxa"/>
            <w:vAlign w:val="bottom"/>
          </w:tcPr>
          <w:p>
            <w:pPr>
              <w:spacing w:after="0"/>
              <w:rPr>
                <w:sz w:val="20"/>
                <w:szCs w:val="20"/>
                <w:color w:val="auto"/>
              </w:rPr>
            </w:pPr>
            <w:r>
              <w:rPr>
                <w:rFonts w:ascii="Arial" w:cs="Arial" w:eastAsia="Arial" w:hAnsi="Arial"/>
                <w:sz w:val="16"/>
                <w:szCs w:val="16"/>
                <w:color w:val="auto"/>
              </w:rPr>
              <w:t>Programming obligations</w:t>
            </w:r>
          </w:p>
        </w:tc>
        <w:tc>
          <w:tcPr>
            <w:tcW w:w="540" w:type="dxa"/>
            <w:vAlign w:val="bottom"/>
          </w:tcPr>
          <w:p>
            <w:pPr>
              <w:spacing w:after="0"/>
              <w:rPr>
                <w:sz w:val="21"/>
                <w:szCs w:val="21"/>
                <w:color w:val="auto"/>
              </w:rPr>
            </w:pPr>
          </w:p>
        </w:tc>
        <w:tc>
          <w:tcPr>
            <w:tcW w:w="1680" w:type="dxa"/>
            <w:vAlign w:val="bottom"/>
            <w:tcBorders>
              <w:right w:val="single" w:sz="8" w:color="auto"/>
            </w:tcBorders>
          </w:tcPr>
          <w:p>
            <w:pPr>
              <w:jc w:val="right"/>
              <w:ind w:right="439"/>
              <w:spacing w:after="0"/>
              <w:rPr>
                <w:sz w:val="20"/>
                <w:szCs w:val="20"/>
                <w:color w:val="auto"/>
              </w:rPr>
            </w:pPr>
            <w:r>
              <w:rPr>
                <w:rFonts w:ascii="Arial" w:cs="Arial" w:eastAsia="Arial" w:hAnsi="Arial"/>
                <w:sz w:val="16"/>
                <w:szCs w:val="16"/>
                <w:color w:val="auto"/>
              </w:rPr>
              <w:t>515</w:t>
            </w:r>
          </w:p>
        </w:tc>
        <w:tc>
          <w:tcPr>
            <w:tcW w:w="720" w:type="dxa"/>
            <w:vAlign w:val="bottom"/>
          </w:tcPr>
          <w:p>
            <w:pPr>
              <w:spacing w:after="0"/>
              <w:rPr>
                <w:sz w:val="21"/>
                <w:szCs w:val="21"/>
                <w:color w:val="auto"/>
              </w:rPr>
            </w:pP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260</w:t>
            </w:r>
          </w:p>
        </w:tc>
      </w:tr>
      <w:tr>
        <w:trPr>
          <w:trHeight w:val="243"/>
        </w:trPr>
        <w:tc>
          <w:tcPr>
            <w:tcW w:w="7040" w:type="dxa"/>
            <w:vAlign w:val="bottom"/>
          </w:tcPr>
          <w:p>
            <w:pPr>
              <w:spacing w:after="0"/>
              <w:rPr>
                <w:sz w:val="20"/>
                <w:szCs w:val="20"/>
                <w:color w:val="auto"/>
              </w:rPr>
            </w:pPr>
            <w:r>
              <w:rPr>
                <w:rFonts w:ascii="Arial" w:cs="Arial" w:eastAsia="Arial" w:hAnsi="Arial"/>
                <w:sz w:val="16"/>
                <w:szCs w:val="16"/>
                <w:color w:val="auto"/>
              </w:rPr>
              <w:t>Other liabilities</w:t>
            </w:r>
          </w:p>
        </w:tc>
        <w:tc>
          <w:tcPr>
            <w:tcW w:w="540" w:type="dxa"/>
            <w:vAlign w:val="bottom"/>
          </w:tcPr>
          <w:p>
            <w:pPr>
              <w:spacing w:after="0"/>
              <w:rPr>
                <w:sz w:val="21"/>
                <w:szCs w:val="21"/>
                <w:color w:val="auto"/>
              </w:rPr>
            </w:pPr>
          </w:p>
        </w:tc>
        <w:tc>
          <w:tcPr>
            <w:tcW w:w="1680" w:type="dxa"/>
            <w:vAlign w:val="bottom"/>
            <w:tcBorders>
              <w:right w:val="single" w:sz="8" w:color="auto"/>
            </w:tcBorders>
          </w:tcPr>
          <w:p>
            <w:pPr>
              <w:jc w:val="right"/>
              <w:ind w:right="439"/>
              <w:spacing w:after="0"/>
              <w:rPr>
                <w:sz w:val="20"/>
                <w:szCs w:val="20"/>
                <w:color w:val="auto"/>
              </w:rPr>
            </w:pPr>
            <w:r>
              <w:rPr>
                <w:rFonts w:ascii="Arial" w:cs="Arial" w:eastAsia="Arial" w:hAnsi="Arial"/>
                <w:sz w:val="16"/>
                <w:szCs w:val="16"/>
                <w:color w:val="auto"/>
              </w:rPr>
              <w:t>2,344</w:t>
            </w:r>
          </w:p>
        </w:tc>
        <w:tc>
          <w:tcPr>
            <w:tcW w:w="720" w:type="dxa"/>
            <w:vAlign w:val="bottom"/>
          </w:tcPr>
          <w:p>
            <w:pPr>
              <w:spacing w:after="0"/>
              <w:rPr>
                <w:sz w:val="21"/>
                <w:szCs w:val="21"/>
                <w:color w:val="auto"/>
              </w:rPr>
            </w:pP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1,380</w:t>
            </w:r>
          </w:p>
        </w:tc>
      </w:tr>
      <w:tr>
        <w:trPr>
          <w:trHeight w:val="297"/>
        </w:trPr>
        <w:tc>
          <w:tcPr>
            <w:tcW w:w="7040" w:type="dxa"/>
            <w:vAlign w:val="bottom"/>
          </w:tcPr>
          <w:p>
            <w:pPr>
              <w:spacing w:after="0"/>
              <w:rPr>
                <w:sz w:val="20"/>
                <w:szCs w:val="20"/>
                <w:color w:val="auto"/>
              </w:rPr>
            </w:pPr>
            <w:r>
              <w:rPr>
                <w:rFonts w:ascii="Arial" w:cs="Arial" w:eastAsia="Arial" w:hAnsi="Arial"/>
                <w:sz w:val="16"/>
                <w:szCs w:val="16"/>
                <w:color w:val="auto"/>
              </w:rPr>
              <w:t>Commitments and contingencies</w:t>
            </w:r>
          </w:p>
        </w:tc>
        <w:tc>
          <w:tcPr>
            <w:tcW w:w="54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97"/>
        </w:trPr>
        <w:tc>
          <w:tcPr>
            <w:tcW w:w="7040" w:type="dxa"/>
            <w:vAlign w:val="bottom"/>
          </w:tcPr>
          <w:p>
            <w:pPr>
              <w:spacing w:after="0"/>
              <w:rPr>
                <w:sz w:val="20"/>
                <w:szCs w:val="20"/>
                <w:color w:val="auto"/>
              </w:rPr>
            </w:pPr>
            <w:r>
              <w:rPr>
                <w:rFonts w:ascii="Arial" w:cs="Arial" w:eastAsia="Arial" w:hAnsi="Arial"/>
                <w:sz w:val="16"/>
                <w:szCs w:val="16"/>
                <w:color w:val="auto"/>
              </w:rPr>
              <w:t>Parent stockholders’ equity:</w:t>
            </w:r>
          </w:p>
        </w:tc>
        <w:tc>
          <w:tcPr>
            <w:tcW w:w="54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1"/>
        </w:trPr>
        <w:tc>
          <w:tcPr>
            <w:tcW w:w="7040" w:type="dxa"/>
            <w:vAlign w:val="bottom"/>
          </w:tcPr>
          <w:p>
            <w:pPr>
              <w:ind w:left="120"/>
              <w:spacing w:after="0"/>
              <w:rPr>
                <w:sz w:val="20"/>
                <w:szCs w:val="20"/>
                <w:color w:val="auto"/>
              </w:rPr>
            </w:pPr>
            <w:r>
              <w:rPr>
                <w:rFonts w:ascii="Arial" w:cs="Arial" w:eastAsia="Arial" w:hAnsi="Arial"/>
                <w:sz w:val="16"/>
                <w:szCs w:val="16"/>
                <w:color w:val="auto"/>
              </w:rPr>
              <w:t>Class A Common Stock, par value $.001 per share; 55 shares authorized;</w:t>
            </w:r>
          </w:p>
        </w:tc>
        <w:tc>
          <w:tcPr>
            <w:tcW w:w="540" w:type="dxa"/>
            <w:vAlign w:val="bottom"/>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7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15"/>
        </w:trPr>
        <w:tc>
          <w:tcPr>
            <w:tcW w:w="7040" w:type="dxa"/>
            <w:vAlign w:val="bottom"/>
          </w:tcPr>
          <w:p>
            <w:pPr>
              <w:ind w:left="280"/>
              <w:spacing w:after="0"/>
              <w:rPr>
                <w:sz w:val="20"/>
                <w:szCs w:val="20"/>
                <w:color w:val="auto"/>
              </w:rPr>
            </w:pPr>
            <w:r>
              <w:rPr>
                <w:rFonts w:ascii="Arial" w:cs="Arial" w:eastAsia="Arial" w:hAnsi="Arial"/>
                <w:sz w:val="16"/>
                <w:szCs w:val="16"/>
                <w:color w:val="auto"/>
              </w:rPr>
              <w:t>32 (2025) and 41 (2024) shares issued</w:t>
            </w:r>
          </w:p>
        </w:tc>
        <w:tc>
          <w:tcPr>
            <w:tcW w:w="540" w:type="dxa"/>
            <w:vAlign w:val="bottom"/>
          </w:tcPr>
          <w:p>
            <w:pPr>
              <w:spacing w:after="0"/>
              <w:rPr>
                <w:sz w:val="18"/>
                <w:szCs w:val="18"/>
                <w:color w:val="auto"/>
              </w:rPr>
            </w:pPr>
          </w:p>
        </w:tc>
        <w:tc>
          <w:tcPr>
            <w:tcW w:w="1680" w:type="dxa"/>
            <w:vAlign w:val="bottom"/>
            <w:tcBorders>
              <w:right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8"/>
                <w:szCs w:val="18"/>
                <w:color w:val="auto"/>
              </w:rPr>
            </w:pP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w:t>
            </w:r>
          </w:p>
        </w:tc>
      </w:tr>
      <w:tr>
        <w:trPr>
          <w:trHeight w:val="231"/>
        </w:trPr>
        <w:tc>
          <w:tcPr>
            <w:tcW w:w="7040" w:type="dxa"/>
            <w:vAlign w:val="bottom"/>
          </w:tcPr>
          <w:p>
            <w:pPr>
              <w:ind w:left="120"/>
              <w:spacing w:after="0"/>
              <w:rPr>
                <w:sz w:val="20"/>
                <w:szCs w:val="20"/>
                <w:color w:val="auto"/>
              </w:rPr>
            </w:pPr>
            <w:r>
              <w:rPr>
                <w:rFonts w:ascii="Arial" w:cs="Arial" w:eastAsia="Arial" w:hAnsi="Arial"/>
                <w:sz w:val="16"/>
                <w:szCs w:val="16"/>
                <w:color w:val="auto"/>
              </w:rPr>
              <w:t>Class B Common Stock, par value $.001 per share; 5,500 (2025) and 5,000 (2024)</w:t>
            </w:r>
          </w:p>
        </w:tc>
        <w:tc>
          <w:tcPr>
            <w:tcW w:w="540" w:type="dxa"/>
            <w:vAlign w:val="bottom"/>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7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15"/>
        </w:trPr>
        <w:tc>
          <w:tcPr>
            <w:tcW w:w="7040" w:type="dxa"/>
            <w:vAlign w:val="bottom"/>
          </w:tcPr>
          <w:p>
            <w:pPr>
              <w:ind w:left="260"/>
              <w:spacing w:after="0"/>
              <w:rPr>
                <w:sz w:val="20"/>
                <w:szCs w:val="20"/>
                <w:color w:val="auto"/>
              </w:rPr>
            </w:pPr>
            <w:r>
              <w:rPr>
                <w:rFonts w:ascii="Arial" w:cs="Arial" w:eastAsia="Arial" w:hAnsi="Arial"/>
                <w:sz w:val="16"/>
                <w:szCs w:val="16"/>
                <w:color w:val="auto"/>
              </w:rPr>
              <w:t>shares authorized; 1,066 (2025) and 1,133 (2024) shares issued</w:t>
            </w:r>
          </w:p>
        </w:tc>
        <w:tc>
          <w:tcPr>
            <w:tcW w:w="540" w:type="dxa"/>
            <w:vAlign w:val="bottom"/>
          </w:tcPr>
          <w:p>
            <w:pPr>
              <w:spacing w:after="0"/>
              <w:rPr>
                <w:sz w:val="18"/>
                <w:szCs w:val="18"/>
                <w:color w:val="auto"/>
              </w:rPr>
            </w:pPr>
          </w:p>
        </w:tc>
        <w:tc>
          <w:tcPr>
            <w:tcW w:w="1680" w:type="dxa"/>
            <w:vAlign w:val="bottom"/>
            <w:tcBorders>
              <w:right w:val="single" w:sz="8" w:color="auto"/>
            </w:tcBorders>
          </w:tcPr>
          <w:p>
            <w:pPr>
              <w:jc w:val="right"/>
              <w:ind w:right="439"/>
              <w:spacing w:after="0"/>
              <w:rPr>
                <w:sz w:val="20"/>
                <w:szCs w:val="20"/>
                <w:color w:val="auto"/>
              </w:rPr>
            </w:pPr>
            <w:r>
              <w:rPr>
                <w:rFonts w:ascii="Arial" w:cs="Arial" w:eastAsia="Arial" w:hAnsi="Arial"/>
                <w:sz w:val="16"/>
                <w:szCs w:val="16"/>
                <w:color w:val="auto"/>
              </w:rPr>
              <w:t>1</w:t>
            </w:r>
          </w:p>
        </w:tc>
        <w:tc>
          <w:tcPr>
            <w:tcW w:w="720" w:type="dxa"/>
            <w:vAlign w:val="bottom"/>
          </w:tcPr>
          <w:p>
            <w:pPr>
              <w:spacing w:after="0"/>
              <w:rPr>
                <w:sz w:val="18"/>
                <w:szCs w:val="18"/>
                <w:color w:val="auto"/>
              </w:rPr>
            </w:pP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1</w:t>
            </w:r>
          </w:p>
        </w:tc>
      </w:tr>
      <w:tr>
        <w:trPr>
          <w:trHeight w:val="243"/>
        </w:trPr>
        <w:tc>
          <w:tcPr>
            <w:tcW w:w="7040" w:type="dxa"/>
            <w:vAlign w:val="bottom"/>
          </w:tcPr>
          <w:p>
            <w:pPr>
              <w:ind w:left="120"/>
              <w:spacing w:after="0"/>
              <w:rPr>
                <w:sz w:val="20"/>
                <w:szCs w:val="20"/>
                <w:color w:val="auto"/>
              </w:rPr>
            </w:pPr>
            <w:r>
              <w:rPr>
                <w:rFonts w:ascii="Arial" w:cs="Arial" w:eastAsia="Arial" w:hAnsi="Arial"/>
                <w:sz w:val="16"/>
                <w:szCs w:val="16"/>
                <w:color w:val="auto"/>
              </w:rPr>
              <w:t>Additional paid-in capital</w:t>
            </w:r>
          </w:p>
        </w:tc>
        <w:tc>
          <w:tcPr>
            <w:tcW w:w="540" w:type="dxa"/>
            <w:vAlign w:val="bottom"/>
          </w:tcPr>
          <w:p>
            <w:pPr>
              <w:spacing w:after="0"/>
              <w:rPr>
                <w:sz w:val="21"/>
                <w:szCs w:val="21"/>
                <w:color w:val="auto"/>
              </w:rPr>
            </w:pPr>
          </w:p>
        </w:tc>
        <w:tc>
          <w:tcPr>
            <w:tcW w:w="1680" w:type="dxa"/>
            <w:vAlign w:val="bottom"/>
            <w:tcBorders>
              <w:right w:val="single" w:sz="8" w:color="auto"/>
            </w:tcBorders>
          </w:tcPr>
          <w:p>
            <w:pPr>
              <w:jc w:val="right"/>
              <w:ind w:right="439"/>
              <w:spacing w:after="0"/>
              <w:rPr>
                <w:sz w:val="20"/>
                <w:szCs w:val="20"/>
                <w:color w:val="auto"/>
              </w:rPr>
            </w:pPr>
            <w:r>
              <w:rPr>
                <w:rFonts w:ascii="Arial" w:cs="Arial" w:eastAsia="Arial" w:hAnsi="Arial"/>
                <w:sz w:val="16"/>
                <w:szCs w:val="16"/>
                <w:color w:val="auto"/>
              </w:rPr>
              <w:t>13,159</w:t>
            </w:r>
          </w:p>
        </w:tc>
        <w:tc>
          <w:tcPr>
            <w:tcW w:w="720" w:type="dxa"/>
            <w:vAlign w:val="bottom"/>
          </w:tcPr>
          <w:p>
            <w:pPr>
              <w:spacing w:after="0"/>
              <w:rPr>
                <w:sz w:val="21"/>
                <w:szCs w:val="21"/>
                <w:color w:val="auto"/>
              </w:rPr>
            </w:pP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33,394</w:t>
            </w:r>
          </w:p>
        </w:tc>
      </w:tr>
      <w:tr>
        <w:trPr>
          <w:trHeight w:val="243"/>
        </w:trPr>
        <w:tc>
          <w:tcPr>
            <w:tcW w:w="7040" w:type="dxa"/>
            <w:vAlign w:val="bottom"/>
          </w:tcPr>
          <w:p>
            <w:pPr>
              <w:ind w:left="120"/>
              <w:spacing w:after="0"/>
              <w:rPr>
                <w:sz w:val="20"/>
                <w:szCs w:val="20"/>
                <w:color w:val="auto"/>
              </w:rPr>
            </w:pPr>
            <w:r>
              <w:rPr>
                <w:rFonts w:ascii="Arial" w:cs="Arial" w:eastAsia="Arial" w:hAnsi="Arial"/>
                <w:sz w:val="16"/>
                <w:szCs w:val="16"/>
                <w:color w:val="auto"/>
              </w:rPr>
              <w:t>Treasury stock, at cost; — (2025) and 503 (2024) shares of Class B Common Stock</w:t>
            </w:r>
          </w:p>
        </w:tc>
        <w:tc>
          <w:tcPr>
            <w:tcW w:w="540" w:type="dxa"/>
            <w:vAlign w:val="bottom"/>
          </w:tcPr>
          <w:p>
            <w:pPr>
              <w:spacing w:after="0"/>
              <w:rPr>
                <w:sz w:val="21"/>
                <w:szCs w:val="21"/>
                <w:color w:val="auto"/>
              </w:rPr>
            </w:pPr>
          </w:p>
        </w:tc>
        <w:tc>
          <w:tcPr>
            <w:tcW w:w="1680" w:type="dxa"/>
            <w:vAlign w:val="bottom"/>
            <w:tcBorders>
              <w:right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21"/>
                <w:szCs w:val="21"/>
                <w:color w:val="auto"/>
              </w:rPr>
            </w:pPr>
          </w:p>
        </w:tc>
        <w:tc>
          <w:tcPr>
            <w:tcW w:w="1200" w:type="dxa"/>
            <w:vAlign w:val="bottom"/>
          </w:tcPr>
          <w:p>
            <w:pPr>
              <w:jc w:val="right"/>
              <w:ind w:right="279"/>
              <w:spacing w:after="0"/>
              <w:rPr>
                <w:sz w:val="20"/>
                <w:szCs w:val="20"/>
                <w:color w:val="auto"/>
              </w:rPr>
            </w:pPr>
            <w:r>
              <w:rPr>
                <w:rFonts w:ascii="Arial" w:cs="Arial" w:eastAsia="Arial" w:hAnsi="Arial"/>
                <w:sz w:val="16"/>
                <w:szCs w:val="16"/>
                <w:color w:val="auto"/>
              </w:rPr>
              <w:t>(22,958)</w:t>
            </w:r>
          </w:p>
        </w:tc>
      </w:tr>
      <w:tr>
        <w:trPr>
          <w:trHeight w:val="243"/>
        </w:trPr>
        <w:tc>
          <w:tcPr>
            <w:tcW w:w="7040" w:type="dxa"/>
            <w:vAlign w:val="bottom"/>
          </w:tcPr>
          <w:p>
            <w:pPr>
              <w:ind w:left="120"/>
              <w:spacing w:after="0"/>
              <w:rPr>
                <w:sz w:val="20"/>
                <w:szCs w:val="20"/>
                <w:color w:val="auto"/>
              </w:rPr>
            </w:pPr>
            <w:r>
              <w:rPr>
                <w:rFonts w:ascii="Arial" w:cs="Arial" w:eastAsia="Arial" w:hAnsi="Arial"/>
                <w:sz w:val="16"/>
                <w:szCs w:val="16"/>
                <w:color w:val="auto"/>
              </w:rPr>
              <w:t>Retained earnings (accumulated deficit)</w:t>
            </w:r>
          </w:p>
        </w:tc>
        <w:tc>
          <w:tcPr>
            <w:tcW w:w="540" w:type="dxa"/>
            <w:vAlign w:val="bottom"/>
          </w:tcPr>
          <w:p>
            <w:pPr>
              <w:spacing w:after="0"/>
              <w:rPr>
                <w:sz w:val="21"/>
                <w:szCs w:val="21"/>
                <w:color w:val="auto"/>
              </w:rPr>
            </w:pPr>
          </w:p>
        </w:tc>
        <w:tc>
          <w:tcPr>
            <w:tcW w:w="1680" w:type="dxa"/>
            <w:vAlign w:val="bottom"/>
            <w:tcBorders>
              <w:right w:val="single" w:sz="8" w:color="auto"/>
            </w:tcBorders>
          </w:tcPr>
          <w:p>
            <w:pPr>
              <w:jc w:val="right"/>
              <w:ind w:right="399"/>
              <w:spacing w:after="0"/>
              <w:rPr>
                <w:sz w:val="20"/>
                <w:szCs w:val="20"/>
                <w:color w:val="auto"/>
              </w:rPr>
            </w:pPr>
            <w:r>
              <w:rPr>
                <w:rFonts w:ascii="Arial" w:cs="Arial" w:eastAsia="Arial" w:hAnsi="Arial"/>
                <w:sz w:val="16"/>
                <w:szCs w:val="16"/>
                <w:color w:val="auto"/>
              </w:rPr>
              <w:t>(1,180)</w:t>
            </w:r>
          </w:p>
        </w:tc>
        <w:tc>
          <w:tcPr>
            <w:tcW w:w="720" w:type="dxa"/>
            <w:vAlign w:val="bottom"/>
          </w:tcPr>
          <w:p>
            <w:pPr>
              <w:spacing w:after="0"/>
              <w:rPr>
                <w:sz w:val="21"/>
                <w:szCs w:val="21"/>
                <w:color w:val="auto"/>
              </w:rPr>
            </w:pP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7,487</w:t>
            </w:r>
          </w:p>
        </w:tc>
      </w:tr>
      <w:tr>
        <w:trPr>
          <w:trHeight w:val="252"/>
        </w:trPr>
        <w:tc>
          <w:tcPr>
            <w:tcW w:w="70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Accumulated other comprehensive income (loss)</w:t>
            </w:r>
          </w:p>
        </w:tc>
        <w:tc>
          <w:tcPr>
            <w:tcW w:w="540" w:type="dxa"/>
            <w:vAlign w:val="bottom"/>
            <w:tcBorders>
              <w:bottom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jc w:val="right"/>
              <w:ind w:right="439"/>
              <w:spacing w:after="0"/>
              <w:rPr>
                <w:sz w:val="20"/>
                <w:szCs w:val="20"/>
                <w:color w:val="auto"/>
              </w:rPr>
            </w:pPr>
            <w:r>
              <w:rPr>
                <w:rFonts w:ascii="Arial" w:cs="Arial" w:eastAsia="Arial" w:hAnsi="Arial"/>
                <w:sz w:val="16"/>
                <w:szCs w:val="16"/>
                <w:color w:val="auto"/>
              </w:rPr>
              <w:t>25</w:t>
            </w:r>
          </w:p>
        </w:tc>
        <w:tc>
          <w:tcPr>
            <w:tcW w:w="7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(1,604)</w:t>
            </w:r>
          </w:p>
        </w:tc>
      </w:tr>
      <w:tr>
        <w:trPr>
          <w:trHeight w:val="228"/>
        </w:trPr>
        <w:tc>
          <w:tcPr>
            <w:tcW w:w="7040" w:type="dxa"/>
            <w:vAlign w:val="bottom"/>
          </w:tcPr>
          <w:p>
            <w:pPr>
              <w:ind w:left="200"/>
              <w:spacing w:after="0"/>
              <w:rPr>
                <w:sz w:val="20"/>
                <w:szCs w:val="20"/>
                <w:color w:val="auto"/>
              </w:rPr>
            </w:pPr>
            <w:r>
              <w:rPr>
                <w:rFonts w:ascii="Arial" w:cs="Arial" w:eastAsia="Arial" w:hAnsi="Arial"/>
                <w:sz w:val="16"/>
                <w:szCs w:val="16"/>
                <w:color w:val="auto"/>
              </w:rPr>
              <w:t>Total Parent stockholders’ equity</w:t>
            </w:r>
          </w:p>
        </w:tc>
        <w:tc>
          <w:tcPr>
            <w:tcW w:w="540" w:type="dxa"/>
            <w:vAlign w:val="bottom"/>
          </w:tcPr>
          <w:p>
            <w:pPr>
              <w:spacing w:after="0"/>
              <w:rPr>
                <w:sz w:val="19"/>
                <w:szCs w:val="19"/>
                <w:color w:val="auto"/>
              </w:rPr>
            </w:pPr>
          </w:p>
        </w:tc>
        <w:tc>
          <w:tcPr>
            <w:tcW w:w="1680" w:type="dxa"/>
            <w:vAlign w:val="bottom"/>
            <w:tcBorders>
              <w:right w:val="single" w:sz="8" w:color="auto"/>
            </w:tcBorders>
          </w:tcPr>
          <w:p>
            <w:pPr>
              <w:jc w:val="right"/>
              <w:ind w:right="439"/>
              <w:spacing w:after="0"/>
              <w:rPr>
                <w:sz w:val="20"/>
                <w:szCs w:val="20"/>
                <w:color w:val="auto"/>
              </w:rPr>
            </w:pPr>
            <w:r>
              <w:rPr>
                <w:rFonts w:ascii="Arial" w:cs="Arial" w:eastAsia="Arial" w:hAnsi="Arial"/>
                <w:sz w:val="16"/>
                <w:szCs w:val="16"/>
                <w:color w:val="auto"/>
              </w:rPr>
              <w:t>12,005</w:t>
            </w:r>
          </w:p>
        </w:tc>
        <w:tc>
          <w:tcPr>
            <w:tcW w:w="720" w:type="dxa"/>
            <w:vAlign w:val="bottom"/>
          </w:tcPr>
          <w:p>
            <w:pPr>
              <w:spacing w:after="0"/>
              <w:rPr>
                <w:sz w:val="19"/>
                <w:szCs w:val="19"/>
                <w:color w:val="auto"/>
              </w:rPr>
            </w:pP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16,320</w:t>
            </w:r>
          </w:p>
        </w:tc>
      </w:tr>
      <w:tr>
        <w:trPr>
          <w:trHeight w:val="252"/>
        </w:trPr>
        <w:tc>
          <w:tcPr>
            <w:tcW w:w="70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Noncontrolling interests</w:t>
            </w:r>
          </w:p>
        </w:tc>
        <w:tc>
          <w:tcPr>
            <w:tcW w:w="540" w:type="dxa"/>
            <w:vAlign w:val="bottom"/>
            <w:tcBorders>
              <w:bottom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jc w:val="right"/>
              <w:ind w:right="439"/>
              <w:spacing w:after="0"/>
              <w:rPr>
                <w:sz w:val="20"/>
                <w:szCs w:val="20"/>
                <w:color w:val="auto"/>
              </w:rPr>
            </w:pPr>
            <w:r>
              <w:rPr>
                <w:rFonts w:ascii="Arial" w:cs="Arial" w:eastAsia="Arial" w:hAnsi="Arial"/>
                <w:sz w:val="16"/>
                <w:szCs w:val="16"/>
                <w:color w:val="auto"/>
              </w:rPr>
              <w:t>1,266</w:t>
            </w:r>
          </w:p>
        </w:tc>
        <w:tc>
          <w:tcPr>
            <w:tcW w:w="7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462</w:t>
            </w:r>
          </w:p>
        </w:tc>
      </w:tr>
      <w:tr>
        <w:trPr>
          <w:trHeight w:val="237"/>
        </w:trPr>
        <w:tc>
          <w:tcPr>
            <w:tcW w:w="70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Equity</w:t>
            </w:r>
          </w:p>
        </w:tc>
        <w:tc>
          <w:tcPr>
            <w:tcW w:w="540" w:type="dxa"/>
            <w:vAlign w:val="bottom"/>
            <w:tcBorders>
              <w:bottom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jc w:val="right"/>
              <w:ind w:right="439"/>
              <w:spacing w:after="0"/>
              <w:rPr>
                <w:sz w:val="20"/>
                <w:szCs w:val="20"/>
                <w:color w:val="auto"/>
              </w:rPr>
            </w:pPr>
            <w:r>
              <w:rPr>
                <w:rFonts w:ascii="Arial" w:cs="Arial" w:eastAsia="Arial" w:hAnsi="Arial"/>
                <w:sz w:val="16"/>
                <w:szCs w:val="16"/>
                <w:color w:val="auto"/>
              </w:rPr>
              <w:t>13,271</w:t>
            </w:r>
          </w:p>
        </w:tc>
        <w:tc>
          <w:tcPr>
            <w:tcW w:w="7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16,782</w:t>
            </w:r>
          </w:p>
        </w:tc>
      </w:tr>
      <w:tr>
        <w:trPr>
          <w:trHeight w:val="250"/>
        </w:trPr>
        <w:tc>
          <w:tcPr>
            <w:tcW w:w="70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Liabilities and Equity</w:t>
            </w: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right w:val="single" w:sz="8" w:color="auto"/>
            </w:tcBorders>
          </w:tcPr>
          <w:p>
            <w:pPr>
              <w:jc w:val="right"/>
              <w:ind w:right="439"/>
              <w:spacing w:after="0"/>
              <w:rPr>
                <w:sz w:val="20"/>
                <w:szCs w:val="20"/>
                <w:color w:val="auto"/>
              </w:rPr>
            </w:pPr>
            <w:r>
              <w:rPr>
                <w:rFonts w:ascii="Arial" w:cs="Arial" w:eastAsia="Arial" w:hAnsi="Arial"/>
                <w:sz w:val="16"/>
                <w:szCs w:val="16"/>
                <w:color w:val="auto"/>
              </w:rPr>
              <w:t>43,181</w:t>
            </w:r>
          </w:p>
        </w:tc>
        <w:tc>
          <w:tcPr>
            <w:tcW w:w="7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46,172</w:t>
            </w:r>
          </w:p>
        </w:tc>
      </w:tr>
    </w:tbl>
    <w:p>
      <w:pPr>
        <w:spacing w:after="0" w:line="200" w:lineRule="exact"/>
        <w:rPr>
          <w:sz w:val="20"/>
          <w:szCs w:val="20"/>
          <w:color w:val="auto"/>
        </w:rPr>
      </w:pPr>
    </w:p>
    <w:p>
      <w:pPr>
        <w:sectPr>
          <w:pgSz w:w="11900" w:h="16838" w:orient="portrait"/>
          <w:cols w:equalWidth="0" w:num="1">
            <w:col w:w="11200"/>
          </w:cols>
          <w:pgMar w:left="360" w:top="1097" w:right="339" w:bottom="6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1000"/>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200"/>
          </w:cols>
          <w:pgMar w:left="360" w:top="1097" w:right="339" w:bottom="635" w:gutter="0" w:footer="0" w:header="0"/>
          <w:type w:val="continuous"/>
        </w:sectPr>
      </w:pPr>
    </w:p>
    <w:bookmarkStart w:id="21" w:name="page22"/>
    <w:bookmarkEnd w:id="21"/>
    <w:p>
      <w:pPr>
        <w:ind w:left="2400"/>
        <w:spacing w:after="0"/>
        <w:rPr>
          <w:sz w:val="20"/>
          <w:szCs w:val="20"/>
          <w:color w:val="auto"/>
        </w:rPr>
      </w:pPr>
      <w:r>
        <w:rPr>
          <w:rFonts w:ascii="Arial" w:cs="Arial" w:eastAsia="Arial" w:hAnsi="Arial"/>
          <w:sz w:val="22"/>
          <w:szCs w:val="22"/>
          <w:b w:val="1"/>
          <w:bCs w:val="1"/>
          <w:color w:val="auto"/>
        </w:rPr>
        <w:t>PARAMOUNT SKYDANCE CORPORATION AND SUBSIDIARIES</w:t>
      </w:r>
    </w:p>
    <w:p>
      <w:pPr>
        <w:spacing w:after="0" w:line="152" w:lineRule="exact"/>
        <w:rPr>
          <w:sz w:val="20"/>
          <w:szCs w:val="20"/>
          <w:color w:val="auto"/>
        </w:rPr>
      </w:pPr>
    </w:p>
    <w:p>
      <w:pPr>
        <w:ind w:left="3080"/>
        <w:spacing w:after="0"/>
        <w:rPr>
          <w:sz w:val="20"/>
          <w:szCs w:val="20"/>
          <w:color w:val="auto"/>
        </w:rPr>
      </w:pPr>
      <w:r>
        <w:rPr>
          <w:rFonts w:ascii="Arial" w:cs="Arial" w:eastAsia="Arial" w:hAnsi="Arial"/>
          <w:sz w:val="22"/>
          <w:szCs w:val="22"/>
          <w:b w:val="1"/>
          <w:bCs w:val="1"/>
          <w:color w:val="auto"/>
        </w:rPr>
        <w:t>CONSOLIDATED STATEMENTS OF CASH FLOWS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400" w:type="dxa"/>
            <w:vAlign w:val="bottom"/>
            <w:tcBorders>
              <w:top w:val="single" w:sz="8" w:color="auto"/>
            </w:tcBorders>
          </w:tcPr>
          <w:p>
            <w:pPr>
              <w:spacing w:after="0"/>
              <w:rPr>
                <w:sz w:val="21"/>
                <w:szCs w:val="21"/>
                <w:color w:val="auto"/>
              </w:rPr>
            </w:pPr>
          </w:p>
        </w:tc>
        <w:tc>
          <w:tcPr>
            <w:tcW w:w="1260" w:type="dxa"/>
            <w:vAlign w:val="bottom"/>
            <w:tcBorders>
              <w:top w:val="single" w:sz="8" w:color="auto"/>
              <w:bottom w:val="single" w:sz="8" w:color="auto"/>
              <w:right w:val="single" w:sz="8" w:color="auto"/>
            </w:tcBorders>
            <w:gridSpan w:val="2"/>
          </w:tcPr>
          <w:p>
            <w:pPr>
              <w:jc w:val="center"/>
              <w:ind w:right="28"/>
              <w:spacing w:after="0"/>
              <w:rPr>
                <w:sz w:val="20"/>
                <w:szCs w:val="20"/>
                <w:color w:val="auto"/>
              </w:rPr>
            </w:pPr>
            <w:r>
              <w:rPr>
                <w:rFonts w:ascii="Arial" w:cs="Arial" w:eastAsia="Arial" w:hAnsi="Arial"/>
                <w:sz w:val="14"/>
                <w:szCs w:val="14"/>
                <w:b w:val="1"/>
                <w:bCs w:val="1"/>
                <w:color w:val="auto"/>
              </w:rPr>
              <w:t>Successor</w:t>
            </w:r>
          </w:p>
        </w:tc>
        <w:tc>
          <w:tcPr>
            <w:tcW w:w="320" w:type="dxa"/>
            <w:vAlign w:val="bottom"/>
            <w:tcBorders>
              <w:top w:val="single" w:sz="8" w:color="auto"/>
              <w:bottom w:val="single" w:sz="8" w:color="auto"/>
            </w:tcBorders>
          </w:tcPr>
          <w:p>
            <w:pPr>
              <w:spacing w:after="0"/>
              <w:rPr>
                <w:sz w:val="21"/>
                <w:szCs w:val="21"/>
                <w:color w:val="auto"/>
              </w:rPr>
            </w:pPr>
          </w:p>
        </w:tc>
        <w:tc>
          <w:tcPr>
            <w:tcW w:w="2260" w:type="dxa"/>
            <w:vAlign w:val="bottom"/>
            <w:tcBorders>
              <w:top w:val="single" w:sz="8" w:color="auto"/>
              <w:bottom w:val="single" w:sz="8" w:color="auto"/>
            </w:tcBorders>
            <w:gridSpan w:val="3"/>
          </w:tcPr>
          <w:p>
            <w:pPr>
              <w:jc w:val="right"/>
              <w:ind w:right="748"/>
              <w:spacing w:after="0"/>
              <w:rPr>
                <w:sz w:val="20"/>
                <w:szCs w:val="20"/>
                <w:color w:val="auto"/>
              </w:rPr>
            </w:pPr>
            <w:r>
              <w:rPr>
                <w:rFonts w:ascii="Arial" w:cs="Arial" w:eastAsia="Arial" w:hAnsi="Arial"/>
                <w:sz w:val="14"/>
                <w:szCs w:val="14"/>
                <w:b w:val="1"/>
                <w:bCs w:val="1"/>
                <w:color w:val="auto"/>
              </w:rPr>
              <w:t>Predecessor</w:t>
            </w:r>
          </w:p>
        </w:tc>
      </w:tr>
      <w:tr>
        <w:trPr>
          <w:trHeight w:val="193"/>
        </w:trPr>
        <w:tc>
          <w:tcPr>
            <w:tcW w:w="7400" w:type="dxa"/>
            <w:vAlign w:val="bottom"/>
          </w:tcPr>
          <w:p>
            <w:pPr>
              <w:spacing w:after="0"/>
              <w:rPr>
                <w:sz w:val="16"/>
                <w:szCs w:val="16"/>
                <w:color w:val="auto"/>
              </w:rPr>
            </w:pPr>
          </w:p>
        </w:tc>
        <w:tc>
          <w:tcPr>
            <w:tcW w:w="1260" w:type="dxa"/>
            <w:vAlign w:val="bottom"/>
            <w:tcBorders>
              <w:right w:val="single" w:sz="8" w:color="auto"/>
            </w:tcBorders>
            <w:gridSpan w:val="2"/>
          </w:tcPr>
          <w:p>
            <w:pPr>
              <w:jc w:val="center"/>
              <w:ind w:right="28"/>
              <w:spacing w:after="0"/>
              <w:rPr>
                <w:sz w:val="20"/>
                <w:szCs w:val="20"/>
                <w:color w:val="auto"/>
              </w:rPr>
            </w:pPr>
            <w:r>
              <w:rPr>
                <w:rFonts w:ascii="Arial" w:cs="Arial" w:eastAsia="Arial" w:hAnsi="Arial"/>
                <w:sz w:val="14"/>
                <w:szCs w:val="14"/>
                <w:b w:val="1"/>
                <w:bCs w:val="1"/>
                <w:color w:val="auto"/>
              </w:rPr>
              <w:t>Period From</w:t>
            </w: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rPr>
              <w:t>Period From</w:t>
            </w: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rPr>
              <w:t>Nine Months</w:t>
            </w:r>
          </w:p>
        </w:tc>
      </w:tr>
      <w:tr>
        <w:trPr>
          <w:trHeight w:val="175"/>
        </w:trPr>
        <w:tc>
          <w:tcPr>
            <w:tcW w:w="7400" w:type="dxa"/>
            <w:vAlign w:val="bottom"/>
          </w:tcPr>
          <w:p>
            <w:pPr>
              <w:spacing w:after="0"/>
              <w:rPr>
                <w:sz w:val="15"/>
                <w:szCs w:val="15"/>
                <w:color w:val="auto"/>
              </w:rPr>
            </w:pPr>
          </w:p>
        </w:tc>
        <w:tc>
          <w:tcPr>
            <w:tcW w:w="1260" w:type="dxa"/>
            <w:vAlign w:val="bottom"/>
            <w:tcBorders>
              <w:right w:val="single" w:sz="8" w:color="auto"/>
            </w:tcBorders>
            <w:gridSpan w:val="2"/>
          </w:tcPr>
          <w:p>
            <w:pPr>
              <w:jc w:val="center"/>
              <w:ind w:right="28"/>
              <w:spacing w:after="0"/>
              <w:rPr>
                <w:sz w:val="20"/>
                <w:szCs w:val="20"/>
                <w:color w:val="auto"/>
              </w:rPr>
            </w:pPr>
            <w:r>
              <w:rPr>
                <w:rFonts w:ascii="Arial" w:cs="Arial" w:eastAsia="Arial" w:hAnsi="Arial"/>
                <w:sz w:val="14"/>
                <w:szCs w:val="14"/>
                <w:b w:val="1"/>
                <w:bCs w:val="1"/>
                <w:color w:val="auto"/>
              </w:rPr>
              <w:t>August 7 -</w:t>
            </w: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rPr>
              <w:t>January 1 -</w:t>
            </w:r>
          </w:p>
        </w:tc>
        <w:tc>
          <w:tcPr>
            <w:tcW w:w="400" w:type="dxa"/>
            <w:vAlign w:val="bottom"/>
          </w:tcPr>
          <w:p>
            <w:pPr>
              <w:spacing w:after="0"/>
              <w:rPr>
                <w:sz w:val="15"/>
                <w:szCs w:val="15"/>
                <w:color w:val="auto"/>
              </w:rPr>
            </w:pPr>
          </w:p>
        </w:tc>
        <w:tc>
          <w:tcPr>
            <w:tcW w:w="900" w:type="dxa"/>
            <w:vAlign w:val="bottom"/>
          </w:tcPr>
          <w:p>
            <w:pPr>
              <w:jc w:val="center"/>
              <w:ind w:right="268"/>
              <w:spacing w:after="0"/>
              <w:rPr>
                <w:sz w:val="20"/>
                <w:szCs w:val="20"/>
                <w:color w:val="auto"/>
              </w:rPr>
            </w:pPr>
            <w:r>
              <w:rPr>
                <w:rFonts w:ascii="Arial" w:cs="Arial" w:eastAsia="Arial" w:hAnsi="Arial"/>
                <w:sz w:val="14"/>
                <w:szCs w:val="14"/>
                <w:b w:val="1"/>
                <w:bCs w:val="1"/>
                <w:color w:val="auto"/>
              </w:rPr>
              <w:t>Ended</w:t>
            </w:r>
          </w:p>
        </w:tc>
      </w:tr>
      <w:tr>
        <w:trPr>
          <w:trHeight w:val="197"/>
        </w:trPr>
        <w:tc>
          <w:tcPr>
            <w:tcW w:w="740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gridSpan w:val="2"/>
          </w:tcPr>
          <w:p>
            <w:pPr>
              <w:jc w:val="center"/>
              <w:ind w:right="28"/>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August 6,</w:t>
            </w: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September 30,</w:t>
            </w:r>
          </w:p>
        </w:tc>
      </w:tr>
      <w:tr>
        <w:trPr>
          <w:trHeight w:val="218"/>
        </w:trPr>
        <w:tc>
          <w:tcPr>
            <w:tcW w:w="74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jc w:val="center"/>
              <w:ind w:right="368"/>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268"/>
              <w:spacing w:after="0"/>
              <w:rPr>
                <w:sz w:val="20"/>
                <w:szCs w:val="20"/>
                <w:color w:val="auto"/>
              </w:rPr>
            </w:pPr>
            <w:r>
              <w:rPr>
                <w:rFonts w:ascii="Arial" w:cs="Arial" w:eastAsia="Arial" w:hAnsi="Arial"/>
                <w:sz w:val="14"/>
                <w:szCs w:val="14"/>
                <w:b w:val="1"/>
                <w:bCs w:val="1"/>
                <w:color w:val="auto"/>
              </w:rPr>
              <w:t>2024</w:t>
            </w:r>
          </w:p>
        </w:tc>
      </w:tr>
      <w:tr>
        <w:trPr>
          <w:trHeight w:val="214"/>
        </w:trPr>
        <w:tc>
          <w:tcPr>
            <w:tcW w:w="7400" w:type="dxa"/>
            <w:vAlign w:val="bottom"/>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34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3"/>
        </w:trPr>
        <w:tc>
          <w:tcPr>
            <w:tcW w:w="7400" w:type="dxa"/>
            <w:vAlign w:val="bottom"/>
          </w:tcPr>
          <w:p>
            <w:pPr>
              <w:ind w:left="20"/>
              <w:spacing w:after="0"/>
              <w:rPr>
                <w:sz w:val="20"/>
                <w:szCs w:val="20"/>
                <w:color w:val="auto"/>
              </w:rPr>
            </w:pPr>
            <w:r>
              <w:rPr>
                <w:rFonts w:ascii="Arial" w:cs="Arial" w:eastAsia="Arial" w:hAnsi="Arial"/>
                <w:sz w:val="14"/>
                <w:szCs w:val="14"/>
                <w:color w:val="auto"/>
              </w:rPr>
              <w:t>Net earnings (loss) (Parent and noncontrolling interests)</w:t>
            </w: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right"/>
              <w:ind w:right="248"/>
              <w:spacing w:after="0"/>
              <w:rPr>
                <w:sz w:val="20"/>
                <w:szCs w:val="20"/>
                <w:color w:val="auto"/>
              </w:rPr>
            </w:pPr>
            <w:r>
              <w:rPr>
                <w:rFonts w:ascii="Arial" w:cs="Arial" w:eastAsia="Arial" w:hAnsi="Arial"/>
                <w:sz w:val="14"/>
                <w:szCs w:val="14"/>
                <w:color w:val="auto"/>
              </w:rPr>
              <w:t>4</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88"/>
              <w:spacing w:after="0"/>
              <w:rPr>
                <w:sz w:val="20"/>
                <w:szCs w:val="20"/>
                <w:color w:val="auto"/>
              </w:rPr>
            </w:pPr>
            <w:r>
              <w:rPr>
                <w:rFonts w:ascii="Arial" w:cs="Arial" w:eastAsia="Arial" w:hAnsi="Arial"/>
                <w:sz w:val="14"/>
                <w:szCs w:val="14"/>
                <w:color w:val="auto"/>
              </w:rPr>
              <w:t>412</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(5,927)</w:t>
            </w:r>
          </w:p>
        </w:tc>
      </w:tr>
      <w:tr>
        <w:trPr>
          <w:trHeight w:val="229"/>
        </w:trPr>
        <w:tc>
          <w:tcPr>
            <w:tcW w:w="7400" w:type="dxa"/>
            <w:vAlign w:val="bottom"/>
          </w:tcPr>
          <w:p>
            <w:pPr>
              <w:ind w:left="20"/>
              <w:spacing w:after="0"/>
              <w:rPr>
                <w:sz w:val="20"/>
                <w:szCs w:val="20"/>
                <w:color w:val="auto"/>
              </w:rPr>
            </w:pPr>
            <w:r>
              <w:rPr>
                <w:rFonts w:ascii="Arial" w:cs="Arial" w:eastAsia="Arial" w:hAnsi="Arial"/>
                <w:sz w:val="14"/>
                <w:szCs w:val="14"/>
                <w:color w:val="auto"/>
              </w:rPr>
              <w:t>Less: Net earnings from discontinued operations, net of tax</w:t>
            </w:r>
          </w:p>
        </w:tc>
        <w:tc>
          <w:tcPr>
            <w:tcW w:w="340" w:type="dxa"/>
            <w:vAlign w:val="bottom"/>
          </w:tcPr>
          <w:p>
            <w:pPr>
              <w:spacing w:after="0"/>
              <w:rPr>
                <w:sz w:val="19"/>
                <w:szCs w:val="19"/>
                <w:color w:val="auto"/>
              </w:rPr>
            </w:pPr>
          </w:p>
        </w:tc>
        <w:tc>
          <w:tcPr>
            <w:tcW w:w="920" w:type="dxa"/>
            <w:vAlign w:val="bottom"/>
            <w:tcBorders>
              <w:right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9"/>
                <w:szCs w:val="19"/>
                <w:color w:val="auto"/>
              </w:rPr>
            </w:pPr>
          </w:p>
        </w:tc>
        <w:tc>
          <w:tcPr>
            <w:tcW w:w="9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9"/>
                <w:szCs w:val="19"/>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14</w:t>
            </w:r>
          </w:p>
        </w:tc>
      </w:tr>
      <w:tr>
        <w:trPr>
          <w:trHeight w:val="22"/>
        </w:trPr>
        <w:tc>
          <w:tcPr>
            <w:tcW w:w="7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02"/>
        </w:trPr>
        <w:tc>
          <w:tcPr>
            <w:tcW w:w="7400" w:type="dxa"/>
            <w:vAlign w:val="bottom"/>
          </w:tcPr>
          <w:p>
            <w:pPr>
              <w:ind w:left="20"/>
              <w:spacing w:after="0"/>
              <w:rPr>
                <w:sz w:val="20"/>
                <w:szCs w:val="20"/>
                <w:color w:val="auto"/>
              </w:rPr>
            </w:pPr>
            <w:r>
              <w:rPr>
                <w:rFonts w:ascii="Arial" w:cs="Arial" w:eastAsia="Arial" w:hAnsi="Arial"/>
                <w:sz w:val="14"/>
                <w:szCs w:val="14"/>
                <w:color w:val="auto"/>
              </w:rPr>
              <w:t>Net earnings (loss) from continuing operations</w:t>
            </w:r>
          </w:p>
        </w:tc>
        <w:tc>
          <w:tcPr>
            <w:tcW w:w="340" w:type="dxa"/>
            <w:vAlign w:val="bottom"/>
          </w:tcPr>
          <w:p>
            <w:pPr>
              <w:spacing w:after="0"/>
              <w:rPr>
                <w:sz w:val="17"/>
                <w:szCs w:val="17"/>
                <w:color w:val="auto"/>
              </w:rPr>
            </w:pPr>
          </w:p>
        </w:tc>
        <w:tc>
          <w:tcPr>
            <w:tcW w:w="920" w:type="dxa"/>
            <w:vAlign w:val="bottom"/>
            <w:tcBorders>
              <w:right w:val="single" w:sz="8" w:color="auto"/>
            </w:tcBorders>
          </w:tcPr>
          <w:p>
            <w:pPr>
              <w:jc w:val="right"/>
              <w:ind w:right="248"/>
              <w:spacing w:after="0"/>
              <w:rPr>
                <w:sz w:val="20"/>
                <w:szCs w:val="20"/>
                <w:color w:val="auto"/>
              </w:rPr>
            </w:pPr>
            <w:r>
              <w:rPr>
                <w:rFonts w:ascii="Arial" w:cs="Arial" w:eastAsia="Arial" w:hAnsi="Arial"/>
                <w:sz w:val="14"/>
                <w:szCs w:val="14"/>
                <w:color w:val="auto"/>
              </w:rPr>
              <w:t>4</w:t>
            </w:r>
          </w:p>
        </w:tc>
        <w:tc>
          <w:tcPr>
            <w:tcW w:w="320" w:type="dxa"/>
            <w:vAlign w:val="bottom"/>
          </w:tcPr>
          <w:p>
            <w:pPr>
              <w:spacing w:after="0"/>
              <w:rPr>
                <w:sz w:val="17"/>
                <w:szCs w:val="17"/>
                <w:color w:val="auto"/>
              </w:rPr>
            </w:pPr>
          </w:p>
        </w:tc>
        <w:tc>
          <w:tcPr>
            <w:tcW w:w="960" w:type="dxa"/>
            <w:vAlign w:val="bottom"/>
          </w:tcPr>
          <w:p>
            <w:pPr>
              <w:jc w:val="right"/>
              <w:ind w:right="188"/>
              <w:spacing w:after="0"/>
              <w:rPr>
                <w:sz w:val="20"/>
                <w:szCs w:val="20"/>
                <w:color w:val="auto"/>
              </w:rPr>
            </w:pPr>
            <w:r>
              <w:rPr>
                <w:rFonts w:ascii="Arial" w:cs="Arial" w:eastAsia="Arial" w:hAnsi="Arial"/>
                <w:sz w:val="14"/>
                <w:szCs w:val="14"/>
                <w:color w:val="auto"/>
              </w:rPr>
              <w:t>412</w:t>
            </w:r>
          </w:p>
        </w:tc>
        <w:tc>
          <w:tcPr>
            <w:tcW w:w="400" w:type="dxa"/>
            <w:vAlign w:val="bottom"/>
          </w:tcPr>
          <w:p>
            <w:pPr>
              <w:spacing w:after="0"/>
              <w:rPr>
                <w:sz w:val="17"/>
                <w:szCs w:val="17"/>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(5,941)</w:t>
            </w:r>
          </w:p>
        </w:tc>
      </w:tr>
      <w:tr>
        <w:trPr>
          <w:trHeight w:val="215"/>
        </w:trPr>
        <w:tc>
          <w:tcPr>
            <w:tcW w:w="7400" w:type="dxa"/>
            <w:vAlign w:val="bottom"/>
          </w:tcPr>
          <w:p>
            <w:pPr>
              <w:ind w:left="20"/>
              <w:spacing w:after="0"/>
              <w:rPr>
                <w:sz w:val="20"/>
                <w:szCs w:val="20"/>
                <w:color w:val="auto"/>
              </w:rPr>
            </w:pPr>
            <w:r>
              <w:rPr>
                <w:rFonts w:ascii="Arial" w:cs="Arial" w:eastAsia="Arial" w:hAnsi="Arial"/>
                <w:sz w:val="14"/>
                <w:szCs w:val="14"/>
                <w:color w:val="auto"/>
              </w:rPr>
              <w:t>Adjustments to reconcile net earnings (loss) from continuing operations to net cash flow provided by</w:t>
            </w:r>
          </w:p>
        </w:tc>
        <w:tc>
          <w:tcPr>
            <w:tcW w:w="34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90"/>
        </w:trPr>
        <w:tc>
          <w:tcPr>
            <w:tcW w:w="7400" w:type="dxa"/>
            <w:vAlign w:val="bottom"/>
          </w:tcPr>
          <w:p>
            <w:pPr>
              <w:ind w:left="260"/>
              <w:spacing w:after="0"/>
              <w:rPr>
                <w:sz w:val="20"/>
                <w:szCs w:val="20"/>
                <w:color w:val="auto"/>
              </w:rPr>
            </w:pPr>
            <w:r>
              <w:rPr>
                <w:rFonts w:ascii="Arial" w:cs="Arial" w:eastAsia="Arial" w:hAnsi="Arial"/>
                <w:sz w:val="14"/>
                <w:szCs w:val="14"/>
                <w:color w:val="auto"/>
              </w:rPr>
              <w:t>operating activities:</w:t>
            </w:r>
          </w:p>
        </w:tc>
        <w:tc>
          <w:tcPr>
            <w:tcW w:w="340" w:type="dxa"/>
            <w:vAlign w:val="bottom"/>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29"/>
        </w:trPr>
        <w:tc>
          <w:tcPr>
            <w:tcW w:w="7400" w:type="dxa"/>
            <w:vAlign w:val="bottom"/>
          </w:tcPr>
          <w:p>
            <w:pPr>
              <w:ind w:left="140"/>
              <w:spacing w:after="0"/>
              <w:rPr>
                <w:sz w:val="20"/>
                <w:szCs w:val="20"/>
                <w:color w:val="auto"/>
              </w:rPr>
            </w:pPr>
            <w:r>
              <w:rPr>
                <w:rFonts w:ascii="Arial" w:cs="Arial" w:eastAsia="Arial" w:hAnsi="Arial"/>
                <w:sz w:val="14"/>
                <w:szCs w:val="14"/>
                <w:color w:val="auto"/>
              </w:rPr>
              <w:t>Programming charges</w:t>
            </w:r>
          </w:p>
        </w:tc>
        <w:tc>
          <w:tcPr>
            <w:tcW w:w="340" w:type="dxa"/>
            <w:vAlign w:val="bottom"/>
          </w:tcPr>
          <w:p>
            <w:pPr>
              <w:spacing w:after="0"/>
              <w:rPr>
                <w:sz w:val="19"/>
                <w:szCs w:val="19"/>
                <w:color w:val="auto"/>
              </w:rPr>
            </w:pPr>
          </w:p>
        </w:tc>
        <w:tc>
          <w:tcPr>
            <w:tcW w:w="920" w:type="dxa"/>
            <w:vAlign w:val="bottom"/>
            <w:tcBorders>
              <w:right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9"/>
                <w:szCs w:val="19"/>
                <w:color w:val="auto"/>
              </w:rPr>
            </w:pPr>
          </w:p>
        </w:tc>
        <w:tc>
          <w:tcPr>
            <w:tcW w:w="9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9"/>
                <w:szCs w:val="19"/>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1,118</w:t>
            </w:r>
          </w:p>
        </w:tc>
      </w:tr>
      <w:tr>
        <w:trPr>
          <w:trHeight w:val="230"/>
        </w:trPr>
        <w:tc>
          <w:tcPr>
            <w:tcW w:w="740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340" w:type="dxa"/>
            <w:vAlign w:val="bottom"/>
          </w:tcPr>
          <w:p>
            <w:pPr>
              <w:spacing w:after="0"/>
              <w:rPr>
                <w:sz w:val="19"/>
                <w:szCs w:val="19"/>
                <w:color w:val="auto"/>
              </w:rPr>
            </w:pPr>
          </w:p>
        </w:tc>
        <w:tc>
          <w:tcPr>
            <w:tcW w:w="920" w:type="dxa"/>
            <w:vAlign w:val="bottom"/>
            <w:tcBorders>
              <w:right w:val="single" w:sz="8" w:color="auto"/>
            </w:tcBorders>
          </w:tcPr>
          <w:p>
            <w:pPr>
              <w:jc w:val="right"/>
              <w:ind w:right="248"/>
              <w:spacing w:after="0"/>
              <w:rPr>
                <w:sz w:val="20"/>
                <w:szCs w:val="20"/>
                <w:color w:val="auto"/>
              </w:rPr>
            </w:pPr>
            <w:r>
              <w:rPr>
                <w:rFonts w:ascii="Arial" w:cs="Arial" w:eastAsia="Arial" w:hAnsi="Arial"/>
                <w:sz w:val="14"/>
                <w:szCs w:val="14"/>
                <w:color w:val="auto"/>
              </w:rPr>
              <w:t>226</w:t>
            </w:r>
          </w:p>
        </w:tc>
        <w:tc>
          <w:tcPr>
            <w:tcW w:w="320" w:type="dxa"/>
            <w:vAlign w:val="bottom"/>
          </w:tcPr>
          <w:p>
            <w:pPr>
              <w:spacing w:after="0"/>
              <w:rPr>
                <w:sz w:val="19"/>
                <w:szCs w:val="19"/>
                <w:color w:val="auto"/>
              </w:rPr>
            </w:pPr>
          </w:p>
        </w:tc>
        <w:tc>
          <w:tcPr>
            <w:tcW w:w="960" w:type="dxa"/>
            <w:vAlign w:val="bottom"/>
          </w:tcPr>
          <w:p>
            <w:pPr>
              <w:jc w:val="right"/>
              <w:ind w:right="188"/>
              <w:spacing w:after="0"/>
              <w:rPr>
                <w:sz w:val="20"/>
                <w:szCs w:val="20"/>
                <w:color w:val="auto"/>
              </w:rPr>
            </w:pPr>
            <w:r>
              <w:rPr>
                <w:rFonts w:ascii="Arial" w:cs="Arial" w:eastAsia="Arial" w:hAnsi="Arial"/>
                <w:sz w:val="14"/>
                <w:szCs w:val="14"/>
                <w:color w:val="auto"/>
              </w:rPr>
              <w:t>204</w:t>
            </w:r>
          </w:p>
        </w:tc>
        <w:tc>
          <w:tcPr>
            <w:tcW w:w="400" w:type="dxa"/>
            <w:vAlign w:val="bottom"/>
          </w:tcPr>
          <w:p>
            <w:pPr>
              <w:spacing w:after="0"/>
              <w:rPr>
                <w:sz w:val="19"/>
                <w:szCs w:val="19"/>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297</w:t>
            </w:r>
          </w:p>
        </w:tc>
      </w:tr>
      <w:tr>
        <w:trPr>
          <w:trHeight w:val="229"/>
        </w:trPr>
        <w:tc>
          <w:tcPr>
            <w:tcW w:w="7400" w:type="dxa"/>
            <w:vAlign w:val="bottom"/>
          </w:tcPr>
          <w:p>
            <w:pPr>
              <w:ind w:left="140"/>
              <w:spacing w:after="0"/>
              <w:rPr>
                <w:sz w:val="20"/>
                <w:szCs w:val="20"/>
                <w:color w:val="auto"/>
              </w:rPr>
            </w:pPr>
            <w:r>
              <w:rPr>
                <w:rFonts w:ascii="Arial" w:cs="Arial" w:eastAsia="Arial" w:hAnsi="Arial"/>
                <w:sz w:val="14"/>
                <w:szCs w:val="14"/>
                <w:color w:val="auto"/>
              </w:rPr>
              <w:t>Impairment charges</w:t>
            </w:r>
          </w:p>
        </w:tc>
        <w:tc>
          <w:tcPr>
            <w:tcW w:w="340" w:type="dxa"/>
            <w:vAlign w:val="bottom"/>
          </w:tcPr>
          <w:p>
            <w:pPr>
              <w:spacing w:after="0"/>
              <w:rPr>
                <w:sz w:val="19"/>
                <w:szCs w:val="19"/>
                <w:color w:val="auto"/>
              </w:rPr>
            </w:pPr>
          </w:p>
        </w:tc>
        <w:tc>
          <w:tcPr>
            <w:tcW w:w="920" w:type="dxa"/>
            <w:vAlign w:val="bottom"/>
            <w:tcBorders>
              <w:right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9"/>
                <w:szCs w:val="19"/>
                <w:color w:val="auto"/>
              </w:rPr>
            </w:pPr>
          </w:p>
        </w:tc>
        <w:tc>
          <w:tcPr>
            <w:tcW w:w="960" w:type="dxa"/>
            <w:vAlign w:val="bottom"/>
          </w:tcPr>
          <w:p>
            <w:pPr>
              <w:jc w:val="right"/>
              <w:ind w:right="188"/>
              <w:spacing w:after="0"/>
              <w:rPr>
                <w:sz w:val="20"/>
                <w:szCs w:val="20"/>
                <w:color w:val="auto"/>
              </w:rPr>
            </w:pPr>
            <w:r>
              <w:rPr>
                <w:rFonts w:ascii="Arial" w:cs="Arial" w:eastAsia="Arial" w:hAnsi="Arial"/>
                <w:sz w:val="14"/>
                <w:szCs w:val="14"/>
                <w:color w:val="auto"/>
              </w:rPr>
              <w:t>157</w:t>
            </w:r>
          </w:p>
        </w:tc>
        <w:tc>
          <w:tcPr>
            <w:tcW w:w="400" w:type="dxa"/>
            <w:vAlign w:val="bottom"/>
          </w:tcPr>
          <w:p>
            <w:pPr>
              <w:spacing w:after="0"/>
              <w:rPr>
                <w:sz w:val="19"/>
                <w:szCs w:val="19"/>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6,100</w:t>
            </w:r>
          </w:p>
        </w:tc>
      </w:tr>
      <w:tr>
        <w:trPr>
          <w:trHeight w:val="229"/>
        </w:trPr>
        <w:tc>
          <w:tcPr>
            <w:tcW w:w="7400" w:type="dxa"/>
            <w:vAlign w:val="bottom"/>
          </w:tcPr>
          <w:p>
            <w:pPr>
              <w:ind w:left="140"/>
              <w:spacing w:after="0"/>
              <w:rPr>
                <w:sz w:val="20"/>
                <w:szCs w:val="20"/>
                <w:color w:val="auto"/>
              </w:rPr>
            </w:pPr>
            <w:r>
              <w:rPr>
                <w:rFonts w:ascii="Arial" w:cs="Arial" w:eastAsia="Arial" w:hAnsi="Arial"/>
                <w:sz w:val="14"/>
                <w:szCs w:val="14"/>
                <w:color w:val="auto"/>
              </w:rPr>
              <w:t>Deferred tax (benefit) provision</w:t>
            </w:r>
          </w:p>
        </w:tc>
        <w:tc>
          <w:tcPr>
            <w:tcW w:w="340" w:type="dxa"/>
            <w:vAlign w:val="bottom"/>
          </w:tcPr>
          <w:p>
            <w:pPr>
              <w:spacing w:after="0"/>
              <w:rPr>
                <w:sz w:val="19"/>
                <w:szCs w:val="19"/>
                <w:color w:val="auto"/>
              </w:rPr>
            </w:pPr>
          </w:p>
        </w:tc>
        <w:tc>
          <w:tcPr>
            <w:tcW w:w="920" w:type="dxa"/>
            <w:vAlign w:val="bottom"/>
            <w:tcBorders>
              <w:right w:val="single" w:sz="8" w:color="auto"/>
            </w:tcBorders>
          </w:tcPr>
          <w:p>
            <w:pPr>
              <w:jc w:val="right"/>
              <w:ind w:right="248"/>
              <w:spacing w:after="0"/>
              <w:rPr>
                <w:sz w:val="20"/>
                <w:szCs w:val="20"/>
                <w:color w:val="auto"/>
              </w:rPr>
            </w:pPr>
            <w:r>
              <w:rPr>
                <w:rFonts w:ascii="Arial" w:cs="Arial" w:eastAsia="Arial" w:hAnsi="Arial"/>
                <w:sz w:val="14"/>
                <w:szCs w:val="14"/>
                <w:color w:val="auto"/>
              </w:rPr>
              <w:t>27</w:t>
            </w:r>
          </w:p>
        </w:tc>
        <w:tc>
          <w:tcPr>
            <w:tcW w:w="320" w:type="dxa"/>
            <w:vAlign w:val="bottom"/>
          </w:tcPr>
          <w:p>
            <w:pPr>
              <w:spacing w:after="0"/>
              <w:rPr>
                <w:sz w:val="19"/>
                <w:szCs w:val="19"/>
                <w:color w:val="auto"/>
              </w:rPr>
            </w:pP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(401)</w:t>
            </w:r>
          </w:p>
        </w:tc>
        <w:tc>
          <w:tcPr>
            <w:tcW w:w="400" w:type="dxa"/>
            <w:vAlign w:val="bottom"/>
          </w:tcPr>
          <w:p>
            <w:pPr>
              <w:spacing w:after="0"/>
              <w:rPr>
                <w:sz w:val="19"/>
                <w:szCs w:val="19"/>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(622)</w:t>
            </w:r>
          </w:p>
        </w:tc>
      </w:tr>
      <w:tr>
        <w:trPr>
          <w:trHeight w:val="230"/>
        </w:trPr>
        <w:tc>
          <w:tcPr>
            <w:tcW w:w="740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340" w:type="dxa"/>
            <w:vAlign w:val="bottom"/>
          </w:tcPr>
          <w:p>
            <w:pPr>
              <w:spacing w:after="0"/>
              <w:rPr>
                <w:sz w:val="19"/>
                <w:szCs w:val="19"/>
                <w:color w:val="auto"/>
              </w:rPr>
            </w:pPr>
          </w:p>
        </w:tc>
        <w:tc>
          <w:tcPr>
            <w:tcW w:w="920" w:type="dxa"/>
            <w:vAlign w:val="bottom"/>
            <w:tcBorders>
              <w:right w:val="single" w:sz="8" w:color="auto"/>
            </w:tcBorders>
          </w:tcPr>
          <w:p>
            <w:pPr>
              <w:jc w:val="right"/>
              <w:ind w:right="248"/>
              <w:spacing w:after="0"/>
              <w:rPr>
                <w:sz w:val="20"/>
                <w:szCs w:val="20"/>
                <w:color w:val="auto"/>
              </w:rPr>
            </w:pPr>
            <w:r>
              <w:rPr>
                <w:rFonts w:ascii="Arial" w:cs="Arial" w:eastAsia="Arial" w:hAnsi="Arial"/>
                <w:sz w:val="14"/>
                <w:szCs w:val="14"/>
                <w:color w:val="auto"/>
              </w:rPr>
              <w:t>59</w:t>
            </w:r>
          </w:p>
        </w:tc>
        <w:tc>
          <w:tcPr>
            <w:tcW w:w="320" w:type="dxa"/>
            <w:vAlign w:val="bottom"/>
          </w:tcPr>
          <w:p>
            <w:pPr>
              <w:spacing w:after="0"/>
              <w:rPr>
                <w:sz w:val="19"/>
                <w:szCs w:val="19"/>
                <w:color w:val="auto"/>
              </w:rPr>
            </w:pPr>
          </w:p>
        </w:tc>
        <w:tc>
          <w:tcPr>
            <w:tcW w:w="960" w:type="dxa"/>
            <w:vAlign w:val="bottom"/>
          </w:tcPr>
          <w:p>
            <w:pPr>
              <w:jc w:val="right"/>
              <w:ind w:right="188"/>
              <w:spacing w:after="0"/>
              <w:rPr>
                <w:sz w:val="20"/>
                <w:szCs w:val="20"/>
                <w:color w:val="auto"/>
              </w:rPr>
            </w:pPr>
            <w:r>
              <w:rPr>
                <w:rFonts w:ascii="Arial" w:cs="Arial" w:eastAsia="Arial" w:hAnsi="Arial"/>
                <w:sz w:val="14"/>
                <w:szCs w:val="14"/>
                <w:color w:val="auto"/>
              </w:rPr>
              <w:t>113</w:t>
            </w:r>
          </w:p>
        </w:tc>
        <w:tc>
          <w:tcPr>
            <w:tcW w:w="400" w:type="dxa"/>
            <w:vAlign w:val="bottom"/>
          </w:tcPr>
          <w:p>
            <w:pPr>
              <w:spacing w:after="0"/>
              <w:rPr>
                <w:sz w:val="19"/>
                <w:szCs w:val="19"/>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175</w:t>
            </w:r>
          </w:p>
        </w:tc>
      </w:tr>
      <w:tr>
        <w:trPr>
          <w:trHeight w:val="229"/>
        </w:trPr>
        <w:tc>
          <w:tcPr>
            <w:tcW w:w="7400" w:type="dxa"/>
            <w:vAlign w:val="bottom"/>
          </w:tcPr>
          <w:p>
            <w:pPr>
              <w:ind w:left="140"/>
              <w:spacing w:after="0"/>
              <w:rPr>
                <w:sz w:val="20"/>
                <w:szCs w:val="20"/>
                <w:color w:val="auto"/>
              </w:rPr>
            </w:pPr>
            <w:r>
              <w:rPr>
                <w:rFonts w:ascii="Arial" w:cs="Arial" w:eastAsia="Arial" w:hAnsi="Arial"/>
                <w:sz w:val="14"/>
                <w:szCs w:val="14"/>
                <w:color w:val="auto"/>
              </w:rPr>
              <w:t>Gain on dispositions</w:t>
            </w:r>
          </w:p>
        </w:tc>
        <w:tc>
          <w:tcPr>
            <w:tcW w:w="340" w:type="dxa"/>
            <w:vAlign w:val="bottom"/>
          </w:tcPr>
          <w:p>
            <w:pPr>
              <w:spacing w:after="0"/>
              <w:rPr>
                <w:sz w:val="19"/>
                <w:szCs w:val="19"/>
                <w:color w:val="auto"/>
              </w:rPr>
            </w:pPr>
          </w:p>
        </w:tc>
        <w:tc>
          <w:tcPr>
            <w:tcW w:w="920" w:type="dxa"/>
            <w:vAlign w:val="bottom"/>
            <w:tcBorders>
              <w:right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9"/>
                <w:szCs w:val="19"/>
                <w:color w:val="auto"/>
              </w:rPr>
            </w:pP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(35)</w:t>
            </w:r>
          </w:p>
        </w:tc>
        <w:tc>
          <w:tcPr>
            <w:tcW w:w="400" w:type="dxa"/>
            <w:vAlign w:val="bottom"/>
          </w:tcPr>
          <w:p>
            <w:pPr>
              <w:spacing w:after="0"/>
              <w:rPr>
                <w:sz w:val="19"/>
                <w:szCs w:val="19"/>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w:t>
            </w:r>
          </w:p>
        </w:tc>
      </w:tr>
      <w:tr>
        <w:trPr>
          <w:trHeight w:val="230"/>
        </w:trPr>
        <w:tc>
          <w:tcPr>
            <w:tcW w:w="7400" w:type="dxa"/>
            <w:vAlign w:val="bottom"/>
          </w:tcPr>
          <w:p>
            <w:pPr>
              <w:ind w:left="140"/>
              <w:spacing w:after="0"/>
              <w:rPr>
                <w:sz w:val="20"/>
                <w:szCs w:val="20"/>
                <w:color w:val="auto"/>
              </w:rPr>
            </w:pPr>
            <w:r>
              <w:rPr>
                <w:rFonts w:ascii="Arial" w:cs="Arial" w:eastAsia="Arial" w:hAnsi="Arial"/>
                <w:sz w:val="14"/>
                <w:szCs w:val="14"/>
                <w:color w:val="auto"/>
              </w:rPr>
              <w:t>Loss from investment</w:t>
            </w:r>
          </w:p>
        </w:tc>
        <w:tc>
          <w:tcPr>
            <w:tcW w:w="340" w:type="dxa"/>
            <w:vAlign w:val="bottom"/>
          </w:tcPr>
          <w:p>
            <w:pPr>
              <w:spacing w:after="0"/>
              <w:rPr>
                <w:sz w:val="19"/>
                <w:szCs w:val="19"/>
                <w:color w:val="auto"/>
              </w:rPr>
            </w:pPr>
          </w:p>
        </w:tc>
        <w:tc>
          <w:tcPr>
            <w:tcW w:w="920" w:type="dxa"/>
            <w:vAlign w:val="bottom"/>
            <w:tcBorders>
              <w:right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9"/>
                <w:szCs w:val="19"/>
                <w:color w:val="auto"/>
              </w:rPr>
            </w:pPr>
          </w:p>
        </w:tc>
        <w:tc>
          <w:tcPr>
            <w:tcW w:w="9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9"/>
                <w:szCs w:val="19"/>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4</w:t>
            </w:r>
          </w:p>
        </w:tc>
      </w:tr>
      <w:tr>
        <w:trPr>
          <w:trHeight w:val="229"/>
        </w:trPr>
        <w:tc>
          <w:tcPr>
            <w:tcW w:w="7400" w:type="dxa"/>
            <w:vAlign w:val="bottom"/>
          </w:tcPr>
          <w:p>
            <w:pPr>
              <w:ind w:left="140"/>
              <w:spacing w:after="0"/>
              <w:rPr>
                <w:sz w:val="20"/>
                <w:szCs w:val="20"/>
                <w:color w:val="auto"/>
              </w:rPr>
            </w:pPr>
            <w:r>
              <w:rPr>
                <w:rFonts w:ascii="Arial" w:cs="Arial" w:eastAsia="Arial" w:hAnsi="Arial"/>
                <w:sz w:val="14"/>
                <w:szCs w:val="14"/>
                <w:color w:val="auto"/>
              </w:rPr>
              <w:t>Equity in loss of investee companies, net of tax and distributions</w:t>
            </w:r>
          </w:p>
        </w:tc>
        <w:tc>
          <w:tcPr>
            <w:tcW w:w="340" w:type="dxa"/>
            <w:vAlign w:val="bottom"/>
          </w:tcPr>
          <w:p>
            <w:pPr>
              <w:spacing w:after="0"/>
              <w:rPr>
                <w:sz w:val="19"/>
                <w:szCs w:val="19"/>
                <w:color w:val="auto"/>
              </w:rPr>
            </w:pPr>
          </w:p>
        </w:tc>
        <w:tc>
          <w:tcPr>
            <w:tcW w:w="920" w:type="dxa"/>
            <w:vAlign w:val="bottom"/>
            <w:tcBorders>
              <w:right w:val="single" w:sz="8" w:color="auto"/>
            </w:tcBorders>
          </w:tcPr>
          <w:p>
            <w:pPr>
              <w:jc w:val="right"/>
              <w:ind w:right="248"/>
              <w:spacing w:after="0"/>
              <w:rPr>
                <w:sz w:val="20"/>
                <w:szCs w:val="20"/>
                <w:color w:val="auto"/>
              </w:rPr>
            </w:pPr>
            <w:r>
              <w:rPr>
                <w:rFonts w:ascii="Arial" w:cs="Arial" w:eastAsia="Arial" w:hAnsi="Arial"/>
                <w:sz w:val="14"/>
                <w:szCs w:val="14"/>
                <w:color w:val="auto"/>
              </w:rPr>
              <w:t>33</w:t>
            </w:r>
          </w:p>
        </w:tc>
        <w:tc>
          <w:tcPr>
            <w:tcW w:w="320" w:type="dxa"/>
            <w:vAlign w:val="bottom"/>
          </w:tcPr>
          <w:p>
            <w:pPr>
              <w:spacing w:after="0"/>
              <w:rPr>
                <w:sz w:val="19"/>
                <w:szCs w:val="19"/>
                <w:color w:val="auto"/>
              </w:rPr>
            </w:pPr>
          </w:p>
        </w:tc>
        <w:tc>
          <w:tcPr>
            <w:tcW w:w="960" w:type="dxa"/>
            <w:vAlign w:val="bottom"/>
          </w:tcPr>
          <w:p>
            <w:pPr>
              <w:jc w:val="right"/>
              <w:ind w:right="188"/>
              <w:spacing w:after="0"/>
              <w:rPr>
                <w:sz w:val="20"/>
                <w:szCs w:val="20"/>
                <w:color w:val="auto"/>
              </w:rPr>
            </w:pPr>
            <w:r>
              <w:rPr>
                <w:rFonts w:ascii="Arial" w:cs="Arial" w:eastAsia="Arial" w:hAnsi="Arial"/>
                <w:sz w:val="14"/>
                <w:szCs w:val="14"/>
                <w:color w:val="auto"/>
              </w:rPr>
              <w:t>179</w:t>
            </w:r>
          </w:p>
        </w:tc>
        <w:tc>
          <w:tcPr>
            <w:tcW w:w="400" w:type="dxa"/>
            <w:vAlign w:val="bottom"/>
          </w:tcPr>
          <w:p>
            <w:pPr>
              <w:spacing w:after="0"/>
              <w:rPr>
                <w:sz w:val="19"/>
                <w:szCs w:val="19"/>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228</w:t>
            </w:r>
          </w:p>
        </w:tc>
      </w:tr>
      <w:tr>
        <w:trPr>
          <w:trHeight w:val="230"/>
        </w:trPr>
        <w:tc>
          <w:tcPr>
            <w:tcW w:w="7400" w:type="dxa"/>
            <w:vAlign w:val="bottom"/>
          </w:tcPr>
          <w:p>
            <w:pPr>
              <w:ind w:left="140"/>
              <w:spacing w:after="0"/>
              <w:rPr>
                <w:sz w:val="20"/>
                <w:szCs w:val="20"/>
                <w:color w:val="auto"/>
              </w:rPr>
            </w:pPr>
            <w:r>
              <w:rPr>
                <w:rFonts w:ascii="Arial" w:cs="Arial" w:eastAsia="Arial" w:hAnsi="Arial"/>
                <w:sz w:val="14"/>
                <w:szCs w:val="14"/>
                <w:color w:val="auto"/>
              </w:rPr>
              <w:t>Change in assets and liabilities</w:t>
            </w:r>
          </w:p>
        </w:tc>
        <w:tc>
          <w:tcPr>
            <w:tcW w:w="340" w:type="dxa"/>
            <w:vAlign w:val="bottom"/>
          </w:tcPr>
          <w:p>
            <w:pPr>
              <w:spacing w:after="0"/>
              <w:rPr>
                <w:sz w:val="19"/>
                <w:szCs w:val="19"/>
                <w:color w:val="auto"/>
              </w:rPr>
            </w:pPr>
          </w:p>
        </w:tc>
        <w:tc>
          <w:tcPr>
            <w:tcW w:w="920" w:type="dxa"/>
            <w:vAlign w:val="bottom"/>
            <w:tcBorders>
              <w:right w:val="single" w:sz="8" w:color="auto"/>
            </w:tcBorders>
          </w:tcPr>
          <w:p>
            <w:pPr>
              <w:jc w:val="right"/>
              <w:ind w:right="208"/>
              <w:spacing w:after="0"/>
              <w:rPr>
                <w:sz w:val="20"/>
                <w:szCs w:val="20"/>
                <w:color w:val="auto"/>
              </w:rPr>
            </w:pPr>
            <w:r>
              <w:rPr>
                <w:rFonts w:ascii="Arial" w:cs="Arial" w:eastAsia="Arial" w:hAnsi="Arial"/>
                <w:sz w:val="14"/>
                <w:szCs w:val="14"/>
                <w:color w:val="auto"/>
              </w:rPr>
              <w:t>(81)</w:t>
            </w:r>
          </w:p>
        </w:tc>
        <w:tc>
          <w:tcPr>
            <w:tcW w:w="320" w:type="dxa"/>
            <w:vAlign w:val="bottom"/>
          </w:tcPr>
          <w:p>
            <w:pPr>
              <w:spacing w:after="0"/>
              <w:rPr>
                <w:sz w:val="19"/>
                <w:szCs w:val="19"/>
                <w:color w:val="auto"/>
              </w:rPr>
            </w:pP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(465)</w:t>
            </w:r>
          </w:p>
        </w:tc>
        <w:tc>
          <w:tcPr>
            <w:tcW w:w="400" w:type="dxa"/>
            <w:vAlign w:val="bottom"/>
          </w:tcPr>
          <w:p>
            <w:pPr>
              <w:spacing w:after="0"/>
              <w:rPr>
                <w:sz w:val="19"/>
                <w:szCs w:val="19"/>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(775)</w:t>
            </w:r>
          </w:p>
        </w:tc>
      </w:tr>
      <w:tr>
        <w:trPr>
          <w:trHeight w:val="22"/>
        </w:trPr>
        <w:tc>
          <w:tcPr>
            <w:tcW w:w="7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01"/>
        </w:trPr>
        <w:tc>
          <w:tcPr>
            <w:tcW w:w="7400" w:type="dxa"/>
            <w:vAlign w:val="bottom"/>
          </w:tcPr>
          <w:p>
            <w:pPr>
              <w:ind w:left="20"/>
              <w:spacing w:after="0"/>
              <w:rPr>
                <w:sz w:val="20"/>
                <w:szCs w:val="20"/>
                <w:color w:val="auto"/>
              </w:rPr>
            </w:pPr>
            <w:r>
              <w:rPr>
                <w:rFonts w:ascii="Arial" w:cs="Arial" w:eastAsia="Arial" w:hAnsi="Arial"/>
                <w:sz w:val="14"/>
                <w:szCs w:val="14"/>
                <w:color w:val="auto"/>
              </w:rPr>
              <w:t>Net cash flow provided by operating activities</w:t>
            </w:r>
          </w:p>
        </w:tc>
        <w:tc>
          <w:tcPr>
            <w:tcW w:w="340" w:type="dxa"/>
            <w:vAlign w:val="bottom"/>
          </w:tcPr>
          <w:p>
            <w:pPr>
              <w:spacing w:after="0"/>
              <w:rPr>
                <w:sz w:val="17"/>
                <w:szCs w:val="17"/>
                <w:color w:val="auto"/>
              </w:rPr>
            </w:pPr>
          </w:p>
        </w:tc>
        <w:tc>
          <w:tcPr>
            <w:tcW w:w="920" w:type="dxa"/>
            <w:vAlign w:val="bottom"/>
            <w:tcBorders>
              <w:right w:val="single" w:sz="8" w:color="auto"/>
            </w:tcBorders>
          </w:tcPr>
          <w:p>
            <w:pPr>
              <w:jc w:val="right"/>
              <w:ind w:right="248"/>
              <w:spacing w:after="0"/>
              <w:rPr>
                <w:sz w:val="20"/>
                <w:szCs w:val="20"/>
                <w:color w:val="auto"/>
              </w:rPr>
            </w:pPr>
            <w:r>
              <w:rPr>
                <w:rFonts w:ascii="Arial" w:cs="Arial" w:eastAsia="Arial" w:hAnsi="Arial"/>
                <w:sz w:val="14"/>
                <w:szCs w:val="14"/>
                <w:color w:val="auto"/>
              </w:rPr>
              <w:t>268</w:t>
            </w:r>
          </w:p>
        </w:tc>
        <w:tc>
          <w:tcPr>
            <w:tcW w:w="320" w:type="dxa"/>
            <w:vAlign w:val="bottom"/>
          </w:tcPr>
          <w:p>
            <w:pPr>
              <w:spacing w:after="0"/>
              <w:rPr>
                <w:sz w:val="17"/>
                <w:szCs w:val="17"/>
                <w:color w:val="auto"/>
              </w:rPr>
            </w:pPr>
          </w:p>
        </w:tc>
        <w:tc>
          <w:tcPr>
            <w:tcW w:w="960" w:type="dxa"/>
            <w:vAlign w:val="bottom"/>
          </w:tcPr>
          <w:p>
            <w:pPr>
              <w:jc w:val="right"/>
              <w:ind w:right="188"/>
              <w:spacing w:after="0"/>
              <w:rPr>
                <w:sz w:val="20"/>
                <w:szCs w:val="20"/>
                <w:color w:val="auto"/>
              </w:rPr>
            </w:pPr>
            <w:r>
              <w:rPr>
                <w:rFonts w:ascii="Arial" w:cs="Arial" w:eastAsia="Arial" w:hAnsi="Arial"/>
                <w:sz w:val="14"/>
                <w:szCs w:val="14"/>
                <w:color w:val="auto"/>
              </w:rPr>
              <w:t>164</w:t>
            </w:r>
          </w:p>
        </w:tc>
        <w:tc>
          <w:tcPr>
            <w:tcW w:w="400" w:type="dxa"/>
            <w:vAlign w:val="bottom"/>
          </w:tcPr>
          <w:p>
            <w:pPr>
              <w:spacing w:after="0"/>
              <w:rPr>
                <w:sz w:val="17"/>
                <w:szCs w:val="17"/>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584</w:t>
            </w:r>
          </w:p>
        </w:tc>
      </w:tr>
      <w:tr>
        <w:trPr>
          <w:trHeight w:val="22"/>
        </w:trPr>
        <w:tc>
          <w:tcPr>
            <w:tcW w:w="7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08"/>
        </w:trPr>
        <w:tc>
          <w:tcPr>
            <w:tcW w:w="740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34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3"/>
        </w:trPr>
        <w:tc>
          <w:tcPr>
            <w:tcW w:w="7400" w:type="dxa"/>
            <w:vAlign w:val="bottom"/>
          </w:tcPr>
          <w:p>
            <w:pPr>
              <w:ind w:left="140"/>
              <w:spacing w:after="0"/>
              <w:rPr>
                <w:sz w:val="20"/>
                <w:szCs w:val="20"/>
                <w:color w:val="auto"/>
              </w:rPr>
            </w:pPr>
            <w:r>
              <w:rPr>
                <w:rFonts w:ascii="Arial" w:cs="Arial" w:eastAsia="Arial" w:hAnsi="Arial"/>
                <w:sz w:val="14"/>
                <w:szCs w:val="14"/>
                <w:color w:val="auto"/>
              </w:rPr>
              <w:t>Investments</w:t>
            </w:r>
          </w:p>
        </w:tc>
        <w:tc>
          <w:tcPr>
            <w:tcW w:w="340" w:type="dxa"/>
            <w:vAlign w:val="bottom"/>
          </w:tcPr>
          <w:p>
            <w:pPr>
              <w:spacing w:after="0"/>
              <w:rPr>
                <w:sz w:val="19"/>
                <w:szCs w:val="19"/>
                <w:color w:val="auto"/>
              </w:rPr>
            </w:pPr>
          </w:p>
        </w:tc>
        <w:tc>
          <w:tcPr>
            <w:tcW w:w="920" w:type="dxa"/>
            <w:vAlign w:val="bottom"/>
            <w:tcBorders>
              <w:right w:val="single" w:sz="8" w:color="auto"/>
            </w:tcBorders>
          </w:tcPr>
          <w:p>
            <w:pPr>
              <w:jc w:val="right"/>
              <w:ind w:right="208"/>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19"/>
                <w:szCs w:val="19"/>
                <w:color w:val="auto"/>
              </w:rPr>
            </w:pP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(205)</w:t>
            </w:r>
          </w:p>
        </w:tc>
        <w:tc>
          <w:tcPr>
            <w:tcW w:w="400" w:type="dxa"/>
            <w:vAlign w:val="bottom"/>
          </w:tcPr>
          <w:p>
            <w:pPr>
              <w:spacing w:after="0"/>
              <w:rPr>
                <w:sz w:val="19"/>
                <w:szCs w:val="19"/>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(248)</w:t>
            </w:r>
          </w:p>
        </w:tc>
      </w:tr>
      <w:tr>
        <w:trPr>
          <w:trHeight w:val="229"/>
        </w:trPr>
        <w:tc>
          <w:tcPr>
            <w:tcW w:w="7400" w:type="dxa"/>
            <w:vAlign w:val="bottom"/>
          </w:tcPr>
          <w:p>
            <w:pPr>
              <w:ind w:left="140"/>
              <w:spacing w:after="0"/>
              <w:rPr>
                <w:sz w:val="20"/>
                <w:szCs w:val="20"/>
                <w:color w:val="auto"/>
              </w:rPr>
            </w:pPr>
            <w:r>
              <w:rPr>
                <w:rFonts w:ascii="Arial" w:cs="Arial" w:eastAsia="Arial" w:hAnsi="Arial"/>
                <w:sz w:val="14"/>
                <w:szCs w:val="14"/>
                <w:color w:val="auto"/>
              </w:rPr>
              <w:t>Capital expenditures</w:t>
            </w:r>
          </w:p>
        </w:tc>
        <w:tc>
          <w:tcPr>
            <w:tcW w:w="340" w:type="dxa"/>
            <w:vAlign w:val="bottom"/>
          </w:tcPr>
          <w:p>
            <w:pPr>
              <w:spacing w:after="0"/>
              <w:rPr>
                <w:sz w:val="19"/>
                <w:szCs w:val="19"/>
                <w:color w:val="auto"/>
              </w:rPr>
            </w:pPr>
          </w:p>
        </w:tc>
        <w:tc>
          <w:tcPr>
            <w:tcW w:w="920" w:type="dxa"/>
            <w:vAlign w:val="bottom"/>
            <w:tcBorders>
              <w:right w:val="single" w:sz="8" w:color="auto"/>
            </w:tcBorders>
          </w:tcPr>
          <w:p>
            <w:pPr>
              <w:jc w:val="right"/>
              <w:ind w:right="208"/>
              <w:spacing w:after="0"/>
              <w:rPr>
                <w:sz w:val="20"/>
                <w:szCs w:val="20"/>
                <w:color w:val="auto"/>
              </w:rPr>
            </w:pPr>
            <w:r>
              <w:rPr>
                <w:rFonts w:ascii="Arial" w:cs="Arial" w:eastAsia="Arial" w:hAnsi="Arial"/>
                <w:sz w:val="14"/>
                <w:szCs w:val="14"/>
                <w:color w:val="auto"/>
              </w:rPr>
              <w:t>(46)</w:t>
            </w:r>
          </w:p>
        </w:tc>
        <w:tc>
          <w:tcPr>
            <w:tcW w:w="320" w:type="dxa"/>
            <w:vAlign w:val="bottom"/>
          </w:tcPr>
          <w:p>
            <w:pPr>
              <w:spacing w:after="0"/>
              <w:rPr>
                <w:sz w:val="19"/>
                <w:szCs w:val="19"/>
                <w:color w:val="auto"/>
              </w:rPr>
            </w:pP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(134)</w:t>
            </w:r>
          </w:p>
        </w:tc>
        <w:tc>
          <w:tcPr>
            <w:tcW w:w="400" w:type="dxa"/>
            <w:vAlign w:val="bottom"/>
          </w:tcPr>
          <w:p>
            <w:pPr>
              <w:spacing w:after="0"/>
              <w:rPr>
                <w:sz w:val="19"/>
                <w:szCs w:val="19"/>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(151)</w:t>
            </w:r>
          </w:p>
        </w:tc>
      </w:tr>
      <w:tr>
        <w:trPr>
          <w:trHeight w:val="230"/>
        </w:trPr>
        <w:tc>
          <w:tcPr>
            <w:tcW w:w="7400" w:type="dxa"/>
            <w:vAlign w:val="bottom"/>
          </w:tcPr>
          <w:p>
            <w:pPr>
              <w:ind w:left="140"/>
              <w:spacing w:after="0"/>
              <w:rPr>
                <w:sz w:val="20"/>
                <w:szCs w:val="20"/>
                <w:color w:val="auto"/>
              </w:rPr>
            </w:pPr>
            <w:r>
              <w:rPr>
                <w:rFonts w:ascii="Arial" w:cs="Arial" w:eastAsia="Arial" w:hAnsi="Arial"/>
                <w:sz w:val="14"/>
                <w:szCs w:val="14"/>
                <w:color w:val="auto"/>
              </w:rPr>
              <w:t>Proceeds from dispositions</w:t>
            </w:r>
          </w:p>
        </w:tc>
        <w:tc>
          <w:tcPr>
            <w:tcW w:w="340" w:type="dxa"/>
            <w:vAlign w:val="bottom"/>
          </w:tcPr>
          <w:p>
            <w:pPr>
              <w:spacing w:after="0"/>
              <w:rPr>
                <w:sz w:val="19"/>
                <w:szCs w:val="19"/>
                <w:color w:val="auto"/>
              </w:rPr>
            </w:pPr>
          </w:p>
        </w:tc>
        <w:tc>
          <w:tcPr>
            <w:tcW w:w="920" w:type="dxa"/>
            <w:vAlign w:val="bottom"/>
            <w:tcBorders>
              <w:right w:val="single" w:sz="8" w:color="auto"/>
            </w:tcBorders>
          </w:tcPr>
          <w:p>
            <w:pPr>
              <w:jc w:val="right"/>
              <w:ind w:right="248"/>
              <w:spacing w:after="0"/>
              <w:rPr>
                <w:sz w:val="20"/>
                <w:szCs w:val="20"/>
                <w:color w:val="auto"/>
              </w:rPr>
            </w:pPr>
            <w:r>
              <w:rPr>
                <w:rFonts w:ascii="Arial" w:cs="Arial" w:eastAsia="Arial" w:hAnsi="Arial"/>
                <w:sz w:val="14"/>
                <w:szCs w:val="14"/>
                <w:color w:val="auto"/>
              </w:rPr>
              <w:t>5</w:t>
            </w:r>
          </w:p>
        </w:tc>
        <w:tc>
          <w:tcPr>
            <w:tcW w:w="320" w:type="dxa"/>
            <w:vAlign w:val="bottom"/>
          </w:tcPr>
          <w:p>
            <w:pPr>
              <w:spacing w:after="0"/>
              <w:rPr>
                <w:sz w:val="19"/>
                <w:szCs w:val="19"/>
                <w:color w:val="auto"/>
              </w:rPr>
            </w:pPr>
          </w:p>
        </w:tc>
        <w:tc>
          <w:tcPr>
            <w:tcW w:w="960" w:type="dxa"/>
            <w:vAlign w:val="bottom"/>
          </w:tcPr>
          <w:p>
            <w:pPr>
              <w:jc w:val="right"/>
              <w:ind w:right="188"/>
              <w:spacing w:after="0"/>
              <w:rPr>
                <w:sz w:val="20"/>
                <w:szCs w:val="20"/>
                <w:color w:val="auto"/>
              </w:rPr>
            </w:pPr>
            <w:r>
              <w:rPr>
                <w:rFonts w:ascii="Arial" w:cs="Arial" w:eastAsia="Arial" w:hAnsi="Arial"/>
                <w:sz w:val="14"/>
                <w:szCs w:val="14"/>
                <w:color w:val="auto"/>
              </w:rPr>
              <w:t>66</w:t>
            </w:r>
          </w:p>
        </w:tc>
        <w:tc>
          <w:tcPr>
            <w:tcW w:w="400" w:type="dxa"/>
            <w:vAlign w:val="bottom"/>
          </w:tcPr>
          <w:p>
            <w:pPr>
              <w:spacing w:after="0"/>
              <w:rPr>
                <w:sz w:val="19"/>
                <w:szCs w:val="19"/>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37</w:t>
            </w:r>
          </w:p>
        </w:tc>
      </w:tr>
      <w:tr>
        <w:trPr>
          <w:trHeight w:val="230"/>
        </w:trPr>
        <w:tc>
          <w:tcPr>
            <w:tcW w:w="7400" w:type="dxa"/>
            <w:vAlign w:val="bottom"/>
          </w:tcPr>
          <w:p>
            <w:pPr>
              <w:ind w:left="140"/>
              <w:spacing w:after="0"/>
              <w:rPr>
                <w:sz w:val="20"/>
                <w:szCs w:val="20"/>
                <w:color w:val="auto"/>
              </w:rPr>
            </w:pPr>
            <w:r>
              <w:rPr>
                <w:rFonts w:ascii="Arial" w:cs="Arial" w:eastAsia="Arial" w:hAnsi="Arial"/>
                <w:sz w:val="14"/>
                <w:szCs w:val="14"/>
                <w:color w:val="auto"/>
              </w:rPr>
              <w:t>Other investing activities</w:t>
            </w:r>
          </w:p>
        </w:tc>
        <w:tc>
          <w:tcPr>
            <w:tcW w:w="340" w:type="dxa"/>
            <w:vAlign w:val="bottom"/>
          </w:tcPr>
          <w:p>
            <w:pPr>
              <w:spacing w:after="0"/>
              <w:rPr>
                <w:sz w:val="19"/>
                <w:szCs w:val="19"/>
                <w:color w:val="auto"/>
              </w:rPr>
            </w:pPr>
          </w:p>
        </w:tc>
        <w:tc>
          <w:tcPr>
            <w:tcW w:w="920" w:type="dxa"/>
            <w:vAlign w:val="bottom"/>
            <w:tcBorders>
              <w:right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9"/>
                <w:szCs w:val="19"/>
                <w:color w:val="auto"/>
              </w:rPr>
            </w:pP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(3)</w:t>
            </w:r>
          </w:p>
        </w:tc>
        <w:tc>
          <w:tcPr>
            <w:tcW w:w="400" w:type="dxa"/>
            <w:vAlign w:val="bottom"/>
          </w:tcPr>
          <w:p>
            <w:pPr>
              <w:spacing w:after="0"/>
              <w:rPr>
                <w:sz w:val="19"/>
                <w:szCs w:val="19"/>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(3)</w:t>
            </w:r>
          </w:p>
        </w:tc>
      </w:tr>
      <w:tr>
        <w:trPr>
          <w:trHeight w:val="22"/>
        </w:trPr>
        <w:tc>
          <w:tcPr>
            <w:tcW w:w="7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01"/>
        </w:trPr>
        <w:tc>
          <w:tcPr>
            <w:tcW w:w="7400" w:type="dxa"/>
            <w:vAlign w:val="bottom"/>
          </w:tcPr>
          <w:p>
            <w:pPr>
              <w:ind w:left="20"/>
              <w:spacing w:after="0"/>
              <w:rPr>
                <w:sz w:val="20"/>
                <w:szCs w:val="20"/>
                <w:color w:val="auto"/>
              </w:rPr>
            </w:pPr>
            <w:r>
              <w:rPr>
                <w:rFonts w:ascii="Arial" w:cs="Arial" w:eastAsia="Arial" w:hAnsi="Arial"/>
                <w:sz w:val="14"/>
                <w:szCs w:val="14"/>
                <w:color w:val="auto"/>
              </w:rPr>
              <w:t>Net cash flow used for investing activities from continuing operations</w:t>
            </w:r>
          </w:p>
        </w:tc>
        <w:tc>
          <w:tcPr>
            <w:tcW w:w="340" w:type="dxa"/>
            <w:vAlign w:val="bottom"/>
          </w:tcPr>
          <w:p>
            <w:pPr>
              <w:spacing w:after="0"/>
              <w:rPr>
                <w:sz w:val="17"/>
                <w:szCs w:val="17"/>
                <w:color w:val="auto"/>
              </w:rPr>
            </w:pPr>
          </w:p>
        </w:tc>
        <w:tc>
          <w:tcPr>
            <w:tcW w:w="920" w:type="dxa"/>
            <w:vAlign w:val="bottom"/>
            <w:tcBorders>
              <w:right w:val="single" w:sz="8" w:color="auto"/>
            </w:tcBorders>
          </w:tcPr>
          <w:p>
            <w:pPr>
              <w:jc w:val="right"/>
              <w:ind w:right="208"/>
              <w:spacing w:after="0"/>
              <w:rPr>
                <w:sz w:val="20"/>
                <w:szCs w:val="20"/>
                <w:color w:val="auto"/>
              </w:rPr>
            </w:pPr>
            <w:r>
              <w:rPr>
                <w:rFonts w:ascii="Arial" w:cs="Arial" w:eastAsia="Arial" w:hAnsi="Arial"/>
                <w:sz w:val="14"/>
                <w:szCs w:val="14"/>
                <w:color w:val="auto"/>
              </w:rPr>
              <w:t>(42)</w:t>
            </w:r>
          </w:p>
        </w:tc>
        <w:tc>
          <w:tcPr>
            <w:tcW w:w="320" w:type="dxa"/>
            <w:vAlign w:val="bottom"/>
          </w:tcPr>
          <w:p>
            <w:pPr>
              <w:spacing w:after="0"/>
              <w:rPr>
                <w:sz w:val="17"/>
                <w:szCs w:val="17"/>
                <w:color w:val="auto"/>
              </w:rPr>
            </w:pP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(276)</w:t>
            </w:r>
          </w:p>
        </w:tc>
        <w:tc>
          <w:tcPr>
            <w:tcW w:w="400" w:type="dxa"/>
            <w:vAlign w:val="bottom"/>
          </w:tcPr>
          <w:p>
            <w:pPr>
              <w:spacing w:after="0"/>
              <w:rPr>
                <w:sz w:val="17"/>
                <w:szCs w:val="17"/>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(365)</w:t>
            </w:r>
          </w:p>
        </w:tc>
      </w:tr>
      <w:tr>
        <w:trPr>
          <w:trHeight w:val="21"/>
        </w:trPr>
        <w:tc>
          <w:tcPr>
            <w:tcW w:w="7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02"/>
        </w:trPr>
        <w:tc>
          <w:tcPr>
            <w:tcW w:w="7400" w:type="dxa"/>
            <w:vAlign w:val="bottom"/>
          </w:tcPr>
          <w:p>
            <w:pPr>
              <w:ind w:left="20"/>
              <w:spacing w:after="0"/>
              <w:rPr>
                <w:sz w:val="20"/>
                <w:szCs w:val="20"/>
                <w:color w:val="auto"/>
              </w:rPr>
            </w:pPr>
            <w:r>
              <w:rPr>
                <w:rFonts w:ascii="Arial" w:cs="Arial" w:eastAsia="Arial" w:hAnsi="Arial"/>
                <w:sz w:val="14"/>
                <w:szCs w:val="14"/>
                <w:color w:val="auto"/>
              </w:rPr>
              <w:t>Net cash flow provided by investing activities from discontinued operations</w:t>
            </w:r>
          </w:p>
        </w:tc>
        <w:tc>
          <w:tcPr>
            <w:tcW w:w="340" w:type="dxa"/>
            <w:vAlign w:val="bottom"/>
          </w:tcPr>
          <w:p>
            <w:pPr>
              <w:spacing w:after="0"/>
              <w:rPr>
                <w:sz w:val="17"/>
                <w:szCs w:val="17"/>
                <w:color w:val="auto"/>
              </w:rPr>
            </w:pPr>
          </w:p>
        </w:tc>
        <w:tc>
          <w:tcPr>
            <w:tcW w:w="920" w:type="dxa"/>
            <w:vAlign w:val="bottom"/>
            <w:tcBorders>
              <w:right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9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48</w:t>
            </w:r>
          </w:p>
        </w:tc>
      </w:tr>
      <w:tr>
        <w:trPr>
          <w:trHeight w:val="22"/>
        </w:trPr>
        <w:tc>
          <w:tcPr>
            <w:tcW w:w="7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01"/>
        </w:trPr>
        <w:tc>
          <w:tcPr>
            <w:tcW w:w="7400" w:type="dxa"/>
            <w:vAlign w:val="bottom"/>
          </w:tcPr>
          <w:p>
            <w:pPr>
              <w:ind w:left="20"/>
              <w:spacing w:after="0"/>
              <w:rPr>
                <w:sz w:val="20"/>
                <w:szCs w:val="20"/>
                <w:color w:val="auto"/>
              </w:rPr>
            </w:pPr>
            <w:r>
              <w:rPr>
                <w:rFonts w:ascii="Arial" w:cs="Arial" w:eastAsia="Arial" w:hAnsi="Arial"/>
                <w:sz w:val="14"/>
                <w:szCs w:val="14"/>
                <w:color w:val="auto"/>
              </w:rPr>
              <w:t>Net cash flow used for investing activities</w:t>
            </w:r>
          </w:p>
        </w:tc>
        <w:tc>
          <w:tcPr>
            <w:tcW w:w="340" w:type="dxa"/>
            <w:vAlign w:val="bottom"/>
          </w:tcPr>
          <w:p>
            <w:pPr>
              <w:spacing w:after="0"/>
              <w:rPr>
                <w:sz w:val="17"/>
                <w:szCs w:val="17"/>
                <w:color w:val="auto"/>
              </w:rPr>
            </w:pPr>
          </w:p>
        </w:tc>
        <w:tc>
          <w:tcPr>
            <w:tcW w:w="920" w:type="dxa"/>
            <w:vAlign w:val="bottom"/>
            <w:tcBorders>
              <w:right w:val="single" w:sz="8" w:color="auto"/>
            </w:tcBorders>
          </w:tcPr>
          <w:p>
            <w:pPr>
              <w:jc w:val="right"/>
              <w:ind w:right="208"/>
              <w:spacing w:after="0"/>
              <w:rPr>
                <w:sz w:val="20"/>
                <w:szCs w:val="20"/>
                <w:color w:val="auto"/>
              </w:rPr>
            </w:pPr>
            <w:r>
              <w:rPr>
                <w:rFonts w:ascii="Arial" w:cs="Arial" w:eastAsia="Arial" w:hAnsi="Arial"/>
                <w:sz w:val="14"/>
                <w:szCs w:val="14"/>
                <w:color w:val="auto"/>
              </w:rPr>
              <w:t>(42)</w:t>
            </w:r>
          </w:p>
        </w:tc>
        <w:tc>
          <w:tcPr>
            <w:tcW w:w="320" w:type="dxa"/>
            <w:vAlign w:val="bottom"/>
          </w:tcPr>
          <w:p>
            <w:pPr>
              <w:spacing w:after="0"/>
              <w:rPr>
                <w:sz w:val="17"/>
                <w:szCs w:val="17"/>
                <w:color w:val="auto"/>
              </w:rPr>
            </w:pP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(276)</w:t>
            </w:r>
          </w:p>
        </w:tc>
        <w:tc>
          <w:tcPr>
            <w:tcW w:w="400" w:type="dxa"/>
            <w:vAlign w:val="bottom"/>
          </w:tcPr>
          <w:p>
            <w:pPr>
              <w:spacing w:after="0"/>
              <w:rPr>
                <w:sz w:val="17"/>
                <w:szCs w:val="17"/>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(317)</w:t>
            </w:r>
          </w:p>
        </w:tc>
      </w:tr>
      <w:tr>
        <w:trPr>
          <w:trHeight w:val="21"/>
        </w:trPr>
        <w:tc>
          <w:tcPr>
            <w:tcW w:w="7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08"/>
        </w:trPr>
        <w:tc>
          <w:tcPr>
            <w:tcW w:w="740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34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3"/>
        </w:trPr>
        <w:tc>
          <w:tcPr>
            <w:tcW w:w="7400" w:type="dxa"/>
            <w:vAlign w:val="bottom"/>
          </w:tcPr>
          <w:p>
            <w:pPr>
              <w:ind w:left="140"/>
              <w:spacing w:after="0"/>
              <w:rPr>
                <w:sz w:val="20"/>
                <w:szCs w:val="20"/>
                <w:color w:val="auto"/>
              </w:rPr>
            </w:pPr>
            <w:r>
              <w:rPr>
                <w:rFonts w:ascii="Arial" w:cs="Arial" w:eastAsia="Arial" w:hAnsi="Arial"/>
                <w:sz w:val="14"/>
                <w:szCs w:val="14"/>
                <w:color w:val="auto"/>
              </w:rPr>
              <w:t>Repayment of Skydance credit facility</w:t>
            </w:r>
          </w:p>
        </w:tc>
        <w:tc>
          <w:tcPr>
            <w:tcW w:w="340" w:type="dxa"/>
            <w:vAlign w:val="bottom"/>
          </w:tcPr>
          <w:p>
            <w:pPr>
              <w:spacing w:after="0"/>
              <w:rPr>
                <w:sz w:val="19"/>
                <w:szCs w:val="19"/>
                <w:color w:val="auto"/>
              </w:rPr>
            </w:pPr>
          </w:p>
        </w:tc>
        <w:tc>
          <w:tcPr>
            <w:tcW w:w="920" w:type="dxa"/>
            <w:vAlign w:val="bottom"/>
            <w:tcBorders>
              <w:right w:val="single" w:sz="8" w:color="auto"/>
            </w:tcBorders>
          </w:tcPr>
          <w:p>
            <w:pPr>
              <w:jc w:val="right"/>
              <w:ind w:right="208"/>
              <w:spacing w:after="0"/>
              <w:rPr>
                <w:sz w:val="20"/>
                <w:szCs w:val="20"/>
                <w:color w:val="auto"/>
              </w:rPr>
            </w:pPr>
            <w:r>
              <w:rPr>
                <w:rFonts w:ascii="Arial" w:cs="Arial" w:eastAsia="Arial" w:hAnsi="Arial"/>
                <w:sz w:val="14"/>
                <w:szCs w:val="14"/>
                <w:color w:val="auto"/>
              </w:rPr>
              <w:t>(720)</w:t>
            </w:r>
          </w:p>
        </w:tc>
        <w:tc>
          <w:tcPr>
            <w:tcW w:w="320" w:type="dxa"/>
            <w:vAlign w:val="bottom"/>
          </w:tcPr>
          <w:p>
            <w:pPr>
              <w:spacing w:after="0"/>
              <w:rPr>
                <w:sz w:val="19"/>
                <w:szCs w:val="19"/>
                <w:color w:val="auto"/>
              </w:rPr>
            </w:pPr>
          </w:p>
        </w:tc>
        <w:tc>
          <w:tcPr>
            <w:tcW w:w="9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9"/>
                <w:szCs w:val="19"/>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w:t>
            </w:r>
          </w:p>
        </w:tc>
      </w:tr>
      <w:tr>
        <w:trPr>
          <w:trHeight w:val="230"/>
        </w:trPr>
        <w:tc>
          <w:tcPr>
            <w:tcW w:w="7400" w:type="dxa"/>
            <w:vAlign w:val="bottom"/>
          </w:tcPr>
          <w:p>
            <w:pPr>
              <w:ind w:left="140"/>
              <w:spacing w:after="0"/>
              <w:rPr>
                <w:sz w:val="20"/>
                <w:szCs w:val="20"/>
                <w:color w:val="auto"/>
              </w:rPr>
            </w:pPr>
            <w:r>
              <w:rPr>
                <w:rFonts w:ascii="Arial" w:cs="Arial" w:eastAsia="Arial" w:hAnsi="Arial"/>
                <w:sz w:val="14"/>
                <w:szCs w:val="14"/>
                <w:color w:val="auto"/>
              </w:rPr>
              <w:t>Dividends paid on preferred stock</w:t>
            </w:r>
          </w:p>
        </w:tc>
        <w:tc>
          <w:tcPr>
            <w:tcW w:w="340" w:type="dxa"/>
            <w:vAlign w:val="bottom"/>
          </w:tcPr>
          <w:p>
            <w:pPr>
              <w:spacing w:after="0"/>
              <w:rPr>
                <w:sz w:val="19"/>
                <w:szCs w:val="19"/>
                <w:color w:val="auto"/>
              </w:rPr>
            </w:pPr>
          </w:p>
        </w:tc>
        <w:tc>
          <w:tcPr>
            <w:tcW w:w="920" w:type="dxa"/>
            <w:vAlign w:val="bottom"/>
            <w:tcBorders>
              <w:right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9"/>
                <w:szCs w:val="19"/>
                <w:color w:val="auto"/>
              </w:rPr>
            </w:pPr>
          </w:p>
        </w:tc>
        <w:tc>
          <w:tcPr>
            <w:tcW w:w="9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9"/>
                <w:szCs w:val="19"/>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(29)</w:t>
            </w:r>
          </w:p>
        </w:tc>
      </w:tr>
      <w:tr>
        <w:trPr>
          <w:trHeight w:val="230"/>
        </w:trPr>
        <w:tc>
          <w:tcPr>
            <w:tcW w:w="7400" w:type="dxa"/>
            <w:vAlign w:val="bottom"/>
          </w:tcPr>
          <w:p>
            <w:pPr>
              <w:ind w:left="140"/>
              <w:spacing w:after="0"/>
              <w:rPr>
                <w:sz w:val="20"/>
                <w:szCs w:val="20"/>
                <w:color w:val="auto"/>
              </w:rPr>
            </w:pPr>
            <w:r>
              <w:rPr>
                <w:rFonts w:ascii="Arial" w:cs="Arial" w:eastAsia="Arial" w:hAnsi="Arial"/>
                <w:sz w:val="14"/>
                <w:szCs w:val="14"/>
                <w:color w:val="auto"/>
              </w:rPr>
              <w:t>Dividends paid on common stock</w:t>
            </w:r>
          </w:p>
        </w:tc>
        <w:tc>
          <w:tcPr>
            <w:tcW w:w="340" w:type="dxa"/>
            <w:vAlign w:val="bottom"/>
          </w:tcPr>
          <w:p>
            <w:pPr>
              <w:spacing w:after="0"/>
              <w:rPr>
                <w:sz w:val="19"/>
                <w:szCs w:val="19"/>
                <w:color w:val="auto"/>
              </w:rPr>
            </w:pPr>
          </w:p>
        </w:tc>
        <w:tc>
          <w:tcPr>
            <w:tcW w:w="920" w:type="dxa"/>
            <w:vAlign w:val="bottom"/>
            <w:tcBorders>
              <w:right w:val="single" w:sz="8" w:color="auto"/>
            </w:tcBorders>
          </w:tcPr>
          <w:p>
            <w:pPr>
              <w:jc w:val="right"/>
              <w:ind w:right="208"/>
              <w:spacing w:after="0"/>
              <w:rPr>
                <w:sz w:val="20"/>
                <w:szCs w:val="20"/>
                <w:color w:val="auto"/>
              </w:rPr>
            </w:pPr>
            <w:r>
              <w:rPr>
                <w:rFonts w:ascii="Arial" w:cs="Arial" w:eastAsia="Arial" w:hAnsi="Arial"/>
                <w:sz w:val="14"/>
                <w:szCs w:val="14"/>
                <w:color w:val="auto"/>
              </w:rPr>
              <w:t>(33)</w:t>
            </w:r>
          </w:p>
        </w:tc>
        <w:tc>
          <w:tcPr>
            <w:tcW w:w="320" w:type="dxa"/>
            <w:vAlign w:val="bottom"/>
          </w:tcPr>
          <w:p>
            <w:pPr>
              <w:spacing w:after="0"/>
              <w:rPr>
                <w:sz w:val="19"/>
                <w:szCs w:val="19"/>
                <w:color w:val="auto"/>
              </w:rPr>
            </w:pP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(101)</w:t>
            </w:r>
          </w:p>
        </w:tc>
        <w:tc>
          <w:tcPr>
            <w:tcW w:w="400" w:type="dxa"/>
            <w:vAlign w:val="bottom"/>
          </w:tcPr>
          <w:p>
            <w:pPr>
              <w:spacing w:after="0"/>
              <w:rPr>
                <w:sz w:val="19"/>
                <w:szCs w:val="19"/>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(102)</w:t>
            </w:r>
          </w:p>
        </w:tc>
      </w:tr>
      <w:tr>
        <w:trPr>
          <w:trHeight w:val="230"/>
        </w:trPr>
        <w:tc>
          <w:tcPr>
            <w:tcW w:w="7400" w:type="dxa"/>
            <w:vAlign w:val="bottom"/>
          </w:tcPr>
          <w:p>
            <w:pPr>
              <w:ind w:left="140"/>
              <w:spacing w:after="0"/>
              <w:rPr>
                <w:sz w:val="20"/>
                <w:szCs w:val="20"/>
                <w:color w:val="auto"/>
              </w:rPr>
            </w:pPr>
            <w:r>
              <w:rPr>
                <w:rFonts w:ascii="Arial" w:cs="Arial" w:eastAsia="Arial" w:hAnsi="Arial"/>
                <w:sz w:val="14"/>
                <w:szCs w:val="14"/>
                <w:color w:val="auto"/>
              </w:rPr>
              <w:t>Payment of payroll taxes in lieu of issuing shares for stock-based compensation</w:t>
            </w:r>
          </w:p>
        </w:tc>
        <w:tc>
          <w:tcPr>
            <w:tcW w:w="340" w:type="dxa"/>
            <w:vAlign w:val="bottom"/>
          </w:tcPr>
          <w:p>
            <w:pPr>
              <w:spacing w:after="0"/>
              <w:rPr>
                <w:sz w:val="19"/>
                <w:szCs w:val="19"/>
                <w:color w:val="auto"/>
              </w:rPr>
            </w:pPr>
          </w:p>
        </w:tc>
        <w:tc>
          <w:tcPr>
            <w:tcW w:w="920" w:type="dxa"/>
            <w:vAlign w:val="bottom"/>
            <w:tcBorders>
              <w:right w:val="single" w:sz="8" w:color="auto"/>
            </w:tcBorders>
          </w:tcPr>
          <w:p>
            <w:pPr>
              <w:jc w:val="right"/>
              <w:ind w:right="208"/>
              <w:spacing w:after="0"/>
              <w:rPr>
                <w:sz w:val="20"/>
                <w:szCs w:val="20"/>
                <w:color w:val="auto"/>
              </w:rPr>
            </w:pPr>
            <w:r>
              <w:rPr>
                <w:rFonts w:ascii="Arial" w:cs="Arial" w:eastAsia="Arial" w:hAnsi="Arial"/>
                <w:sz w:val="14"/>
                <w:szCs w:val="14"/>
                <w:color w:val="auto"/>
              </w:rPr>
              <w:t>(63)</w:t>
            </w:r>
          </w:p>
        </w:tc>
        <w:tc>
          <w:tcPr>
            <w:tcW w:w="320" w:type="dxa"/>
            <w:vAlign w:val="bottom"/>
          </w:tcPr>
          <w:p>
            <w:pPr>
              <w:spacing w:after="0"/>
              <w:rPr>
                <w:sz w:val="19"/>
                <w:szCs w:val="19"/>
                <w:color w:val="auto"/>
              </w:rPr>
            </w:pP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(26)</w:t>
            </w:r>
          </w:p>
        </w:tc>
        <w:tc>
          <w:tcPr>
            <w:tcW w:w="400" w:type="dxa"/>
            <w:vAlign w:val="bottom"/>
          </w:tcPr>
          <w:p>
            <w:pPr>
              <w:spacing w:after="0"/>
              <w:rPr>
                <w:sz w:val="19"/>
                <w:szCs w:val="19"/>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(21)</w:t>
            </w:r>
          </w:p>
        </w:tc>
      </w:tr>
      <w:tr>
        <w:trPr>
          <w:trHeight w:val="229"/>
        </w:trPr>
        <w:tc>
          <w:tcPr>
            <w:tcW w:w="7400" w:type="dxa"/>
            <w:vAlign w:val="bottom"/>
          </w:tcPr>
          <w:p>
            <w:pPr>
              <w:ind w:left="140"/>
              <w:spacing w:after="0"/>
              <w:rPr>
                <w:sz w:val="20"/>
                <w:szCs w:val="20"/>
                <w:color w:val="auto"/>
              </w:rPr>
            </w:pPr>
            <w:r>
              <w:rPr>
                <w:rFonts w:ascii="Arial" w:cs="Arial" w:eastAsia="Arial" w:hAnsi="Arial"/>
                <w:sz w:val="14"/>
                <w:szCs w:val="14"/>
                <w:color w:val="auto"/>
              </w:rPr>
              <w:t>Payments to noncontrolling interests</w:t>
            </w:r>
          </w:p>
        </w:tc>
        <w:tc>
          <w:tcPr>
            <w:tcW w:w="340" w:type="dxa"/>
            <w:vAlign w:val="bottom"/>
          </w:tcPr>
          <w:p>
            <w:pPr>
              <w:spacing w:after="0"/>
              <w:rPr>
                <w:sz w:val="19"/>
                <w:szCs w:val="19"/>
                <w:color w:val="auto"/>
              </w:rPr>
            </w:pPr>
          </w:p>
        </w:tc>
        <w:tc>
          <w:tcPr>
            <w:tcW w:w="920" w:type="dxa"/>
            <w:vAlign w:val="bottom"/>
            <w:tcBorders>
              <w:right w:val="single" w:sz="8" w:color="auto"/>
            </w:tcBorders>
          </w:tcPr>
          <w:p>
            <w:pPr>
              <w:jc w:val="right"/>
              <w:ind w:right="208"/>
              <w:spacing w:after="0"/>
              <w:rPr>
                <w:sz w:val="20"/>
                <w:szCs w:val="20"/>
                <w:color w:val="auto"/>
              </w:rPr>
            </w:pPr>
            <w:r>
              <w:rPr>
                <w:rFonts w:ascii="Arial" w:cs="Arial" w:eastAsia="Arial" w:hAnsi="Arial"/>
                <w:sz w:val="14"/>
                <w:szCs w:val="14"/>
                <w:color w:val="auto"/>
              </w:rPr>
              <w:t>(2)</w:t>
            </w:r>
          </w:p>
        </w:tc>
        <w:tc>
          <w:tcPr>
            <w:tcW w:w="320" w:type="dxa"/>
            <w:vAlign w:val="bottom"/>
          </w:tcPr>
          <w:p>
            <w:pPr>
              <w:spacing w:after="0"/>
              <w:rPr>
                <w:sz w:val="19"/>
                <w:szCs w:val="19"/>
                <w:color w:val="auto"/>
              </w:rPr>
            </w:pP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(32)</w:t>
            </w:r>
          </w:p>
        </w:tc>
        <w:tc>
          <w:tcPr>
            <w:tcW w:w="400" w:type="dxa"/>
            <w:vAlign w:val="bottom"/>
          </w:tcPr>
          <w:p>
            <w:pPr>
              <w:spacing w:after="0"/>
              <w:rPr>
                <w:sz w:val="19"/>
                <w:szCs w:val="19"/>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(120)</w:t>
            </w:r>
          </w:p>
        </w:tc>
      </w:tr>
      <w:tr>
        <w:trPr>
          <w:trHeight w:val="230"/>
        </w:trPr>
        <w:tc>
          <w:tcPr>
            <w:tcW w:w="7400" w:type="dxa"/>
            <w:vAlign w:val="bottom"/>
          </w:tcPr>
          <w:p>
            <w:pPr>
              <w:ind w:left="140"/>
              <w:spacing w:after="0"/>
              <w:rPr>
                <w:sz w:val="20"/>
                <w:szCs w:val="20"/>
                <w:color w:val="auto"/>
              </w:rPr>
            </w:pPr>
            <w:r>
              <w:rPr>
                <w:rFonts w:ascii="Arial" w:cs="Arial" w:eastAsia="Arial" w:hAnsi="Arial"/>
                <w:sz w:val="14"/>
                <w:szCs w:val="14"/>
                <w:color w:val="auto"/>
              </w:rPr>
              <w:t>Other financing activities</w:t>
            </w:r>
          </w:p>
        </w:tc>
        <w:tc>
          <w:tcPr>
            <w:tcW w:w="340" w:type="dxa"/>
            <w:vAlign w:val="bottom"/>
          </w:tcPr>
          <w:p>
            <w:pPr>
              <w:spacing w:after="0"/>
              <w:rPr>
                <w:sz w:val="19"/>
                <w:szCs w:val="19"/>
                <w:color w:val="auto"/>
              </w:rPr>
            </w:pPr>
          </w:p>
        </w:tc>
        <w:tc>
          <w:tcPr>
            <w:tcW w:w="920" w:type="dxa"/>
            <w:vAlign w:val="bottom"/>
            <w:tcBorders>
              <w:right w:val="single" w:sz="8" w:color="auto"/>
            </w:tcBorders>
          </w:tcPr>
          <w:p>
            <w:pPr>
              <w:jc w:val="right"/>
              <w:ind w:right="208"/>
              <w:spacing w:after="0"/>
              <w:rPr>
                <w:sz w:val="20"/>
                <w:szCs w:val="20"/>
                <w:color w:val="auto"/>
              </w:rPr>
            </w:pPr>
            <w:r>
              <w:rPr>
                <w:rFonts w:ascii="Arial" w:cs="Arial" w:eastAsia="Arial" w:hAnsi="Arial"/>
                <w:sz w:val="14"/>
                <w:szCs w:val="14"/>
                <w:color w:val="auto"/>
              </w:rPr>
              <w:t>(3)</w:t>
            </w:r>
          </w:p>
        </w:tc>
        <w:tc>
          <w:tcPr>
            <w:tcW w:w="320" w:type="dxa"/>
            <w:vAlign w:val="bottom"/>
          </w:tcPr>
          <w:p>
            <w:pPr>
              <w:spacing w:after="0"/>
              <w:rPr>
                <w:sz w:val="19"/>
                <w:szCs w:val="19"/>
                <w:color w:val="auto"/>
              </w:rPr>
            </w:pPr>
          </w:p>
        </w:tc>
        <w:tc>
          <w:tcPr>
            <w:tcW w:w="9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9"/>
                <w:szCs w:val="19"/>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(26)</w:t>
            </w:r>
          </w:p>
        </w:tc>
      </w:tr>
      <w:tr>
        <w:trPr>
          <w:trHeight w:val="21"/>
        </w:trPr>
        <w:tc>
          <w:tcPr>
            <w:tcW w:w="7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02"/>
        </w:trPr>
        <w:tc>
          <w:tcPr>
            <w:tcW w:w="7400" w:type="dxa"/>
            <w:vAlign w:val="bottom"/>
          </w:tcPr>
          <w:p>
            <w:pPr>
              <w:ind w:left="20"/>
              <w:spacing w:after="0"/>
              <w:rPr>
                <w:sz w:val="20"/>
                <w:szCs w:val="20"/>
                <w:color w:val="auto"/>
              </w:rPr>
            </w:pPr>
            <w:r>
              <w:rPr>
                <w:rFonts w:ascii="Arial" w:cs="Arial" w:eastAsia="Arial" w:hAnsi="Arial"/>
                <w:sz w:val="14"/>
                <w:szCs w:val="14"/>
                <w:color w:val="auto"/>
              </w:rPr>
              <w:t>Net cash flow used for financing activities</w:t>
            </w:r>
          </w:p>
        </w:tc>
        <w:tc>
          <w:tcPr>
            <w:tcW w:w="340" w:type="dxa"/>
            <w:vAlign w:val="bottom"/>
          </w:tcPr>
          <w:p>
            <w:pPr>
              <w:spacing w:after="0"/>
              <w:rPr>
                <w:sz w:val="17"/>
                <w:szCs w:val="17"/>
                <w:color w:val="auto"/>
              </w:rPr>
            </w:pPr>
          </w:p>
        </w:tc>
        <w:tc>
          <w:tcPr>
            <w:tcW w:w="920" w:type="dxa"/>
            <w:vAlign w:val="bottom"/>
            <w:tcBorders>
              <w:right w:val="single" w:sz="8" w:color="auto"/>
            </w:tcBorders>
          </w:tcPr>
          <w:p>
            <w:pPr>
              <w:jc w:val="right"/>
              <w:ind w:right="208"/>
              <w:spacing w:after="0"/>
              <w:rPr>
                <w:sz w:val="20"/>
                <w:szCs w:val="20"/>
                <w:color w:val="auto"/>
              </w:rPr>
            </w:pPr>
            <w:r>
              <w:rPr>
                <w:rFonts w:ascii="Arial" w:cs="Arial" w:eastAsia="Arial" w:hAnsi="Arial"/>
                <w:sz w:val="14"/>
                <w:szCs w:val="14"/>
                <w:color w:val="auto"/>
              </w:rPr>
              <w:t>(821)</w:t>
            </w:r>
          </w:p>
        </w:tc>
        <w:tc>
          <w:tcPr>
            <w:tcW w:w="320" w:type="dxa"/>
            <w:vAlign w:val="bottom"/>
          </w:tcPr>
          <w:p>
            <w:pPr>
              <w:spacing w:after="0"/>
              <w:rPr>
                <w:sz w:val="17"/>
                <w:szCs w:val="17"/>
                <w:color w:val="auto"/>
              </w:rPr>
            </w:pP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(159)</w:t>
            </w:r>
          </w:p>
        </w:tc>
        <w:tc>
          <w:tcPr>
            <w:tcW w:w="400" w:type="dxa"/>
            <w:vAlign w:val="bottom"/>
          </w:tcPr>
          <w:p>
            <w:pPr>
              <w:spacing w:after="0"/>
              <w:rPr>
                <w:sz w:val="17"/>
                <w:szCs w:val="17"/>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(298)</w:t>
            </w:r>
          </w:p>
        </w:tc>
      </w:tr>
      <w:tr>
        <w:trPr>
          <w:trHeight w:val="22"/>
        </w:trPr>
        <w:tc>
          <w:tcPr>
            <w:tcW w:w="7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01"/>
        </w:trPr>
        <w:tc>
          <w:tcPr>
            <w:tcW w:w="7400" w:type="dxa"/>
            <w:vAlign w:val="bottom"/>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340" w:type="dxa"/>
            <w:vAlign w:val="bottom"/>
          </w:tcPr>
          <w:p>
            <w:pPr>
              <w:spacing w:after="0"/>
              <w:rPr>
                <w:sz w:val="17"/>
                <w:szCs w:val="17"/>
                <w:color w:val="auto"/>
              </w:rPr>
            </w:pPr>
          </w:p>
        </w:tc>
        <w:tc>
          <w:tcPr>
            <w:tcW w:w="920" w:type="dxa"/>
            <w:vAlign w:val="bottom"/>
            <w:tcBorders>
              <w:right w:val="single" w:sz="8" w:color="auto"/>
            </w:tcBorders>
          </w:tcPr>
          <w:p>
            <w:pPr>
              <w:jc w:val="right"/>
              <w:ind w:right="248"/>
              <w:spacing w:after="0"/>
              <w:rPr>
                <w:sz w:val="20"/>
                <w:szCs w:val="20"/>
                <w:color w:val="auto"/>
              </w:rPr>
            </w:pPr>
            <w:r>
              <w:rPr>
                <w:rFonts w:ascii="Arial" w:cs="Arial" w:eastAsia="Arial" w:hAnsi="Arial"/>
                <w:sz w:val="14"/>
                <w:szCs w:val="14"/>
                <w:color w:val="auto"/>
              </w:rPr>
              <w:t>7</w:t>
            </w:r>
          </w:p>
        </w:tc>
        <w:tc>
          <w:tcPr>
            <w:tcW w:w="320" w:type="dxa"/>
            <w:vAlign w:val="bottom"/>
          </w:tcPr>
          <w:p>
            <w:pPr>
              <w:spacing w:after="0"/>
              <w:rPr>
                <w:sz w:val="17"/>
                <w:szCs w:val="17"/>
                <w:color w:val="auto"/>
              </w:rPr>
            </w:pPr>
          </w:p>
        </w:tc>
        <w:tc>
          <w:tcPr>
            <w:tcW w:w="960" w:type="dxa"/>
            <w:vAlign w:val="bottom"/>
          </w:tcPr>
          <w:p>
            <w:pPr>
              <w:jc w:val="right"/>
              <w:ind w:right="188"/>
              <w:spacing w:after="0"/>
              <w:rPr>
                <w:sz w:val="20"/>
                <w:szCs w:val="20"/>
                <w:color w:val="auto"/>
              </w:rPr>
            </w:pPr>
            <w:r>
              <w:rPr>
                <w:rFonts w:ascii="Arial" w:cs="Arial" w:eastAsia="Arial" w:hAnsi="Arial"/>
                <w:sz w:val="14"/>
                <w:szCs w:val="14"/>
                <w:color w:val="auto"/>
              </w:rPr>
              <w:t>70</w:t>
            </w:r>
          </w:p>
        </w:tc>
        <w:tc>
          <w:tcPr>
            <w:tcW w:w="400" w:type="dxa"/>
            <w:vAlign w:val="bottom"/>
          </w:tcPr>
          <w:p>
            <w:pPr>
              <w:spacing w:after="0"/>
              <w:rPr>
                <w:sz w:val="17"/>
                <w:szCs w:val="17"/>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14</w:t>
            </w:r>
          </w:p>
        </w:tc>
      </w:tr>
      <w:tr>
        <w:trPr>
          <w:trHeight w:val="21"/>
        </w:trPr>
        <w:tc>
          <w:tcPr>
            <w:tcW w:w="7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02"/>
        </w:trPr>
        <w:tc>
          <w:tcPr>
            <w:tcW w:w="7400" w:type="dxa"/>
            <w:vAlign w:val="bottom"/>
          </w:tcPr>
          <w:p>
            <w:pPr>
              <w:ind w:left="20"/>
              <w:spacing w:after="0"/>
              <w:rPr>
                <w:sz w:val="20"/>
                <w:szCs w:val="20"/>
                <w:color w:val="auto"/>
              </w:rPr>
            </w:pPr>
            <w:r>
              <w:rPr>
                <w:rFonts w:ascii="Arial" w:cs="Arial" w:eastAsia="Arial" w:hAnsi="Arial"/>
                <w:sz w:val="14"/>
                <w:szCs w:val="14"/>
                <w:color w:val="auto"/>
              </w:rPr>
              <w:t>Net decrease in cash and cash equivalents</w:t>
            </w:r>
          </w:p>
        </w:tc>
        <w:tc>
          <w:tcPr>
            <w:tcW w:w="340" w:type="dxa"/>
            <w:vAlign w:val="bottom"/>
          </w:tcPr>
          <w:p>
            <w:pPr>
              <w:spacing w:after="0"/>
              <w:rPr>
                <w:sz w:val="17"/>
                <w:szCs w:val="17"/>
                <w:color w:val="auto"/>
              </w:rPr>
            </w:pPr>
          </w:p>
        </w:tc>
        <w:tc>
          <w:tcPr>
            <w:tcW w:w="920" w:type="dxa"/>
            <w:vAlign w:val="bottom"/>
            <w:tcBorders>
              <w:right w:val="single" w:sz="8" w:color="auto"/>
            </w:tcBorders>
          </w:tcPr>
          <w:p>
            <w:pPr>
              <w:jc w:val="right"/>
              <w:ind w:right="208"/>
              <w:spacing w:after="0"/>
              <w:rPr>
                <w:sz w:val="20"/>
                <w:szCs w:val="20"/>
                <w:color w:val="auto"/>
              </w:rPr>
            </w:pPr>
            <w:r>
              <w:rPr>
                <w:rFonts w:ascii="Arial" w:cs="Arial" w:eastAsia="Arial" w:hAnsi="Arial"/>
                <w:sz w:val="14"/>
                <w:szCs w:val="14"/>
                <w:color w:val="auto"/>
              </w:rPr>
              <w:t>(588)</w:t>
            </w:r>
          </w:p>
        </w:tc>
        <w:tc>
          <w:tcPr>
            <w:tcW w:w="320" w:type="dxa"/>
            <w:vAlign w:val="bottom"/>
          </w:tcPr>
          <w:p>
            <w:pPr>
              <w:spacing w:after="0"/>
              <w:rPr>
                <w:sz w:val="17"/>
                <w:szCs w:val="17"/>
                <w:color w:val="auto"/>
              </w:rPr>
            </w:pP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(201)</w:t>
            </w:r>
          </w:p>
        </w:tc>
        <w:tc>
          <w:tcPr>
            <w:tcW w:w="400" w:type="dxa"/>
            <w:vAlign w:val="bottom"/>
          </w:tcPr>
          <w:p>
            <w:pPr>
              <w:spacing w:after="0"/>
              <w:rPr>
                <w:sz w:val="17"/>
                <w:szCs w:val="17"/>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(17)</w:t>
            </w:r>
          </w:p>
        </w:tc>
      </w:tr>
      <w:tr>
        <w:trPr>
          <w:trHeight w:val="229"/>
        </w:trPr>
        <w:tc>
          <w:tcPr>
            <w:tcW w:w="7400" w:type="dxa"/>
            <w:vAlign w:val="bottom"/>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340" w:type="dxa"/>
            <w:vAlign w:val="bottom"/>
          </w:tcPr>
          <w:p>
            <w:pPr>
              <w:spacing w:after="0"/>
              <w:rPr>
                <w:sz w:val="19"/>
                <w:szCs w:val="19"/>
                <w:color w:val="auto"/>
              </w:rPr>
            </w:pPr>
          </w:p>
        </w:tc>
        <w:tc>
          <w:tcPr>
            <w:tcW w:w="920" w:type="dxa"/>
            <w:vAlign w:val="bottom"/>
            <w:tcBorders>
              <w:right w:val="single" w:sz="8" w:color="auto"/>
            </w:tcBorders>
          </w:tcPr>
          <w:p>
            <w:pPr>
              <w:jc w:val="right"/>
              <w:ind w:right="248"/>
              <w:spacing w:after="0"/>
              <w:rPr>
                <w:sz w:val="20"/>
                <w:szCs w:val="20"/>
                <w:color w:val="auto"/>
              </w:rPr>
            </w:pPr>
            <w:r>
              <w:rPr>
                <w:rFonts w:ascii="Arial" w:cs="Arial" w:eastAsia="Arial" w:hAnsi="Arial"/>
                <w:sz w:val="14"/>
                <w:szCs w:val="14"/>
                <w:color w:val="auto"/>
              </w:rPr>
              <w:t>3,851</w:t>
            </w:r>
          </w:p>
        </w:tc>
        <w:tc>
          <w:tcPr>
            <w:tcW w:w="320" w:type="dxa"/>
            <w:vAlign w:val="bottom"/>
          </w:tcPr>
          <w:p>
            <w:pPr>
              <w:spacing w:after="0"/>
              <w:rPr>
                <w:sz w:val="19"/>
                <w:szCs w:val="19"/>
                <w:color w:val="auto"/>
              </w:rPr>
            </w:pPr>
          </w:p>
        </w:tc>
        <w:tc>
          <w:tcPr>
            <w:tcW w:w="960" w:type="dxa"/>
            <w:vAlign w:val="bottom"/>
          </w:tcPr>
          <w:p>
            <w:pPr>
              <w:jc w:val="right"/>
              <w:ind w:right="188"/>
              <w:spacing w:after="0"/>
              <w:rPr>
                <w:sz w:val="20"/>
                <w:szCs w:val="20"/>
                <w:color w:val="auto"/>
              </w:rPr>
            </w:pPr>
            <w:r>
              <w:rPr>
                <w:rFonts w:ascii="Arial" w:cs="Arial" w:eastAsia="Arial" w:hAnsi="Arial"/>
                <w:sz w:val="14"/>
                <w:szCs w:val="14"/>
                <w:color w:val="auto"/>
              </w:rPr>
              <w:t>2,661</w:t>
            </w:r>
          </w:p>
        </w:tc>
        <w:tc>
          <w:tcPr>
            <w:tcW w:w="400" w:type="dxa"/>
            <w:vAlign w:val="bottom"/>
          </w:tcPr>
          <w:p>
            <w:pPr>
              <w:spacing w:after="0"/>
              <w:rPr>
                <w:sz w:val="19"/>
                <w:szCs w:val="19"/>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2,460</w:t>
            </w:r>
          </w:p>
        </w:tc>
      </w:tr>
      <w:tr>
        <w:trPr>
          <w:trHeight w:val="21"/>
        </w:trPr>
        <w:tc>
          <w:tcPr>
            <w:tcW w:w="7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02"/>
        </w:trPr>
        <w:tc>
          <w:tcPr>
            <w:tcW w:w="7400" w:type="dxa"/>
            <w:vAlign w:val="bottom"/>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right"/>
              <w:ind w:right="248"/>
              <w:spacing w:after="0"/>
              <w:rPr>
                <w:sz w:val="20"/>
                <w:szCs w:val="20"/>
                <w:color w:val="auto"/>
              </w:rPr>
            </w:pPr>
            <w:r>
              <w:rPr>
                <w:rFonts w:ascii="Arial" w:cs="Arial" w:eastAsia="Arial" w:hAnsi="Arial"/>
                <w:sz w:val="14"/>
                <w:szCs w:val="14"/>
                <w:color w:val="auto"/>
              </w:rPr>
              <w:t>3,263</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88"/>
              <w:spacing w:after="0"/>
              <w:rPr>
                <w:sz w:val="20"/>
                <w:szCs w:val="20"/>
                <w:color w:val="auto"/>
              </w:rPr>
            </w:pPr>
            <w:r>
              <w:rPr>
                <w:rFonts w:ascii="Arial" w:cs="Arial" w:eastAsia="Arial" w:hAnsi="Arial"/>
                <w:sz w:val="14"/>
                <w:szCs w:val="14"/>
                <w:color w:val="auto"/>
              </w:rPr>
              <w:t>2,460</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2,443</w:t>
            </w:r>
          </w:p>
        </w:tc>
      </w:tr>
      <w:tr>
        <w:trPr>
          <w:trHeight w:val="29"/>
        </w:trPr>
        <w:tc>
          <w:tcPr>
            <w:tcW w:w="7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240"/>
          </w:cols>
          <w:pgMar w:left="320" w:top="1097"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22"/>
          <w:szCs w:val="22"/>
          <w:b w:val="1"/>
          <w:bCs w:val="1"/>
          <w:color w:val="auto"/>
        </w:rPr>
        <w:t>SUPPLEMENTAL DISCLOSURES REGARDING NON-GAAP FINANCIAL MEASURES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in millions, except per share amounts)</w:t>
      </w:r>
    </w:p>
    <w:p>
      <w:pPr>
        <w:spacing w:after="0" w:line="303" w:lineRule="exact"/>
        <w:rPr>
          <w:sz w:val="20"/>
          <w:szCs w:val="20"/>
          <w:color w:val="auto"/>
        </w:rPr>
      </w:pPr>
    </w:p>
    <w:p>
      <w:pPr>
        <w:ind w:right="160"/>
        <w:spacing w:after="0" w:line="261" w:lineRule="auto"/>
        <w:rPr>
          <w:sz w:val="20"/>
          <w:szCs w:val="20"/>
          <w:color w:val="auto"/>
        </w:rPr>
      </w:pPr>
      <w:r>
        <w:rPr>
          <w:rFonts w:ascii="Arial" w:cs="Arial" w:eastAsia="Arial" w:hAnsi="Arial"/>
          <w:sz w:val="21"/>
          <w:szCs w:val="21"/>
          <w:color w:val="auto"/>
        </w:rPr>
        <w:t xml:space="preserve">Adjusted operating income before depreciation and amortization (“Adjusted OIBDA”), adjusted earnings from continuing operations before income taxes, adjusted provision for income taxes, adjusted net earnings from continuing operations attributable to Parent, adjusted diluted EPS from continuing operations, and adjusted effective income tax rate, which are measures of performance not calculated in accordance with accounting principles generally accepted in the United States of America (“U.S. GAAP” or “GAAP”) (together, the “adjusted measures”), exclude certain items identified as affecting comparability that are not part of our normal operations, including impairment charges, restructuring charges, transaction-related items, programming charges, gain on dispositions, loss from investment, and discrete tax items, each where applicable. Programming charges consist only of charges related to major strategic changes, which are further described under </w:t>
      </w:r>
      <w:r>
        <w:rPr>
          <w:rFonts w:ascii="Arial" w:cs="Arial" w:eastAsia="Arial" w:hAnsi="Arial"/>
          <w:sz w:val="21"/>
          <w:szCs w:val="21"/>
          <w:i w:val="1"/>
          <w:iCs w:val="1"/>
          <w:color w:val="auto"/>
        </w:rPr>
        <w:t>Programming Charges</w:t>
      </w:r>
      <w:r>
        <w:rPr>
          <w:rFonts w:ascii="Arial" w:cs="Arial" w:eastAsia="Arial" w:hAnsi="Arial"/>
          <w:sz w:val="21"/>
          <w:szCs w:val="21"/>
          <w:color w:val="auto"/>
        </w:rPr>
        <w:t>, and do not include impairment charges that occur as part of our normal operations, which are recorded within “Operating expenses” on the Consolidated Statements of Operations, and are not excluded in our adjusted measures.</w:t>
      </w:r>
    </w:p>
    <w:p>
      <w:pPr>
        <w:spacing w:after="0" w:line="203" w:lineRule="exact"/>
        <w:rPr>
          <w:sz w:val="20"/>
          <w:szCs w:val="20"/>
          <w:color w:val="auto"/>
        </w:rPr>
      </w:pPr>
    </w:p>
    <w:p>
      <w:pPr>
        <w:ind w:right="220"/>
        <w:spacing w:after="0" w:line="262" w:lineRule="auto"/>
        <w:rPr>
          <w:sz w:val="20"/>
          <w:szCs w:val="20"/>
          <w:color w:val="auto"/>
        </w:rPr>
      </w:pPr>
      <w:r>
        <w:rPr>
          <w:rFonts w:ascii="Arial" w:cs="Arial" w:eastAsia="Arial" w:hAnsi="Arial"/>
          <w:sz w:val="21"/>
          <w:szCs w:val="21"/>
          <w:color w:val="auto"/>
        </w:rPr>
        <w:t>We use these measures to, among other things, evaluate our operating performance. These measures are among the primary measures used by management for planning and forecasting of future periods, and they are important indicators of our operational strength and business performance. In addition, we use Adjusted OIBDA to, among other things, value prospective acquisitions. We believe these measures are relevant and useful for investors because they allow investors to view performance in a manner similar to the method used by our management; and because they exclude items that are not representative of our normal, recurring operations, they provide a clearer perspective on our underlying performance; and make it easier for investors, analysts and peers to compare our operating performance to other companies in our industry and to compare our year-over-year results.</w:t>
      </w:r>
    </w:p>
    <w:p>
      <w:pPr>
        <w:spacing w:after="0" w:line="200" w:lineRule="exact"/>
        <w:rPr>
          <w:sz w:val="20"/>
          <w:szCs w:val="20"/>
          <w:color w:val="auto"/>
        </w:rPr>
      </w:pPr>
    </w:p>
    <w:p>
      <w:pPr>
        <w:ind w:right="40"/>
        <w:spacing w:after="0" w:line="251" w:lineRule="auto"/>
        <w:rPr>
          <w:sz w:val="20"/>
          <w:szCs w:val="20"/>
          <w:color w:val="auto"/>
        </w:rPr>
      </w:pPr>
      <w:r>
        <w:rPr>
          <w:rFonts w:ascii="Arial" w:cs="Arial" w:eastAsia="Arial" w:hAnsi="Arial"/>
          <w:sz w:val="22"/>
          <w:szCs w:val="22"/>
          <w:color w:val="auto"/>
        </w:rPr>
        <w:t>Because the adjusted measures are measures of performance not calculated in accordance with U.S. GAAP, they should not be considered in isolation of, or as a substitute for, operating income (loss), earnings (loss) from continuing operations before income taxes, (provision for) benefit from income taxes, net earnings (loss) from continuing operations attributable to Parent, diluted EPS from continuing operations, and effective income tax rate, as applicable, as indicators of operating performance. These measures, as we calculate them, may not be comparable to similarly titled measures employed by other companies.</w:t>
      </w:r>
    </w:p>
    <w:p>
      <w:pPr>
        <w:spacing w:after="0" w:line="208" w:lineRule="exact"/>
        <w:rPr>
          <w:sz w:val="20"/>
          <w:szCs w:val="20"/>
          <w:color w:val="auto"/>
        </w:rPr>
      </w:pPr>
    </w:p>
    <w:p>
      <w:pPr>
        <w:ind w:right="380"/>
        <w:spacing w:after="0" w:line="264" w:lineRule="auto"/>
        <w:rPr>
          <w:sz w:val="20"/>
          <w:szCs w:val="20"/>
          <w:color w:val="auto"/>
        </w:rPr>
      </w:pPr>
      <w:r>
        <w:rPr>
          <w:rFonts w:ascii="Arial" w:cs="Arial" w:eastAsia="Arial" w:hAnsi="Arial"/>
          <w:sz w:val="22"/>
          <w:szCs w:val="22"/>
          <w:color w:val="auto"/>
        </w:rPr>
        <w:t>We are not able to reconcile forward-looking non-GAAP financial measures because we are unable without unreasonable efforts to accurately estimate the individual adjustments for such reconciliations, as applicable, or to quantify the probable significance of these items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097"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22"/>
          <w:szCs w:val="22"/>
          <w:b w:val="1"/>
          <w:bCs w:val="1"/>
          <w:color w:val="auto"/>
        </w:rPr>
        <w:t>SUPPLEMENTAL DISCLOSURES REGARDING NON-GAAP FINANCIAL MEASURES (Continued)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in millions, except per share amounts)</w:t>
      </w:r>
    </w:p>
    <w:p>
      <w:pPr>
        <w:spacing w:after="0" w:line="249" w:lineRule="exact"/>
        <w:rPr>
          <w:sz w:val="20"/>
          <w:szCs w:val="20"/>
          <w:color w:val="auto"/>
        </w:rPr>
      </w:pPr>
    </w:p>
    <w:p>
      <w:pPr>
        <w:ind w:right="420"/>
        <w:spacing w:after="0" w:line="264" w:lineRule="auto"/>
        <w:rPr>
          <w:sz w:val="20"/>
          <w:szCs w:val="20"/>
          <w:color w:val="auto"/>
        </w:rPr>
      </w:pPr>
      <w:r>
        <w:rPr>
          <w:rFonts w:ascii="Arial" w:cs="Arial" w:eastAsia="Arial" w:hAnsi="Arial"/>
          <w:sz w:val="22"/>
          <w:szCs w:val="22"/>
          <w:color w:val="auto"/>
        </w:rPr>
        <w:t>The following tables reconcile the adjusted measures to their most directly comparable financial measures in accordance with U.S. GAAP. The tax impacts on the items identified as affecting comparability in the tables below have been calculated using the tax rate applicable to each item.</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Three Months Ended September 30, 2025 and 2024</w:t>
      </w:r>
    </w:p>
    <w:p>
      <w:pPr>
        <w:spacing w:after="0" w:line="172" w:lineRule="exact"/>
        <w:rPr>
          <w:sz w:val="20"/>
          <w:szCs w:val="20"/>
          <w:color w:val="auto"/>
        </w:rPr>
      </w:pPr>
    </w:p>
    <w:tbl>
      <w:tblPr>
        <w:tblLayout w:type="fixed"/>
        <w:tblInd w:w="1500" w:type="dxa"/>
        <w:tblCellMar>
          <w:top w:w="0" w:type="dxa"/>
          <w:left w:w="0" w:type="dxa"/>
          <w:bottom w:w="0" w:type="dxa"/>
          <w:right w:w="0" w:type="dxa"/>
        </w:tblCellMar>
      </w:tblPr>
      <w:tr>
        <w:trPr>
          <w:trHeight w:val="266"/>
        </w:trPr>
        <w:tc>
          <w:tcPr>
            <w:tcW w:w="3480" w:type="dxa"/>
            <w:vAlign w:val="bottom"/>
            <w:tcBorders>
              <w:top w:val="single" w:sz="8" w:color="auto"/>
            </w:tcBorders>
          </w:tcPr>
          <w:p>
            <w:pPr>
              <w:spacing w:after="0"/>
              <w:rPr>
                <w:sz w:val="23"/>
                <w:szCs w:val="23"/>
                <w:color w:val="auto"/>
              </w:rPr>
            </w:pPr>
          </w:p>
        </w:tc>
        <w:tc>
          <w:tcPr>
            <w:tcW w:w="1580" w:type="dxa"/>
            <w:vAlign w:val="bottom"/>
            <w:tcBorders>
              <w:top w:val="single" w:sz="8" w:color="auto"/>
              <w:bottom w:val="single" w:sz="8" w:color="auto"/>
              <w:right w:val="single" w:sz="8" w:color="auto"/>
            </w:tcBorders>
            <w:gridSpan w:val="2"/>
          </w:tcPr>
          <w:p>
            <w:pPr>
              <w:jc w:val="center"/>
              <w:ind w:right="32"/>
              <w:spacing w:after="0"/>
              <w:rPr>
                <w:sz w:val="20"/>
                <w:szCs w:val="20"/>
                <w:color w:val="auto"/>
              </w:rPr>
            </w:pPr>
            <w:r>
              <w:rPr>
                <w:rFonts w:ascii="Arial" w:cs="Arial" w:eastAsia="Arial" w:hAnsi="Arial"/>
                <w:sz w:val="16"/>
                <w:szCs w:val="16"/>
                <w:b w:val="1"/>
                <w:bCs w:val="1"/>
                <w:color w:val="auto"/>
              </w:rPr>
              <w:t>Successor</w:t>
            </w:r>
          </w:p>
        </w:tc>
        <w:tc>
          <w:tcPr>
            <w:tcW w:w="500" w:type="dxa"/>
            <w:vAlign w:val="bottom"/>
            <w:tcBorders>
              <w:top w:val="single" w:sz="8" w:color="auto"/>
              <w:bottom w:val="single" w:sz="8" w:color="auto"/>
            </w:tcBorders>
          </w:tcPr>
          <w:p>
            <w:pPr>
              <w:spacing w:after="0"/>
              <w:rPr>
                <w:sz w:val="23"/>
                <w:szCs w:val="23"/>
                <w:color w:val="auto"/>
              </w:rPr>
            </w:pPr>
          </w:p>
        </w:tc>
        <w:tc>
          <w:tcPr>
            <w:tcW w:w="1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Predecessor</w:t>
            </w:r>
          </w:p>
        </w:tc>
        <w:tc>
          <w:tcPr>
            <w:tcW w:w="1000" w:type="dxa"/>
            <w:vAlign w:val="bottom"/>
            <w:tcBorders>
              <w:top w:val="single" w:sz="8" w:color="auto"/>
              <w:bottom w:val="single" w:sz="8" w:color="auto"/>
            </w:tcBorders>
          </w:tcPr>
          <w:p>
            <w:pPr>
              <w:spacing w:after="0"/>
              <w:rPr>
                <w:sz w:val="23"/>
                <w:szCs w:val="23"/>
                <w:color w:val="auto"/>
              </w:rPr>
            </w:pPr>
          </w:p>
        </w:tc>
      </w:tr>
      <w:tr>
        <w:trPr>
          <w:trHeight w:val="199"/>
        </w:trPr>
        <w:tc>
          <w:tcPr>
            <w:tcW w:w="3480" w:type="dxa"/>
            <w:vAlign w:val="bottom"/>
          </w:tcPr>
          <w:p>
            <w:pPr>
              <w:spacing w:after="0"/>
              <w:rPr>
                <w:sz w:val="17"/>
                <w:szCs w:val="17"/>
                <w:color w:val="auto"/>
              </w:rPr>
            </w:pPr>
          </w:p>
        </w:tc>
        <w:tc>
          <w:tcPr>
            <w:tcW w:w="1580" w:type="dxa"/>
            <w:vAlign w:val="bottom"/>
            <w:tcBorders>
              <w:right w:val="single" w:sz="8" w:color="auto"/>
            </w:tcBorders>
            <w:gridSpan w:val="2"/>
          </w:tcPr>
          <w:p>
            <w:pPr>
              <w:jc w:val="center"/>
              <w:ind w:right="52"/>
              <w:spacing w:after="0"/>
              <w:rPr>
                <w:sz w:val="20"/>
                <w:szCs w:val="20"/>
                <w:color w:val="auto"/>
              </w:rPr>
            </w:pPr>
            <w:r>
              <w:rPr>
                <w:rFonts w:ascii="Arial" w:cs="Arial" w:eastAsia="Arial" w:hAnsi="Arial"/>
                <w:sz w:val="16"/>
                <w:szCs w:val="16"/>
                <w:b w:val="1"/>
                <w:bCs w:val="1"/>
                <w:color w:val="auto"/>
              </w:rPr>
              <w:t>Period From</w:t>
            </w: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0" w:type="dxa"/>
            <w:vAlign w:val="bottom"/>
            <w:gridSpan w:val="2"/>
          </w:tcPr>
          <w:p>
            <w:pPr>
              <w:jc w:val="right"/>
              <w:ind w:right="132"/>
              <w:spacing w:after="0"/>
              <w:rPr>
                <w:sz w:val="20"/>
                <w:szCs w:val="20"/>
                <w:color w:val="auto"/>
              </w:rPr>
            </w:pPr>
            <w:r>
              <w:rPr>
                <w:rFonts w:ascii="Arial" w:cs="Arial" w:eastAsia="Arial" w:hAnsi="Arial"/>
                <w:sz w:val="16"/>
                <w:szCs w:val="16"/>
                <w:b w:val="1"/>
                <w:bCs w:val="1"/>
                <w:color w:val="auto"/>
              </w:rPr>
              <w:t>Three Months</w:t>
            </w:r>
          </w:p>
        </w:tc>
      </w:tr>
      <w:tr>
        <w:trPr>
          <w:trHeight w:val="189"/>
        </w:trPr>
        <w:tc>
          <w:tcPr>
            <w:tcW w:w="3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Borders>
              <w:right w:val="single" w:sz="8" w:color="auto"/>
            </w:tcBorders>
          </w:tcPr>
          <w:p>
            <w:pPr>
              <w:jc w:val="center"/>
              <w:ind w:right="372"/>
              <w:spacing w:after="0"/>
              <w:rPr>
                <w:sz w:val="20"/>
                <w:szCs w:val="20"/>
                <w:color w:val="auto"/>
              </w:rPr>
            </w:pPr>
            <w:r>
              <w:rPr>
                <w:rFonts w:ascii="Arial" w:cs="Arial" w:eastAsia="Arial" w:hAnsi="Arial"/>
                <w:sz w:val="16"/>
                <w:szCs w:val="16"/>
                <w:b w:val="1"/>
                <w:bCs w:val="1"/>
                <w:color w:val="auto"/>
              </w:rPr>
              <w:t>August 7 -</w:t>
            </w:r>
          </w:p>
        </w:tc>
        <w:tc>
          <w:tcPr>
            <w:tcW w:w="1600" w:type="dxa"/>
            <w:vAlign w:val="bottom"/>
            <w:gridSpan w:val="2"/>
          </w:tcPr>
          <w:p>
            <w:pPr>
              <w:jc w:val="right"/>
              <w:ind w:right="72"/>
              <w:spacing w:after="0"/>
              <w:rPr>
                <w:sz w:val="20"/>
                <w:szCs w:val="20"/>
                <w:color w:val="auto"/>
              </w:rPr>
            </w:pPr>
            <w:r>
              <w:rPr>
                <w:rFonts w:ascii="Arial" w:cs="Arial" w:eastAsia="Arial" w:hAnsi="Arial"/>
                <w:sz w:val="16"/>
                <w:szCs w:val="16"/>
                <w:b w:val="1"/>
                <w:bCs w:val="1"/>
                <w:color w:val="auto"/>
              </w:rPr>
              <w:t>Period From July</w:t>
            </w:r>
          </w:p>
        </w:tc>
        <w:tc>
          <w:tcPr>
            <w:tcW w:w="1600" w:type="dxa"/>
            <w:vAlign w:val="bottom"/>
            <w:gridSpan w:val="2"/>
          </w:tcPr>
          <w:p>
            <w:pPr>
              <w:jc w:val="right"/>
              <w:spacing w:after="0"/>
              <w:rPr>
                <w:sz w:val="20"/>
                <w:szCs w:val="20"/>
                <w:color w:val="auto"/>
              </w:rPr>
            </w:pPr>
            <w:r>
              <w:rPr>
                <w:rFonts w:ascii="Arial" w:cs="Arial" w:eastAsia="Arial" w:hAnsi="Arial"/>
                <w:sz w:val="16"/>
                <w:szCs w:val="16"/>
                <w:b w:val="1"/>
                <w:bCs w:val="1"/>
                <w:color w:val="auto"/>
              </w:rPr>
              <w:t>Ended September</w:t>
            </w:r>
          </w:p>
        </w:tc>
      </w:tr>
      <w:tr>
        <w:trPr>
          <w:trHeight w:val="240"/>
        </w:trPr>
        <w:tc>
          <w:tcPr>
            <w:tcW w:w="3480" w:type="dxa"/>
            <w:vAlign w:val="bottom"/>
          </w:tcPr>
          <w:p>
            <w:pPr>
              <w:spacing w:after="0"/>
              <w:rPr>
                <w:sz w:val="20"/>
                <w:szCs w:val="20"/>
                <w:color w:val="auto"/>
              </w:rPr>
            </w:pPr>
          </w:p>
        </w:tc>
        <w:tc>
          <w:tcPr>
            <w:tcW w:w="1580" w:type="dxa"/>
            <w:vAlign w:val="bottom"/>
            <w:tcBorders>
              <w:bottom w:val="single" w:sz="8" w:color="auto"/>
              <w:right w:val="single" w:sz="8" w:color="auto"/>
            </w:tcBorders>
            <w:gridSpan w:val="2"/>
          </w:tcPr>
          <w:p>
            <w:pPr>
              <w:jc w:val="center"/>
              <w:ind w:right="32"/>
              <w:spacing w:after="0"/>
              <w:rPr>
                <w:sz w:val="20"/>
                <w:szCs w:val="20"/>
                <w:color w:val="auto"/>
              </w:rPr>
            </w:pPr>
            <w:r>
              <w:rPr>
                <w:rFonts w:ascii="Arial" w:cs="Arial" w:eastAsia="Arial" w:hAnsi="Arial"/>
                <w:sz w:val="16"/>
                <w:szCs w:val="16"/>
                <w:b w:val="1"/>
                <w:bCs w:val="1"/>
                <w:color w:val="auto"/>
              </w:rPr>
              <w:t>September 30,</w:t>
            </w:r>
          </w:p>
        </w:tc>
        <w:tc>
          <w:tcPr>
            <w:tcW w:w="1600" w:type="dxa"/>
            <w:vAlign w:val="bottom"/>
            <w:tcBorders>
              <w:bottom w:val="single" w:sz="8" w:color="auto"/>
            </w:tcBorders>
            <w:gridSpan w:val="2"/>
          </w:tcPr>
          <w:p>
            <w:pPr>
              <w:ind w:left="300"/>
              <w:spacing w:after="0"/>
              <w:rPr>
                <w:sz w:val="20"/>
                <w:szCs w:val="20"/>
                <w:color w:val="auto"/>
              </w:rPr>
            </w:pPr>
            <w:r>
              <w:rPr>
                <w:rFonts w:ascii="Arial" w:cs="Arial" w:eastAsia="Arial" w:hAnsi="Arial"/>
                <w:sz w:val="16"/>
                <w:szCs w:val="16"/>
                <w:b w:val="1"/>
                <w:bCs w:val="1"/>
                <w:color w:val="auto"/>
              </w:rPr>
              <w:t>1 - August 6,</w:t>
            </w:r>
          </w:p>
        </w:tc>
        <w:tc>
          <w:tcPr>
            <w:tcW w:w="6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30,</w:t>
            </w:r>
          </w:p>
        </w:tc>
      </w:tr>
      <w:tr>
        <w:trPr>
          <w:trHeight w:val="236"/>
        </w:trPr>
        <w:tc>
          <w:tcPr>
            <w:tcW w:w="34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jc w:val="center"/>
              <w:ind w:right="372"/>
              <w:spacing w:after="0"/>
              <w:rPr>
                <w:sz w:val="20"/>
                <w:szCs w:val="20"/>
                <w:color w:val="auto"/>
              </w:rPr>
            </w:pPr>
            <w:r>
              <w:rPr>
                <w:rFonts w:ascii="Arial" w:cs="Arial" w:eastAsia="Arial" w:hAnsi="Arial"/>
                <w:sz w:val="16"/>
                <w:szCs w:val="16"/>
                <w:b w:val="1"/>
                <w:bCs w:val="1"/>
                <w:color w:val="auto"/>
              </w:rPr>
              <w:t>2025</w:t>
            </w:r>
          </w:p>
        </w:tc>
        <w:tc>
          <w:tcPr>
            <w:tcW w:w="5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2025</w:t>
            </w:r>
          </w:p>
        </w:tc>
        <w:tc>
          <w:tcPr>
            <w:tcW w:w="6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2024</w:t>
            </w:r>
          </w:p>
        </w:tc>
      </w:tr>
      <w:tr>
        <w:trPr>
          <w:trHeight w:val="244"/>
        </w:trPr>
        <w:tc>
          <w:tcPr>
            <w:tcW w:w="3480" w:type="dxa"/>
            <w:vAlign w:val="bottom"/>
          </w:tcPr>
          <w:p>
            <w:pPr>
              <w:ind w:left="20"/>
              <w:spacing w:after="0"/>
              <w:rPr>
                <w:sz w:val="20"/>
                <w:szCs w:val="20"/>
                <w:color w:val="auto"/>
              </w:rPr>
            </w:pPr>
            <w:r>
              <w:rPr>
                <w:rFonts w:ascii="Arial" w:cs="Arial" w:eastAsia="Arial" w:hAnsi="Arial"/>
                <w:sz w:val="18"/>
                <w:szCs w:val="18"/>
                <w:color w:val="auto"/>
              </w:rPr>
              <w:t>Operating income (GAAP)</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tcPr>
          <w:p>
            <w:pPr>
              <w:jc w:val="right"/>
              <w:ind w:right="332"/>
              <w:spacing w:after="0"/>
              <w:rPr>
                <w:sz w:val="20"/>
                <w:szCs w:val="20"/>
                <w:color w:val="auto"/>
              </w:rPr>
            </w:pPr>
            <w:r>
              <w:rPr>
                <w:rFonts w:ascii="Arial" w:cs="Arial" w:eastAsia="Arial" w:hAnsi="Arial"/>
                <w:sz w:val="18"/>
                <w:szCs w:val="18"/>
                <w:color w:val="auto"/>
              </w:rPr>
              <w:t>244</w:t>
            </w:r>
          </w:p>
        </w:tc>
        <w:tc>
          <w:tcPr>
            <w:tcW w:w="500" w:type="dxa"/>
            <w:vAlign w:val="bottom"/>
          </w:tcPr>
          <w:p>
            <w:pPr>
              <w:ind w:left="3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12"/>
              <w:spacing w:after="0"/>
              <w:rPr>
                <w:sz w:val="20"/>
                <w:szCs w:val="20"/>
                <w:color w:val="auto"/>
              </w:rPr>
            </w:pPr>
            <w:r>
              <w:rPr>
                <w:rFonts w:ascii="Arial" w:cs="Arial" w:eastAsia="Arial" w:hAnsi="Arial"/>
                <w:sz w:val="18"/>
                <w:szCs w:val="18"/>
                <w:color w:val="auto"/>
              </w:rPr>
              <w:t>80</w:t>
            </w:r>
          </w:p>
        </w:tc>
        <w:tc>
          <w:tcPr>
            <w:tcW w:w="60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2"/>
              <w:spacing w:after="0"/>
              <w:rPr>
                <w:sz w:val="20"/>
                <w:szCs w:val="20"/>
                <w:color w:val="auto"/>
              </w:rPr>
            </w:pPr>
            <w:r>
              <w:rPr>
                <w:rFonts w:ascii="Arial" w:cs="Arial" w:eastAsia="Arial" w:hAnsi="Arial"/>
                <w:sz w:val="18"/>
                <w:szCs w:val="18"/>
                <w:color w:val="auto"/>
              </w:rPr>
              <w:t>337</w:t>
            </w:r>
          </w:p>
        </w:tc>
      </w:tr>
      <w:tr>
        <w:trPr>
          <w:trHeight w:val="270"/>
        </w:trPr>
        <w:tc>
          <w:tcPr>
            <w:tcW w:w="348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3"/>
                <w:szCs w:val="23"/>
                <w:color w:val="auto"/>
              </w:rPr>
            </w:pPr>
          </w:p>
        </w:tc>
        <w:tc>
          <w:tcPr>
            <w:tcW w:w="1260" w:type="dxa"/>
            <w:vAlign w:val="bottom"/>
            <w:tcBorders>
              <w:right w:val="single" w:sz="8" w:color="auto"/>
            </w:tcBorders>
          </w:tcPr>
          <w:p>
            <w:pPr>
              <w:jc w:val="right"/>
              <w:ind w:right="332"/>
              <w:spacing w:after="0"/>
              <w:rPr>
                <w:sz w:val="20"/>
                <w:szCs w:val="20"/>
                <w:color w:val="auto"/>
              </w:rPr>
            </w:pPr>
            <w:r>
              <w:rPr>
                <w:rFonts w:ascii="Arial" w:cs="Arial" w:eastAsia="Arial" w:hAnsi="Arial"/>
                <w:sz w:val="18"/>
                <w:szCs w:val="18"/>
                <w:color w:val="auto"/>
              </w:rPr>
              <w:t>226</w:t>
            </w:r>
          </w:p>
        </w:tc>
        <w:tc>
          <w:tcPr>
            <w:tcW w:w="500" w:type="dxa"/>
            <w:vAlign w:val="bottom"/>
          </w:tcPr>
          <w:p>
            <w:pPr>
              <w:spacing w:after="0"/>
              <w:rPr>
                <w:sz w:val="23"/>
                <w:szCs w:val="23"/>
                <w:color w:val="auto"/>
              </w:rPr>
            </w:pPr>
          </w:p>
        </w:tc>
        <w:tc>
          <w:tcPr>
            <w:tcW w:w="1100" w:type="dxa"/>
            <w:vAlign w:val="bottom"/>
          </w:tcPr>
          <w:p>
            <w:pPr>
              <w:jc w:val="right"/>
              <w:ind w:right="312"/>
              <w:spacing w:after="0"/>
              <w:rPr>
                <w:sz w:val="20"/>
                <w:szCs w:val="20"/>
                <w:color w:val="auto"/>
              </w:rPr>
            </w:pPr>
            <w:r>
              <w:rPr>
                <w:rFonts w:ascii="Arial" w:cs="Arial" w:eastAsia="Arial" w:hAnsi="Arial"/>
                <w:sz w:val="18"/>
                <w:szCs w:val="18"/>
                <w:color w:val="auto"/>
              </w:rPr>
              <w:t>29</w:t>
            </w:r>
          </w:p>
        </w:tc>
        <w:tc>
          <w:tcPr>
            <w:tcW w:w="600" w:type="dxa"/>
            <w:vAlign w:val="bottom"/>
          </w:tcPr>
          <w:p>
            <w:pPr>
              <w:spacing w:after="0"/>
              <w:rPr>
                <w:sz w:val="23"/>
                <w:szCs w:val="23"/>
                <w:color w:val="auto"/>
              </w:rPr>
            </w:pPr>
          </w:p>
        </w:tc>
        <w:tc>
          <w:tcPr>
            <w:tcW w:w="1000" w:type="dxa"/>
            <w:vAlign w:val="bottom"/>
          </w:tcPr>
          <w:p>
            <w:pPr>
              <w:jc w:val="right"/>
              <w:ind w:right="212"/>
              <w:spacing w:after="0"/>
              <w:rPr>
                <w:sz w:val="20"/>
                <w:szCs w:val="20"/>
                <w:color w:val="auto"/>
              </w:rPr>
            </w:pPr>
            <w:r>
              <w:rPr>
                <w:rFonts w:ascii="Arial" w:cs="Arial" w:eastAsia="Arial" w:hAnsi="Arial"/>
                <w:sz w:val="18"/>
                <w:szCs w:val="18"/>
                <w:color w:val="auto"/>
              </w:rPr>
              <w:t>96</w:t>
            </w:r>
          </w:p>
        </w:tc>
      </w:tr>
      <w:tr>
        <w:trPr>
          <w:trHeight w:val="299"/>
        </w:trPr>
        <w:tc>
          <w:tcPr>
            <w:tcW w:w="3480" w:type="dxa"/>
            <w:vAlign w:val="bottom"/>
          </w:tcPr>
          <w:p>
            <w:pPr>
              <w:ind w:left="220"/>
              <w:spacing w:after="0"/>
              <w:rPr>
                <w:sz w:val="20"/>
                <w:szCs w:val="20"/>
                <w:color w:val="auto"/>
              </w:rPr>
            </w:pPr>
            <w:r>
              <w:rPr>
                <w:rFonts w:ascii="Arial" w:cs="Arial" w:eastAsia="Arial" w:hAnsi="Arial"/>
                <w:sz w:val="18"/>
                <w:szCs w:val="18"/>
                <w:color w:val="auto"/>
              </w:rPr>
              <w:t xml:space="preserve">Impairment charges </w:t>
            </w:r>
            <w:r>
              <w:rPr>
                <w:rFonts w:ascii="Arial" w:cs="Arial" w:eastAsia="Arial" w:hAnsi="Arial"/>
                <w:sz w:val="23"/>
                <w:szCs w:val="23"/>
                <w:color w:val="auto"/>
                <w:vertAlign w:val="superscript"/>
              </w:rPr>
              <w:t>(a)</w:t>
            </w:r>
          </w:p>
        </w:tc>
        <w:tc>
          <w:tcPr>
            <w:tcW w:w="320" w:type="dxa"/>
            <w:vAlign w:val="bottom"/>
          </w:tcPr>
          <w:p>
            <w:pPr>
              <w:spacing w:after="0"/>
              <w:rPr>
                <w:sz w:val="24"/>
                <w:szCs w:val="24"/>
                <w:color w:val="auto"/>
              </w:rPr>
            </w:pPr>
          </w:p>
        </w:tc>
        <w:tc>
          <w:tcPr>
            <w:tcW w:w="1260" w:type="dxa"/>
            <w:vAlign w:val="bottom"/>
            <w:tcBorders>
              <w:right w:val="single" w:sz="8" w:color="auto"/>
            </w:tcBorders>
          </w:tcPr>
          <w:p>
            <w:pPr>
              <w:jc w:val="right"/>
              <w:ind w:right="33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110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4"/>
                <w:szCs w:val="24"/>
                <w:color w:val="auto"/>
              </w:rPr>
            </w:pPr>
          </w:p>
        </w:tc>
        <w:tc>
          <w:tcPr>
            <w:tcW w:w="1000" w:type="dxa"/>
            <w:vAlign w:val="bottom"/>
          </w:tcPr>
          <w:p>
            <w:pPr>
              <w:jc w:val="right"/>
              <w:ind w:right="212"/>
              <w:spacing w:after="0"/>
              <w:rPr>
                <w:sz w:val="20"/>
                <w:szCs w:val="20"/>
                <w:color w:val="auto"/>
              </w:rPr>
            </w:pPr>
            <w:r>
              <w:rPr>
                <w:rFonts w:ascii="Arial" w:cs="Arial" w:eastAsia="Arial" w:hAnsi="Arial"/>
                <w:sz w:val="18"/>
                <w:szCs w:val="18"/>
                <w:color w:val="auto"/>
              </w:rPr>
              <w:t>104</w:t>
            </w:r>
          </w:p>
        </w:tc>
      </w:tr>
      <w:tr>
        <w:trPr>
          <w:trHeight w:val="270"/>
        </w:trPr>
        <w:tc>
          <w:tcPr>
            <w:tcW w:w="3480" w:type="dxa"/>
            <w:vAlign w:val="bottom"/>
          </w:tcPr>
          <w:p>
            <w:pPr>
              <w:ind w:left="220"/>
              <w:spacing w:after="0"/>
              <w:rPr>
                <w:sz w:val="20"/>
                <w:szCs w:val="20"/>
                <w:color w:val="auto"/>
              </w:rPr>
            </w:pPr>
            <w:r>
              <w:rPr>
                <w:rFonts w:ascii="Arial" w:cs="Arial" w:eastAsia="Arial" w:hAnsi="Arial"/>
                <w:sz w:val="18"/>
                <w:szCs w:val="18"/>
                <w:color w:val="auto"/>
              </w:rPr>
              <w:t xml:space="preserve">Restructuring charges </w:t>
            </w:r>
            <w:r>
              <w:rPr>
                <w:rFonts w:ascii="Arial" w:cs="Arial" w:eastAsia="Arial" w:hAnsi="Arial"/>
                <w:sz w:val="23"/>
                <w:szCs w:val="23"/>
                <w:color w:val="auto"/>
                <w:vertAlign w:val="superscript"/>
              </w:rPr>
              <w:t>(a)</w:t>
            </w:r>
          </w:p>
        </w:tc>
        <w:tc>
          <w:tcPr>
            <w:tcW w:w="320" w:type="dxa"/>
            <w:vAlign w:val="bottom"/>
          </w:tcPr>
          <w:p>
            <w:pPr>
              <w:spacing w:after="0"/>
              <w:rPr>
                <w:sz w:val="23"/>
                <w:szCs w:val="23"/>
                <w:color w:val="auto"/>
              </w:rPr>
            </w:pPr>
          </w:p>
        </w:tc>
        <w:tc>
          <w:tcPr>
            <w:tcW w:w="1260" w:type="dxa"/>
            <w:vAlign w:val="bottom"/>
            <w:tcBorders>
              <w:right w:val="single" w:sz="8" w:color="auto"/>
            </w:tcBorders>
          </w:tcPr>
          <w:p>
            <w:pPr>
              <w:jc w:val="right"/>
              <w:ind w:right="332"/>
              <w:spacing w:after="0"/>
              <w:rPr>
                <w:sz w:val="20"/>
                <w:szCs w:val="20"/>
                <w:color w:val="auto"/>
              </w:rPr>
            </w:pPr>
            <w:r>
              <w:rPr>
                <w:rFonts w:ascii="Arial" w:cs="Arial" w:eastAsia="Arial" w:hAnsi="Arial"/>
                <w:sz w:val="18"/>
                <w:szCs w:val="18"/>
                <w:color w:val="auto"/>
              </w:rPr>
              <w:t>185</w:t>
            </w:r>
          </w:p>
        </w:tc>
        <w:tc>
          <w:tcPr>
            <w:tcW w:w="500" w:type="dxa"/>
            <w:vAlign w:val="bottom"/>
          </w:tcPr>
          <w:p>
            <w:pPr>
              <w:spacing w:after="0"/>
              <w:rPr>
                <w:sz w:val="23"/>
                <w:szCs w:val="23"/>
                <w:color w:val="auto"/>
              </w:rPr>
            </w:pPr>
          </w:p>
        </w:tc>
        <w:tc>
          <w:tcPr>
            <w:tcW w:w="1100" w:type="dxa"/>
            <w:vAlign w:val="bottom"/>
          </w:tcPr>
          <w:p>
            <w:pPr>
              <w:jc w:val="right"/>
              <w:ind w:right="312"/>
              <w:spacing w:after="0"/>
              <w:rPr>
                <w:sz w:val="20"/>
                <w:szCs w:val="20"/>
                <w:color w:val="auto"/>
              </w:rPr>
            </w:pPr>
            <w:r>
              <w:rPr>
                <w:rFonts w:ascii="Arial" w:cs="Arial" w:eastAsia="Arial" w:hAnsi="Arial"/>
                <w:sz w:val="18"/>
                <w:szCs w:val="18"/>
                <w:color w:val="auto"/>
              </w:rPr>
              <w:t>13</w:t>
            </w:r>
          </w:p>
        </w:tc>
        <w:tc>
          <w:tcPr>
            <w:tcW w:w="600" w:type="dxa"/>
            <w:vAlign w:val="bottom"/>
          </w:tcPr>
          <w:p>
            <w:pPr>
              <w:spacing w:after="0"/>
              <w:rPr>
                <w:sz w:val="23"/>
                <w:szCs w:val="23"/>
                <w:color w:val="auto"/>
              </w:rPr>
            </w:pPr>
          </w:p>
        </w:tc>
        <w:tc>
          <w:tcPr>
            <w:tcW w:w="1000" w:type="dxa"/>
            <w:vAlign w:val="bottom"/>
          </w:tcPr>
          <w:p>
            <w:pPr>
              <w:jc w:val="right"/>
              <w:ind w:right="212"/>
              <w:spacing w:after="0"/>
              <w:rPr>
                <w:sz w:val="20"/>
                <w:szCs w:val="20"/>
                <w:color w:val="auto"/>
              </w:rPr>
            </w:pPr>
            <w:r>
              <w:rPr>
                <w:rFonts w:ascii="Arial" w:cs="Arial" w:eastAsia="Arial" w:hAnsi="Arial"/>
                <w:sz w:val="18"/>
                <w:szCs w:val="18"/>
                <w:color w:val="auto"/>
              </w:rPr>
              <w:t>288</w:t>
            </w:r>
          </w:p>
        </w:tc>
      </w:tr>
      <w:tr>
        <w:trPr>
          <w:trHeight w:val="264"/>
        </w:trPr>
        <w:tc>
          <w:tcPr>
            <w:tcW w:w="3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 xml:space="preserve">Transaction-related items </w:t>
            </w:r>
            <w:r>
              <w:rPr>
                <w:rFonts w:ascii="Arial" w:cs="Arial" w:eastAsia="Arial" w:hAnsi="Arial"/>
                <w:sz w:val="23"/>
                <w:szCs w:val="23"/>
                <w:color w:val="auto"/>
                <w:vertAlign w:val="superscript"/>
              </w:rPr>
              <w:t>(a)</w:t>
            </w: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jc w:val="right"/>
              <w:ind w:right="332"/>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175</w:t>
            </w:r>
          </w:p>
        </w:tc>
        <w:tc>
          <w:tcPr>
            <w:tcW w:w="6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33</w:t>
            </w:r>
          </w:p>
        </w:tc>
      </w:tr>
      <w:tr>
        <w:trPr>
          <w:trHeight w:val="241"/>
        </w:trPr>
        <w:tc>
          <w:tcPr>
            <w:tcW w:w="3480" w:type="dxa"/>
            <w:vAlign w:val="bottom"/>
          </w:tcPr>
          <w:p>
            <w:pPr>
              <w:ind w:left="20"/>
              <w:spacing w:after="0"/>
              <w:rPr>
                <w:sz w:val="20"/>
                <w:szCs w:val="20"/>
                <w:color w:val="auto"/>
              </w:rPr>
            </w:pPr>
            <w:r>
              <w:rPr>
                <w:rFonts w:ascii="Arial" w:cs="Arial" w:eastAsia="Arial" w:hAnsi="Arial"/>
                <w:sz w:val="18"/>
                <w:szCs w:val="18"/>
                <w:color w:val="auto"/>
              </w:rPr>
              <w:t>Adjusted OIBDA (Non-GAAP)</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tcPr>
          <w:p>
            <w:pPr>
              <w:jc w:val="right"/>
              <w:ind w:right="332"/>
              <w:spacing w:after="0"/>
              <w:rPr>
                <w:sz w:val="20"/>
                <w:szCs w:val="20"/>
                <w:color w:val="auto"/>
              </w:rPr>
            </w:pPr>
            <w:r>
              <w:rPr>
                <w:rFonts w:ascii="Arial" w:cs="Arial" w:eastAsia="Arial" w:hAnsi="Arial"/>
                <w:sz w:val="18"/>
                <w:szCs w:val="18"/>
                <w:color w:val="auto"/>
              </w:rPr>
              <w:t>655</w:t>
            </w:r>
          </w:p>
        </w:tc>
        <w:tc>
          <w:tcPr>
            <w:tcW w:w="500" w:type="dxa"/>
            <w:vAlign w:val="bottom"/>
          </w:tcPr>
          <w:p>
            <w:pPr>
              <w:ind w:left="3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12"/>
              <w:spacing w:after="0"/>
              <w:rPr>
                <w:sz w:val="20"/>
                <w:szCs w:val="20"/>
                <w:color w:val="auto"/>
              </w:rPr>
            </w:pPr>
            <w:r>
              <w:rPr>
                <w:rFonts w:ascii="Arial" w:cs="Arial" w:eastAsia="Arial" w:hAnsi="Arial"/>
                <w:sz w:val="18"/>
                <w:szCs w:val="18"/>
                <w:color w:val="auto"/>
              </w:rPr>
              <w:t>297</w:t>
            </w:r>
          </w:p>
        </w:tc>
        <w:tc>
          <w:tcPr>
            <w:tcW w:w="60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2"/>
              <w:spacing w:after="0"/>
              <w:rPr>
                <w:sz w:val="20"/>
                <w:szCs w:val="20"/>
                <w:color w:val="auto"/>
              </w:rPr>
            </w:pPr>
            <w:r>
              <w:rPr>
                <w:rFonts w:ascii="Arial" w:cs="Arial" w:eastAsia="Arial" w:hAnsi="Arial"/>
                <w:sz w:val="18"/>
                <w:szCs w:val="18"/>
                <w:color w:val="auto"/>
              </w:rPr>
              <w:t>858</w:t>
            </w:r>
          </w:p>
        </w:tc>
      </w:tr>
      <w:tr>
        <w:trPr>
          <w:trHeight w:val="30"/>
        </w:trPr>
        <w:tc>
          <w:tcPr>
            <w:tcW w:w="3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5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Nine Months Ended September 30, 2025 and 2024</w:t>
      </w:r>
    </w:p>
    <w:p>
      <w:pPr>
        <w:spacing w:after="0" w:line="172" w:lineRule="exact"/>
        <w:rPr>
          <w:sz w:val="20"/>
          <w:szCs w:val="20"/>
          <w:color w:val="auto"/>
        </w:rPr>
      </w:pPr>
    </w:p>
    <w:tbl>
      <w:tblPr>
        <w:tblLayout w:type="fixed"/>
        <w:tblInd w:w="1500" w:type="dxa"/>
        <w:tblCellMar>
          <w:top w:w="0" w:type="dxa"/>
          <w:left w:w="0" w:type="dxa"/>
          <w:bottom w:w="0" w:type="dxa"/>
          <w:right w:w="0" w:type="dxa"/>
        </w:tblCellMar>
      </w:tblPr>
      <w:tr>
        <w:trPr>
          <w:trHeight w:val="266"/>
        </w:trPr>
        <w:tc>
          <w:tcPr>
            <w:tcW w:w="3480" w:type="dxa"/>
            <w:vAlign w:val="bottom"/>
            <w:tcBorders>
              <w:top w:val="single" w:sz="8" w:color="auto"/>
            </w:tcBorders>
          </w:tcPr>
          <w:p>
            <w:pPr>
              <w:spacing w:after="0"/>
              <w:rPr>
                <w:sz w:val="23"/>
                <w:szCs w:val="23"/>
                <w:color w:val="auto"/>
              </w:rPr>
            </w:pPr>
          </w:p>
        </w:tc>
        <w:tc>
          <w:tcPr>
            <w:tcW w:w="1580" w:type="dxa"/>
            <w:vAlign w:val="bottom"/>
            <w:tcBorders>
              <w:top w:val="single" w:sz="8" w:color="auto"/>
              <w:bottom w:val="single" w:sz="8" w:color="auto"/>
              <w:right w:val="single" w:sz="8" w:color="auto"/>
            </w:tcBorders>
            <w:gridSpan w:val="2"/>
          </w:tcPr>
          <w:p>
            <w:pPr>
              <w:jc w:val="center"/>
              <w:ind w:right="32"/>
              <w:spacing w:after="0"/>
              <w:rPr>
                <w:sz w:val="20"/>
                <w:szCs w:val="20"/>
                <w:color w:val="auto"/>
              </w:rPr>
            </w:pPr>
            <w:r>
              <w:rPr>
                <w:rFonts w:ascii="Arial" w:cs="Arial" w:eastAsia="Arial" w:hAnsi="Arial"/>
                <w:sz w:val="16"/>
                <w:szCs w:val="16"/>
                <w:b w:val="1"/>
                <w:bCs w:val="1"/>
                <w:color w:val="auto"/>
              </w:rPr>
              <w:t>Successor</w:t>
            </w:r>
          </w:p>
        </w:tc>
        <w:tc>
          <w:tcPr>
            <w:tcW w:w="400" w:type="dxa"/>
            <w:vAlign w:val="bottom"/>
            <w:tcBorders>
              <w:top w:val="single" w:sz="8" w:color="auto"/>
              <w:bottom w:val="single" w:sz="8" w:color="auto"/>
            </w:tcBorders>
          </w:tcPr>
          <w:p>
            <w:pPr>
              <w:spacing w:after="0"/>
              <w:rPr>
                <w:sz w:val="23"/>
                <w:szCs w:val="23"/>
                <w:color w:val="auto"/>
              </w:rPr>
            </w:pPr>
          </w:p>
        </w:tc>
        <w:tc>
          <w:tcPr>
            <w:tcW w:w="1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Predecessor</w:t>
            </w:r>
          </w:p>
        </w:tc>
        <w:tc>
          <w:tcPr>
            <w:tcW w:w="1000" w:type="dxa"/>
            <w:vAlign w:val="bottom"/>
            <w:tcBorders>
              <w:top w:val="single" w:sz="8" w:color="auto"/>
              <w:bottom w:val="single" w:sz="8" w:color="auto"/>
            </w:tcBorders>
          </w:tcPr>
          <w:p>
            <w:pPr>
              <w:spacing w:after="0"/>
              <w:rPr>
                <w:sz w:val="23"/>
                <w:szCs w:val="23"/>
                <w:color w:val="auto"/>
              </w:rPr>
            </w:pPr>
          </w:p>
        </w:tc>
      </w:tr>
      <w:tr>
        <w:trPr>
          <w:trHeight w:val="199"/>
        </w:trPr>
        <w:tc>
          <w:tcPr>
            <w:tcW w:w="3480" w:type="dxa"/>
            <w:vAlign w:val="bottom"/>
          </w:tcPr>
          <w:p>
            <w:pPr>
              <w:spacing w:after="0"/>
              <w:rPr>
                <w:sz w:val="17"/>
                <w:szCs w:val="17"/>
                <w:color w:val="auto"/>
              </w:rPr>
            </w:pPr>
          </w:p>
        </w:tc>
        <w:tc>
          <w:tcPr>
            <w:tcW w:w="1580" w:type="dxa"/>
            <w:vAlign w:val="bottom"/>
            <w:tcBorders>
              <w:right w:val="single" w:sz="8" w:color="auto"/>
            </w:tcBorders>
            <w:gridSpan w:val="2"/>
          </w:tcPr>
          <w:p>
            <w:pPr>
              <w:jc w:val="center"/>
              <w:ind w:right="52"/>
              <w:spacing w:after="0"/>
              <w:rPr>
                <w:sz w:val="20"/>
                <w:szCs w:val="20"/>
                <w:color w:val="auto"/>
              </w:rPr>
            </w:pPr>
            <w:r>
              <w:rPr>
                <w:rFonts w:ascii="Arial" w:cs="Arial" w:eastAsia="Arial" w:hAnsi="Arial"/>
                <w:sz w:val="16"/>
                <w:szCs w:val="16"/>
                <w:b w:val="1"/>
                <w:bCs w:val="1"/>
                <w:color w:val="auto"/>
              </w:rPr>
              <w:t>Period From</w:t>
            </w:r>
          </w:p>
        </w:tc>
        <w:tc>
          <w:tcPr>
            <w:tcW w:w="1520" w:type="dxa"/>
            <w:vAlign w:val="bottom"/>
            <w:gridSpan w:val="2"/>
          </w:tcPr>
          <w:p>
            <w:pPr>
              <w:jc w:val="center"/>
              <w:spacing w:after="0"/>
              <w:rPr>
                <w:sz w:val="20"/>
                <w:szCs w:val="20"/>
                <w:color w:val="auto"/>
              </w:rPr>
            </w:pPr>
            <w:r>
              <w:rPr>
                <w:rFonts w:ascii="Arial" w:cs="Arial" w:eastAsia="Arial" w:hAnsi="Arial"/>
                <w:sz w:val="16"/>
                <w:szCs w:val="16"/>
                <w:b w:val="1"/>
                <w:bCs w:val="1"/>
                <w:color w:val="auto"/>
              </w:rPr>
              <w:t>Period From</w:t>
            </w:r>
          </w:p>
        </w:tc>
        <w:tc>
          <w:tcPr>
            <w:tcW w:w="1680" w:type="dxa"/>
            <w:vAlign w:val="bottom"/>
            <w:gridSpan w:val="2"/>
          </w:tcPr>
          <w:p>
            <w:pPr>
              <w:jc w:val="center"/>
              <w:ind w:left="115"/>
              <w:spacing w:after="0"/>
              <w:rPr>
                <w:sz w:val="20"/>
                <w:szCs w:val="20"/>
                <w:color w:val="auto"/>
              </w:rPr>
            </w:pPr>
            <w:r>
              <w:rPr>
                <w:rFonts w:ascii="Arial" w:cs="Arial" w:eastAsia="Arial" w:hAnsi="Arial"/>
                <w:sz w:val="16"/>
                <w:szCs w:val="16"/>
                <w:b w:val="1"/>
                <w:bCs w:val="1"/>
                <w:color w:val="auto"/>
                <w:w w:val="99"/>
              </w:rPr>
              <w:t>Nine Months</w:t>
            </w:r>
          </w:p>
        </w:tc>
      </w:tr>
      <w:tr>
        <w:trPr>
          <w:trHeight w:val="189"/>
        </w:trPr>
        <w:tc>
          <w:tcPr>
            <w:tcW w:w="3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Borders>
              <w:right w:val="single" w:sz="8" w:color="auto"/>
            </w:tcBorders>
          </w:tcPr>
          <w:p>
            <w:pPr>
              <w:jc w:val="center"/>
              <w:ind w:right="372"/>
              <w:spacing w:after="0"/>
              <w:rPr>
                <w:sz w:val="20"/>
                <w:szCs w:val="20"/>
                <w:color w:val="auto"/>
              </w:rPr>
            </w:pPr>
            <w:r>
              <w:rPr>
                <w:rFonts w:ascii="Arial" w:cs="Arial" w:eastAsia="Arial" w:hAnsi="Arial"/>
                <w:sz w:val="16"/>
                <w:szCs w:val="16"/>
                <w:b w:val="1"/>
                <w:bCs w:val="1"/>
                <w:color w:val="auto"/>
              </w:rPr>
              <w:t>August 7 -</w:t>
            </w:r>
          </w:p>
        </w:tc>
        <w:tc>
          <w:tcPr>
            <w:tcW w:w="1520" w:type="dxa"/>
            <w:vAlign w:val="bottom"/>
            <w:gridSpan w:val="2"/>
          </w:tcPr>
          <w:p>
            <w:pPr>
              <w:jc w:val="center"/>
              <w:spacing w:after="0"/>
              <w:rPr>
                <w:sz w:val="20"/>
                <w:szCs w:val="20"/>
                <w:color w:val="auto"/>
              </w:rPr>
            </w:pPr>
            <w:r>
              <w:rPr>
                <w:rFonts w:ascii="Arial" w:cs="Arial" w:eastAsia="Arial" w:hAnsi="Arial"/>
                <w:sz w:val="16"/>
                <w:szCs w:val="16"/>
                <w:b w:val="1"/>
                <w:bCs w:val="1"/>
                <w:color w:val="auto"/>
              </w:rPr>
              <w:t>January 1 -</w:t>
            </w:r>
          </w:p>
        </w:tc>
        <w:tc>
          <w:tcPr>
            <w:tcW w:w="1680" w:type="dxa"/>
            <w:vAlign w:val="bottom"/>
            <w:gridSpan w:val="2"/>
          </w:tcPr>
          <w:p>
            <w:pPr>
              <w:jc w:val="center"/>
              <w:ind w:left="115"/>
              <w:spacing w:after="0"/>
              <w:rPr>
                <w:sz w:val="20"/>
                <w:szCs w:val="20"/>
                <w:color w:val="auto"/>
              </w:rPr>
            </w:pPr>
            <w:r>
              <w:rPr>
                <w:rFonts w:ascii="Arial" w:cs="Arial" w:eastAsia="Arial" w:hAnsi="Arial"/>
                <w:sz w:val="16"/>
                <w:szCs w:val="16"/>
                <w:b w:val="1"/>
                <w:bCs w:val="1"/>
                <w:color w:val="auto"/>
                <w:w w:val="99"/>
              </w:rPr>
              <w:t>Ended September</w:t>
            </w:r>
          </w:p>
        </w:tc>
      </w:tr>
      <w:tr>
        <w:trPr>
          <w:trHeight w:val="223"/>
        </w:trPr>
        <w:tc>
          <w:tcPr>
            <w:tcW w:w="3480" w:type="dxa"/>
            <w:vAlign w:val="bottom"/>
          </w:tcPr>
          <w:p>
            <w:pPr>
              <w:spacing w:after="0"/>
              <w:rPr>
                <w:sz w:val="19"/>
                <w:szCs w:val="19"/>
                <w:color w:val="auto"/>
              </w:rPr>
            </w:pPr>
          </w:p>
        </w:tc>
        <w:tc>
          <w:tcPr>
            <w:tcW w:w="1580" w:type="dxa"/>
            <w:vAlign w:val="bottom"/>
            <w:tcBorders>
              <w:right w:val="single" w:sz="8" w:color="auto"/>
            </w:tcBorders>
            <w:gridSpan w:val="2"/>
          </w:tcPr>
          <w:p>
            <w:pPr>
              <w:jc w:val="center"/>
              <w:ind w:right="32"/>
              <w:spacing w:after="0"/>
              <w:rPr>
                <w:sz w:val="20"/>
                <w:szCs w:val="20"/>
                <w:color w:val="auto"/>
              </w:rPr>
            </w:pPr>
            <w:r>
              <w:rPr>
                <w:rFonts w:ascii="Arial" w:cs="Arial" w:eastAsia="Arial" w:hAnsi="Arial"/>
                <w:sz w:val="16"/>
                <w:szCs w:val="16"/>
                <w:b w:val="1"/>
                <w:bCs w:val="1"/>
                <w:color w:val="auto"/>
              </w:rPr>
              <w:t>September 30,</w:t>
            </w:r>
          </w:p>
        </w:tc>
        <w:tc>
          <w:tcPr>
            <w:tcW w:w="400" w:type="dxa"/>
            <w:vAlign w:val="bottom"/>
          </w:tcPr>
          <w:p>
            <w:pPr>
              <w:spacing w:after="0"/>
              <w:rPr>
                <w:sz w:val="19"/>
                <w:szCs w:val="19"/>
                <w:color w:val="auto"/>
              </w:rPr>
            </w:pPr>
          </w:p>
        </w:tc>
        <w:tc>
          <w:tcPr>
            <w:tcW w:w="1120" w:type="dxa"/>
            <w:vAlign w:val="bottom"/>
          </w:tcPr>
          <w:p>
            <w:pPr>
              <w:jc w:val="center"/>
              <w:ind w:right="252"/>
              <w:spacing w:after="0"/>
              <w:rPr>
                <w:sz w:val="20"/>
                <w:szCs w:val="20"/>
                <w:color w:val="auto"/>
              </w:rPr>
            </w:pPr>
            <w:r>
              <w:rPr>
                <w:rFonts w:ascii="Arial" w:cs="Arial" w:eastAsia="Arial" w:hAnsi="Arial"/>
                <w:sz w:val="16"/>
                <w:szCs w:val="16"/>
                <w:b w:val="1"/>
                <w:bCs w:val="1"/>
                <w:color w:val="auto"/>
              </w:rPr>
              <w:t>August 6,</w:t>
            </w:r>
          </w:p>
        </w:tc>
        <w:tc>
          <w:tcPr>
            <w:tcW w:w="680" w:type="dxa"/>
            <w:vAlign w:val="bottom"/>
          </w:tcPr>
          <w:p>
            <w:pPr>
              <w:spacing w:after="0"/>
              <w:rPr>
                <w:sz w:val="19"/>
                <w:szCs w:val="19"/>
                <w:color w:val="auto"/>
              </w:rPr>
            </w:pPr>
          </w:p>
        </w:tc>
        <w:tc>
          <w:tcPr>
            <w:tcW w:w="1000" w:type="dxa"/>
            <w:vAlign w:val="bottom"/>
          </w:tcPr>
          <w:p>
            <w:pPr>
              <w:jc w:val="center"/>
              <w:ind w:right="392"/>
              <w:spacing w:after="0"/>
              <w:rPr>
                <w:sz w:val="20"/>
                <w:szCs w:val="20"/>
                <w:color w:val="auto"/>
              </w:rPr>
            </w:pPr>
            <w:r>
              <w:rPr>
                <w:rFonts w:ascii="Arial" w:cs="Arial" w:eastAsia="Arial" w:hAnsi="Arial"/>
                <w:sz w:val="16"/>
                <w:szCs w:val="16"/>
                <w:b w:val="1"/>
                <w:bCs w:val="1"/>
                <w:color w:val="auto"/>
              </w:rPr>
              <w:t>30,</w:t>
            </w:r>
          </w:p>
        </w:tc>
      </w:tr>
      <w:tr>
        <w:trPr>
          <w:trHeight w:val="21"/>
        </w:trPr>
        <w:tc>
          <w:tcPr>
            <w:tcW w:w="3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3"/>
        </w:trPr>
        <w:tc>
          <w:tcPr>
            <w:tcW w:w="34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jc w:val="center"/>
              <w:ind w:right="372"/>
              <w:spacing w:after="0"/>
              <w:rPr>
                <w:sz w:val="20"/>
                <w:szCs w:val="20"/>
                <w:color w:val="auto"/>
              </w:rPr>
            </w:pPr>
            <w:r>
              <w:rPr>
                <w:rFonts w:ascii="Arial" w:cs="Arial" w:eastAsia="Arial" w:hAnsi="Arial"/>
                <w:sz w:val="16"/>
                <w:szCs w:val="16"/>
                <w:b w:val="1"/>
                <w:bCs w:val="1"/>
                <w:color w:val="auto"/>
              </w:rPr>
              <w:t>2025</w:t>
            </w:r>
          </w:p>
        </w:tc>
        <w:tc>
          <w:tcPr>
            <w:tcW w:w="4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272"/>
              <w:spacing w:after="0"/>
              <w:rPr>
                <w:sz w:val="20"/>
                <w:szCs w:val="20"/>
                <w:color w:val="auto"/>
              </w:rPr>
            </w:pPr>
            <w:r>
              <w:rPr>
                <w:rFonts w:ascii="Arial" w:cs="Arial" w:eastAsia="Arial" w:hAnsi="Arial"/>
                <w:sz w:val="16"/>
                <w:szCs w:val="16"/>
                <w:b w:val="1"/>
                <w:bCs w:val="1"/>
                <w:color w:val="auto"/>
              </w:rPr>
              <w:t>2025</w:t>
            </w:r>
          </w:p>
        </w:tc>
        <w:tc>
          <w:tcPr>
            <w:tcW w:w="6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92"/>
              <w:spacing w:after="0"/>
              <w:rPr>
                <w:sz w:val="20"/>
                <w:szCs w:val="20"/>
                <w:color w:val="auto"/>
              </w:rPr>
            </w:pPr>
            <w:r>
              <w:rPr>
                <w:rFonts w:ascii="Arial" w:cs="Arial" w:eastAsia="Arial" w:hAnsi="Arial"/>
                <w:sz w:val="16"/>
                <w:szCs w:val="16"/>
                <w:b w:val="1"/>
                <w:bCs w:val="1"/>
                <w:color w:val="auto"/>
              </w:rPr>
              <w:t>2024</w:t>
            </w:r>
          </w:p>
        </w:tc>
      </w:tr>
      <w:tr>
        <w:trPr>
          <w:trHeight w:val="244"/>
        </w:trPr>
        <w:tc>
          <w:tcPr>
            <w:tcW w:w="3480" w:type="dxa"/>
            <w:vAlign w:val="bottom"/>
          </w:tcPr>
          <w:p>
            <w:pPr>
              <w:ind w:left="20"/>
              <w:spacing w:after="0"/>
              <w:rPr>
                <w:sz w:val="20"/>
                <w:szCs w:val="20"/>
                <w:color w:val="auto"/>
              </w:rPr>
            </w:pPr>
            <w:r>
              <w:rPr>
                <w:rFonts w:ascii="Arial" w:cs="Arial" w:eastAsia="Arial" w:hAnsi="Arial"/>
                <w:sz w:val="18"/>
                <w:szCs w:val="18"/>
                <w:color w:val="auto"/>
              </w:rPr>
              <w:t>Operating income (loss) (GAAP)</w:t>
            </w:r>
          </w:p>
        </w:tc>
        <w:tc>
          <w:tcPr>
            <w:tcW w:w="320" w:type="dxa"/>
            <w:vAlign w:val="bottom"/>
          </w:tcPr>
          <w:p>
            <w:pPr>
              <w:spacing w:after="0"/>
              <w:rPr>
                <w:sz w:val="21"/>
                <w:szCs w:val="21"/>
                <w:color w:val="auto"/>
              </w:rPr>
            </w:pPr>
          </w:p>
        </w:tc>
        <w:tc>
          <w:tcPr>
            <w:tcW w:w="1260" w:type="dxa"/>
            <w:vAlign w:val="bottom"/>
            <w:tcBorders>
              <w:right w:val="single" w:sz="8" w:color="auto"/>
            </w:tcBorders>
          </w:tcPr>
          <w:p>
            <w:pPr>
              <w:jc w:val="right"/>
              <w:ind w:right="332"/>
              <w:spacing w:after="0"/>
              <w:rPr>
                <w:sz w:val="20"/>
                <w:szCs w:val="20"/>
                <w:color w:val="auto"/>
              </w:rPr>
            </w:pPr>
            <w:r>
              <w:rPr>
                <w:rFonts w:ascii="Arial" w:cs="Arial" w:eastAsia="Arial" w:hAnsi="Arial"/>
                <w:sz w:val="18"/>
                <w:szCs w:val="18"/>
                <w:color w:val="auto"/>
              </w:rPr>
              <w:t>244</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12"/>
              <w:spacing w:after="0"/>
              <w:rPr>
                <w:sz w:val="20"/>
                <w:szCs w:val="20"/>
                <w:color w:val="auto"/>
              </w:rPr>
            </w:pPr>
            <w:r>
              <w:rPr>
                <w:rFonts w:ascii="Arial" w:cs="Arial" w:eastAsia="Arial" w:hAnsi="Arial"/>
                <w:sz w:val="18"/>
                <w:szCs w:val="18"/>
                <w:color w:val="auto"/>
              </w:rPr>
              <w:t>1,029</w:t>
            </w:r>
          </w:p>
        </w:tc>
        <w:tc>
          <w:tcPr>
            <w:tcW w:w="68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(5,398)</w:t>
            </w:r>
          </w:p>
        </w:tc>
      </w:tr>
      <w:tr>
        <w:trPr>
          <w:trHeight w:val="270"/>
        </w:trPr>
        <w:tc>
          <w:tcPr>
            <w:tcW w:w="348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3"/>
                <w:szCs w:val="23"/>
                <w:color w:val="auto"/>
              </w:rPr>
            </w:pPr>
          </w:p>
        </w:tc>
        <w:tc>
          <w:tcPr>
            <w:tcW w:w="1260" w:type="dxa"/>
            <w:vAlign w:val="bottom"/>
            <w:tcBorders>
              <w:right w:val="single" w:sz="8" w:color="auto"/>
            </w:tcBorders>
          </w:tcPr>
          <w:p>
            <w:pPr>
              <w:jc w:val="right"/>
              <w:ind w:right="332"/>
              <w:spacing w:after="0"/>
              <w:rPr>
                <w:sz w:val="20"/>
                <w:szCs w:val="20"/>
                <w:color w:val="auto"/>
              </w:rPr>
            </w:pPr>
            <w:r>
              <w:rPr>
                <w:rFonts w:ascii="Arial" w:cs="Arial" w:eastAsia="Arial" w:hAnsi="Arial"/>
                <w:sz w:val="18"/>
                <w:szCs w:val="18"/>
                <w:color w:val="auto"/>
              </w:rPr>
              <w:t>226</w:t>
            </w:r>
          </w:p>
        </w:tc>
        <w:tc>
          <w:tcPr>
            <w:tcW w:w="400" w:type="dxa"/>
            <w:vAlign w:val="bottom"/>
          </w:tcPr>
          <w:p>
            <w:pPr>
              <w:spacing w:after="0"/>
              <w:rPr>
                <w:sz w:val="23"/>
                <w:szCs w:val="23"/>
                <w:color w:val="auto"/>
              </w:rPr>
            </w:pPr>
          </w:p>
        </w:tc>
        <w:tc>
          <w:tcPr>
            <w:tcW w:w="1120" w:type="dxa"/>
            <w:vAlign w:val="bottom"/>
          </w:tcPr>
          <w:p>
            <w:pPr>
              <w:jc w:val="right"/>
              <w:ind w:right="212"/>
              <w:spacing w:after="0"/>
              <w:rPr>
                <w:sz w:val="20"/>
                <w:szCs w:val="20"/>
                <w:color w:val="auto"/>
              </w:rPr>
            </w:pPr>
            <w:r>
              <w:rPr>
                <w:rFonts w:ascii="Arial" w:cs="Arial" w:eastAsia="Arial" w:hAnsi="Arial"/>
                <w:sz w:val="18"/>
                <w:szCs w:val="18"/>
                <w:color w:val="auto"/>
              </w:rPr>
              <w:t>204</w:t>
            </w:r>
          </w:p>
        </w:tc>
        <w:tc>
          <w:tcPr>
            <w:tcW w:w="680" w:type="dxa"/>
            <w:vAlign w:val="bottom"/>
          </w:tcPr>
          <w:p>
            <w:pPr>
              <w:spacing w:after="0"/>
              <w:rPr>
                <w:sz w:val="23"/>
                <w:szCs w:val="23"/>
                <w:color w:val="auto"/>
              </w:rPr>
            </w:pPr>
          </w:p>
        </w:tc>
        <w:tc>
          <w:tcPr>
            <w:tcW w:w="1000" w:type="dxa"/>
            <w:vAlign w:val="bottom"/>
          </w:tcPr>
          <w:p>
            <w:pPr>
              <w:jc w:val="right"/>
              <w:ind w:right="212"/>
              <w:spacing w:after="0"/>
              <w:rPr>
                <w:sz w:val="20"/>
                <w:szCs w:val="20"/>
                <w:color w:val="auto"/>
              </w:rPr>
            </w:pPr>
            <w:r>
              <w:rPr>
                <w:rFonts w:ascii="Arial" w:cs="Arial" w:eastAsia="Arial" w:hAnsi="Arial"/>
                <w:sz w:val="18"/>
                <w:szCs w:val="18"/>
                <w:color w:val="auto"/>
              </w:rPr>
              <w:t>297</w:t>
            </w:r>
          </w:p>
        </w:tc>
      </w:tr>
      <w:tr>
        <w:trPr>
          <w:trHeight w:val="299"/>
        </w:trPr>
        <w:tc>
          <w:tcPr>
            <w:tcW w:w="3480" w:type="dxa"/>
            <w:vAlign w:val="bottom"/>
          </w:tcPr>
          <w:p>
            <w:pPr>
              <w:ind w:left="220"/>
              <w:spacing w:after="0"/>
              <w:rPr>
                <w:sz w:val="20"/>
                <w:szCs w:val="20"/>
                <w:color w:val="auto"/>
              </w:rPr>
            </w:pPr>
            <w:r>
              <w:rPr>
                <w:rFonts w:ascii="Arial" w:cs="Arial" w:eastAsia="Arial" w:hAnsi="Arial"/>
                <w:sz w:val="18"/>
                <w:szCs w:val="18"/>
                <w:color w:val="auto"/>
              </w:rPr>
              <w:t xml:space="preserve">Programming charges </w:t>
            </w:r>
            <w:r>
              <w:rPr>
                <w:rFonts w:ascii="Arial" w:cs="Arial" w:eastAsia="Arial" w:hAnsi="Arial"/>
                <w:sz w:val="23"/>
                <w:szCs w:val="23"/>
                <w:color w:val="auto"/>
                <w:vertAlign w:val="superscript"/>
              </w:rPr>
              <w:t>(a)</w:t>
            </w:r>
          </w:p>
        </w:tc>
        <w:tc>
          <w:tcPr>
            <w:tcW w:w="320" w:type="dxa"/>
            <w:vAlign w:val="bottom"/>
          </w:tcPr>
          <w:p>
            <w:pPr>
              <w:spacing w:after="0"/>
              <w:rPr>
                <w:sz w:val="24"/>
                <w:szCs w:val="24"/>
                <w:color w:val="auto"/>
              </w:rPr>
            </w:pPr>
          </w:p>
        </w:tc>
        <w:tc>
          <w:tcPr>
            <w:tcW w:w="1260" w:type="dxa"/>
            <w:vAlign w:val="bottom"/>
            <w:tcBorders>
              <w:right w:val="single" w:sz="8" w:color="auto"/>
            </w:tcBorders>
          </w:tcPr>
          <w:p>
            <w:pPr>
              <w:jc w:val="right"/>
              <w:ind w:right="3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11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1000" w:type="dxa"/>
            <w:vAlign w:val="bottom"/>
          </w:tcPr>
          <w:p>
            <w:pPr>
              <w:jc w:val="right"/>
              <w:ind w:right="212"/>
              <w:spacing w:after="0"/>
              <w:rPr>
                <w:sz w:val="20"/>
                <w:szCs w:val="20"/>
                <w:color w:val="auto"/>
              </w:rPr>
            </w:pPr>
            <w:r>
              <w:rPr>
                <w:rFonts w:ascii="Arial" w:cs="Arial" w:eastAsia="Arial" w:hAnsi="Arial"/>
                <w:sz w:val="18"/>
                <w:szCs w:val="18"/>
                <w:color w:val="auto"/>
              </w:rPr>
              <w:t>1,118</w:t>
            </w:r>
          </w:p>
        </w:tc>
      </w:tr>
      <w:tr>
        <w:trPr>
          <w:trHeight w:val="270"/>
        </w:trPr>
        <w:tc>
          <w:tcPr>
            <w:tcW w:w="3480" w:type="dxa"/>
            <w:vAlign w:val="bottom"/>
          </w:tcPr>
          <w:p>
            <w:pPr>
              <w:ind w:left="220"/>
              <w:spacing w:after="0"/>
              <w:rPr>
                <w:sz w:val="20"/>
                <w:szCs w:val="20"/>
                <w:color w:val="auto"/>
              </w:rPr>
            </w:pPr>
            <w:r>
              <w:rPr>
                <w:rFonts w:ascii="Arial" w:cs="Arial" w:eastAsia="Arial" w:hAnsi="Arial"/>
                <w:sz w:val="18"/>
                <w:szCs w:val="18"/>
                <w:color w:val="auto"/>
              </w:rPr>
              <w:t xml:space="preserve">Impairment charges </w:t>
            </w:r>
            <w:r>
              <w:rPr>
                <w:rFonts w:ascii="Arial" w:cs="Arial" w:eastAsia="Arial" w:hAnsi="Arial"/>
                <w:sz w:val="23"/>
                <w:szCs w:val="23"/>
                <w:color w:val="auto"/>
                <w:vertAlign w:val="superscript"/>
              </w:rPr>
              <w:t>(a)</w:t>
            </w:r>
          </w:p>
        </w:tc>
        <w:tc>
          <w:tcPr>
            <w:tcW w:w="320" w:type="dxa"/>
            <w:vAlign w:val="bottom"/>
          </w:tcPr>
          <w:p>
            <w:pPr>
              <w:spacing w:after="0"/>
              <w:rPr>
                <w:sz w:val="23"/>
                <w:szCs w:val="23"/>
                <w:color w:val="auto"/>
              </w:rPr>
            </w:pPr>
          </w:p>
        </w:tc>
        <w:tc>
          <w:tcPr>
            <w:tcW w:w="1260" w:type="dxa"/>
            <w:vAlign w:val="bottom"/>
            <w:tcBorders>
              <w:right w:val="single" w:sz="8" w:color="auto"/>
            </w:tcBorders>
          </w:tcPr>
          <w:p>
            <w:pPr>
              <w:jc w:val="right"/>
              <w:ind w:right="3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120" w:type="dxa"/>
            <w:vAlign w:val="bottom"/>
          </w:tcPr>
          <w:p>
            <w:pPr>
              <w:jc w:val="right"/>
              <w:ind w:right="212"/>
              <w:spacing w:after="0"/>
              <w:rPr>
                <w:sz w:val="20"/>
                <w:szCs w:val="20"/>
                <w:color w:val="auto"/>
              </w:rPr>
            </w:pPr>
            <w:r>
              <w:rPr>
                <w:rFonts w:ascii="Arial" w:cs="Arial" w:eastAsia="Arial" w:hAnsi="Arial"/>
                <w:sz w:val="18"/>
                <w:szCs w:val="18"/>
                <w:color w:val="auto"/>
              </w:rPr>
              <w:t>157</w:t>
            </w:r>
          </w:p>
        </w:tc>
        <w:tc>
          <w:tcPr>
            <w:tcW w:w="680" w:type="dxa"/>
            <w:vAlign w:val="bottom"/>
          </w:tcPr>
          <w:p>
            <w:pPr>
              <w:spacing w:after="0"/>
              <w:rPr>
                <w:sz w:val="23"/>
                <w:szCs w:val="23"/>
                <w:color w:val="auto"/>
              </w:rPr>
            </w:pPr>
          </w:p>
        </w:tc>
        <w:tc>
          <w:tcPr>
            <w:tcW w:w="1000" w:type="dxa"/>
            <w:vAlign w:val="bottom"/>
          </w:tcPr>
          <w:p>
            <w:pPr>
              <w:jc w:val="right"/>
              <w:ind w:right="212"/>
              <w:spacing w:after="0"/>
              <w:rPr>
                <w:sz w:val="20"/>
                <w:szCs w:val="20"/>
                <w:color w:val="auto"/>
              </w:rPr>
            </w:pPr>
            <w:r>
              <w:rPr>
                <w:rFonts w:ascii="Arial" w:cs="Arial" w:eastAsia="Arial" w:hAnsi="Arial"/>
                <w:sz w:val="18"/>
                <w:szCs w:val="18"/>
                <w:color w:val="auto"/>
              </w:rPr>
              <w:t>6,100</w:t>
            </w:r>
          </w:p>
        </w:tc>
      </w:tr>
      <w:tr>
        <w:trPr>
          <w:trHeight w:val="270"/>
        </w:trPr>
        <w:tc>
          <w:tcPr>
            <w:tcW w:w="3480" w:type="dxa"/>
            <w:vAlign w:val="bottom"/>
          </w:tcPr>
          <w:p>
            <w:pPr>
              <w:ind w:left="220"/>
              <w:spacing w:after="0"/>
              <w:rPr>
                <w:sz w:val="20"/>
                <w:szCs w:val="20"/>
                <w:color w:val="auto"/>
              </w:rPr>
            </w:pPr>
            <w:r>
              <w:rPr>
                <w:rFonts w:ascii="Arial" w:cs="Arial" w:eastAsia="Arial" w:hAnsi="Arial"/>
                <w:sz w:val="18"/>
                <w:szCs w:val="18"/>
                <w:color w:val="auto"/>
              </w:rPr>
              <w:t xml:space="preserve">Restructuring charges </w:t>
            </w:r>
            <w:r>
              <w:rPr>
                <w:rFonts w:ascii="Arial" w:cs="Arial" w:eastAsia="Arial" w:hAnsi="Arial"/>
                <w:sz w:val="23"/>
                <w:szCs w:val="23"/>
                <w:color w:val="auto"/>
                <w:vertAlign w:val="superscript"/>
              </w:rPr>
              <w:t>(a)</w:t>
            </w:r>
          </w:p>
        </w:tc>
        <w:tc>
          <w:tcPr>
            <w:tcW w:w="320" w:type="dxa"/>
            <w:vAlign w:val="bottom"/>
          </w:tcPr>
          <w:p>
            <w:pPr>
              <w:spacing w:after="0"/>
              <w:rPr>
                <w:sz w:val="23"/>
                <w:szCs w:val="23"/>
                <w:color w:val="auto"/>
              </w:rPr>
            </w:pPr>
          </w:p>
        </w:tc>
        <w:tc>
          <w:tcPr>
            <w:tcW w:w="1260" w:type="dxa"/>
            <w:vAlign w:val="bottom"/>
            <w:tcBorders>
              <w:right w:val="single" w:sz="8" w:color="auto"/>
            </w:tcBorders>
          </w:tcPr>
          <w:p>
            <w:pPr>
              <w:jc w:val="right"/>
              <w:ind w:right="332"/>
              <w:spacing w:after="0"/>
              <w:rPr>
                <w:sz w:val="20"/>
                <w:szCs w:val="20"/>
                <w:color w:val="auto"/>
              </w:rPr>
            </w:pPr>
            <w:r>
              <w:rPr>
                <w:rFonts w:ascii="Arial" w:cs="Arial" w:eastAsia="Arial" w:hAnsi="Arial"/>
                <w:sz w:val="18"/>
                <w:szCs w:val="18"/>
                <w:color w:val="auto"/>
              </w:rPr>
              <w:t>185</w:t>
            </w:r>
          </w:p>
        </w:tc>
        <w:tc>
          <w:tcPr>
            <w:tcW w:w="400" w:type="dxa"/>
            <w:vAlign w:val="bottom"/>
          </w:tcPr>
          <w:p>
            <w:pPr>
              <w:spacing w:after="0"/>
              <w:rPr>
                <w:sz w:val="23"/>
                <w:szCs w:val="23"/>
                <w:color w:val="auto"/>
              </w:rPr>
            </w:pPr>
          </w:p>
        </w:tc>
        <w:tc>
          <w:tcPr>
            <w:tcW w:w="1120" w:type="dxa"/>
            <w:vAlign w:val="bottom"/>
          </w:tcPr>
          <w:p>
            <w:pPr>
              <w:jc w:val="right"/>
              <w:ind w:right="212"/>
              <w:spacing w:after="0"/>
              <w:rPr>
                <w:sz w:val="20"/>
                <w:szCs w:val="20"/>
                <w:color w:val="auto"/>
              </w:rPr>
            </w:pPr>
            <w:r>
              <w:rPr>
                <w:rFonts w:ascii="Arial" w:cs="Arial" w:eastAsia="Arial" w:hAnsi="Arial"/>
                <w:sz w:val="18"/>
                <w:szCs w:val="18"/>
                <w:color w:val="auto"/>
              </w:rPr>
              <w:t>255</w:t>
            </w:r>
          </w:p>
        </w:tc>
        <w:tc>
          <w:tcPr>
            <w:tcW w:w="680" w:type="dxa"/>
            <w:vAlign w:val="bottom"/>
          </w:tcPr>
          <w:p>
            <w:pPr>
              <w:spacing w:after="0"/>
              <w:rPr>
                <w:sz w:val="23"/>
                <w:szCs w:val="23"/>
                <w:color w:val="auto"/>
              </w:rPr>
            </w:pPr>
          </w:p>
        </w:tc>
        <w:tc>
          <w:tcPr>
            <w:tcW w:w="1000" w:type="dxa"/>
            <w:vAlign w:val="bottom"/>
          </w:tcPr>
          <w:p>
            <w:pPr>
              <w:jc w:val="right"/>
              <w:ind w:right="212"/>
              <w:spacing w:after="0"/>
              <w:rPr>
                <w:sz w:val="20"/>
                <w:szCs w:val="20"/>
                <w:color w:val="auto"/>
              </w:rPr>
            </w:pPr>
            <w:r>
              <w:rPr>
                <w:rFonts w:ascii="Arial" w:cs="Arial" w:eastAsia="Arial" w:hAnsi="Arial"/>
                <w:sz w:val="18"/>
                <w:szCs w:val="18"/>
                <w:color w:val="auto"/>
              </w:rPr>
              <w:t>544</w:t>
            </w:r>
          </w:p>
        </w:tc>
      </w:tr>
      <w:tr>
        <w:trPr>
          <w:trHeight w:val="270"/>
        </w:trPr>
        <w:tc>
          <w:tcPr>
            <w:tcW w:w="3480" w:type="dxa"/>
            <w:vAlign w:val="bottom"/>
          </w:tcPr>
          <w:p>
            <w:pPr>
              <w:ind w:left="220"/>
              <w:spacing w:after="0"/>
              <w:rPr>
                <w:sz w:val="20"/>
                <w:szCs w:val="20"/>
                <w:color w:val="auto"/>
              </w:rPr>
            </w:pPr>
            <w:r>
              <w:rPr>
                <w:rFonts w:ascii="Arial" w:cs="Arial" w:eastAsia="Arial" w:hAnsi="Arial"/>
                <w:sz w:val="18"/>
                <w:szCs w:val="18"/>
                <w:color w:val="auto"/>
              </w:rPr>
              <w:t xml:space="preserve">Transaction-related items </w:t>
            </w:r>
            <w:r>
              <w:rPr>
                <w:rFonts w:ascii="Arial" w:cs="Arial" w:eastAsia="Arial" w:hAnsi="Arial"/>
                <w:sz w:val="23"/>
                <w:szCs w:val="23"/>
                <w:color w:val="auto"/>
                <w:vertAlign w:val="superscript"/>
              </w:rPr>
              <w:t>(a)</w:t>
            </w:r>
          </w:p>
        </w:tc>
        <w:tc>
          <w:tcPr>
            <w:tcW w:w="320" w:type="dxa"/>
            <w:vAlign w:val="bottom"/>
          </w:tcPr>
          <w:p>
            <w:pPr>
              <w:spacing w:after="0"/>
              <w:rPr>
                <w:sz w:val="23"/>
                <w:szCs w:val="23"/>
                <w:color w:val="auto"/>
              </w:rPr>
            </w:pPr>
          </w:p>
        </w:tc>
        <w:tc>
          <w:tcPr>
            <w:tcW w:w="1260" w:type="dxa"/>
            <w:vAlign w:val="bottom"/>
            <w:tcBorders>
              <w:right w:val="single" w:sz="8" w:color="auto"/>
            </w:tcBorders>
          </w:tcPr>
          <w:p>
            <w:pPr>
              <w:jc w:val="right"/>
              <w:ind w:right="3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120" w:type="dxa"/>
            <w:vAlign w:val="bottom"/>
          </w:tcPr>
          <w:p>
            <w:pPr>
              <w:jc w:val="right"/>
              <w:ind w:right="212"/>
              <w:spacing w:after="0"/>
              <w:rPr>
                <w:sz w:val="20"/>
                <w:szCs w:val="20"/>
                <w:color w:val="auto"/>
              </w:rPr>
            </w:pPr>
            <w:r>
              <w:rPr>
                <w:rFonts w:ascii="Arial" w:cs="Arial" w:eastAsia="Arial" w:hAnsi="Arial"/>
                <w:sz w:val="18"/>
                <w:szCs w:val="18"/>
                <w:color w:val="auto"/>
              </w:rPr>
              <w:t>199</w:t>
            </w:r>
          </w:p>
        </w:tc>
        <w:tc>
          <w:tcPr>
            <w:tcW w:w="680" w:type="dxa"/>
            <w:vAlign w:val="bottom"/>
          </w:tcPr>
          <w:p>
            <w:pPr>
              <w:spacing w:after="0"/>
              <w:rPr>
                <w:sz w:val="23"/>
                <w:szCs w:val="23"/>
                <w:color w:val="auto"/>
              </w:rPr>
            </w:pPr>
          </w:p>
        </w:tc>
        <w:tc>
          <w:tcPr>
            <w:tcW w:w="1000" w:type="dxa"/>
            <w:vAlign w:val="bottom"/>
          </w:tcPr>
          <w:p>
            <w:pPr>
              <w:jc w:val="right"/>
              <w:ind w:right="212"/>
              <w:spacing w:after="0"/>
              <w:rPr>
                <w:sz w:val="20"/>
                <w:szCs w:val="20"/>
                <w:color w:val="auto"/>
              </w:rPr>
            </w:pPr>
            <w:r>
              <w:rPr>
                <w:rFonts w:ascii="Arial" w:cs="Arial" w:eastAsia="Arial" w:hAnsi="Arial"/>
                <w:sz w:val="18"/>
                <w:szCs w:val="18"/>
                <w:color w:val="auto"/>
              </w:rPr>
              <w:t>51</w:t>
            </w:r>
          </w:p>
        </w:tc>
      </w:tr>
      <w:tr>
        <w:trPr>
          <w:trHeight w:val="264"/>
        </w:trPr>
        <w:tc>
          <w:tcPr>
            <w:tcW w:w="3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 xml:space="preserve">Gain on dispositions </w:t>
            </w:r>
            <w:r>
              <w:rPr>
                <w:rFonts w:ascii="Arial" w:cs="Arial" w:eastAsia="Arial" w:hAnsi="Arial"/>
                <w:sz w:val="23"/>
                <w:szCs w:val="23"/>
                <w:color w:val="auto"/>
                <w:vertAlign w:val="superscript"/>
              </w:rPr>
              <w:t>(a)</w:t>
            </w: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jc w:val="right"/>
              <w:ind w:right="33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(35)</w:t>
            </w:r>
          </w:p>
        </w:tc>
        <w:tc>
          <w:tcPr>
            <w:tcW w:w="6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w:t>
            </w:r>
          </w:p>
        </w:tc>
      </w:tr>
      <w:tr>
        <w:trPr>
          <w:trHeight w:val="240"/>
        </w:trPr>
        <w:tc>
          <w:tcPr>
            <w:tcW w:w="3480" w:type="dxa"/>
            <w:vAlign w:val="bottom"/>
          </w:tcPr>
          <w:p>
            <w:pPr>
              <w:ind w:left="20"/>
              <w:spacing w:after="0"/>
              <w:rPr>
                <w:sz w:val="20"/>
                <w:szCs w:val="20"/>
                <w:color w:val="auto"/>
              </w:rPr>
            </w:pPr>
            <w:r>
              <w:rPr>
                <w:rFonts w:ascii="Arial" w:cs="Arial" w:eastAsia="Arial" w:hAnsi="Arial"/>
                <w:sz w:val="18"/>
                <w:szCs w:val="18"/>
                <w:color w:val="auto"/>
              </w:rPr>
              <w:t>Adjusted OIBDA (Non-GAAP)</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tcPr>
          <w:p>
            <w:pPr>
              <w:jc w:val="right"/>
              <w:ind w:right="332"/>
              <w:spacing w:after="0"/>
              <w:rPr>
                <w:sz w:val="20"/>
                <w:szCs w:val="20"/>
                <w:color w:val="auto"/>
              </w:rPr>
            </w:pPr>
            <w:r>
              <w:rPr>
                <w:rFonts w:ascii="Arial" w:cs="Arial" w:eastAsia="Arial" w:hAnsi="Arial"/>
                <w:sz w:val="18"/>
                <w:szCs w:val="18"/>
                <w:color w:val="auto"/>
              </w:rPr>
              <w:t>655</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12"/>
              <w:spacing w:after="0"/>
              <w:rPr>
                <w:sz w:val="20"/>
                <w:szCs w:val="20"/>
                <w:color w:val="auto"/>
              </w:rPr>
            </w:pPr>
            <w:r>
              <w:rPr>
                <w:rFonts w:ascii="Arial" w:cs="Arial" w:eastAsia="Arial" w:hAnsi="Arial"/>
                <w:sz w:val="18"/>
                <w:szCs w:val="18"/>
                <w:color w:val="auto"/>
              </w:rPr>
              <w:t>1,809</w:t>
            </w:r>
          </w:p>
        </w:tc>
        <w:tc>
          <w:tcPr>
            <w:tcW w:w="68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2"/>
              <w:spacing w:after="0"/>
              <w:rPr>
                <w:sz w:val="20"/>
                <w:szCs w:val="20"/>
                <w:color w:val="auto"/>
              </w:rPr>
            </w:pPr>
            <w:r>
              <w:rPr>
                <w:rFonts w:ascii="Arial" w:cs="Arial" w:eastAsia="Arial" w:hAnsi="Arial"/>
                <w:sz w:val="18"/>
                <w:szCs w:val="18"/>
                <w:color w:val="auto"/>
              </w:rPr>
              <w:t>2,712</w:t>
            </w:r>
          </w:p>
        </w:tc>
      </w:tr>
      <w:tr>
        <w:trPr>
          <w:trHeight w:val="30"/>
        </w:trPr>
        <w:tc>
          <w:tcPr>
            <w:tcW w:w="3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118"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(a) See notes on the following tables for additional information on items affecting comparability.</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097"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22"/>
          <w:szCs w:val="22"/>
          <w:b w:val="1"/>
          <w:bCs w:val="1"/>
          <w:color w:val="auto"/>
        </w:rPr>
        <w:t>SUPPLEMENTAL DISCLOSURES REGARDING NON-GAAP FINANCIAL MEASURES (Continued)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in millions, except per share amounts)</w:t>
      </w:r>
    </w:p>
    <w:p>
      <w:pPr>
        <w:spacing w:after="0" w:line="303" w:lineRule="exact"/>
        <w:rPr>
          <w:sz w:val="20"/>
          <w:szCs w:val="20"/>
          <w:color w:val="auto"/>
        </w:rPr>
      </w:pPr>
    </w:p>
    <w:p>
      <w:pPr>
        <w:spacing w:after="0" w:line="249" w:lineRule="auto"/>
        <w:rPr>
          <w:sz w:val="20"/>
          <w:szCs w:val="20"/>
          <w:color w:val="auto"/>
        </w:rPr>
      </w:pPr>
      <w:r>
        <w:rPr>
          <w:rFonts w:ascii="Arial" w:cs="Arial" w:eastAsia="Arial" w:hAnsi="Arial"/>
          <w:sz w:val="22"/>
          <w:szCs w:val="22"/>
          <w:color w:val="auto"/>
        </w:rPr>
        <w:t>The table below sets forth our Adjusted OIBDA by reportable segment and a reconciliation of total Adjusted OIBDA to Operating Income (Loss), the most directly comparable financial measure in accordance with U.S. GAAP. We present Adjusted OIBDA as the primary measure of profit and loss for our operating segments in accordance with Financial Accounting Standards Board (FASB) guidance for segment reporting. Adjusted OIBDA is the primary method used by our management for planning and forecasting of future periods, evaluating the operating performance of our segments, and making decisions about resource allocation. Stock-based compensation is excluded from our segment measure of profit and loss because it is set and approved by our Board of Directors in consultation with corporate executive management.</w:t>
      </w: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Three Months Ended September 30, 2025 and 2024</w:t>
      </w:r>
    </w:p>
    <w:p>
      <w:pPr>
        <w:spacing w:after="0" w:line="159" w:lineRule="exact"/>
        <w:rPr>
          <w:sz w:val="20"/>
          <w:szCs w:val="20"/>
          <w:color w:val="auto"/>
        </w:rPr>
      </w:pPr>
    </w:p>
    <w:tbl>
      <w:tblPr>
        <w:tblLayout w:type="fixed"/>
        <w:tblInd w:w="820" w:type="dxa"/>
        <w:tblCellMar>
          <w:top w:w="0" w:type="dxa"/>
          <w:left w:w="0" w:type="dxa"/>
          <w:bottom w:w="0" w:type="dxa"/>
          <w:right w:w="0" w:type="dxa"/>
        </w:tblCellMar>
      </w:tblPr>
      <w:tr>
        <w:trPr>
          <w:trHeight w:val="291"/>
        </w:trPr>
        <w:tc>
          <w:tcPr>
            <w:tcW w:w="4580" w:type="dxa"/>
            <w:vAlign w:val="bottom"/>
            <w:tcBorders>
              <w:top w:val="single" w:sz="8" w:color="auto"/>
            </w:tcBorders>
          </w:tcPr>
          <w:p>
            <w:pPr>
              <w:spacing w:after="0"/>
              <w:rPr>
                <w:sz w:val="24"/>
                <w:szCs w:val="24"/>
                <w:color w:val="auto"/>
              </w:rPr>
            </w:pPr>
          </w:p>
        </w:tc>
        <w:tc>
          <w:tcPr>
            <w:tcW w:w="1740" w:type="dxa"/>
            <w:vAlign w:val="bottom"/>
            <w:tcBorders>
              <w:top w:val="single" w:sz="8" w:color="auto"/>
              <w:bottom w:val="single" w:sz="8" w:color="auto"/>
              <w:right w:val="single" w:sz="8" w:color="auto"/>
            </w:tcBorders>
            <w:gridSpan w:val="2"/>
          </w:tcPr>
          <w:p>
            <w:pPr>
              <w:jc w:val="center"/>
              <w:ind w:right="110"/>
              <w:spacing w:after="0"/>
              <w:rPr>
                <w:sz w:val="20"/>
                <w:szCs w:val="20"/>
                <w:color w:val="auto"/>
              </w:rPr>
            </w:pPr>
            <w:r>
              <w:rPr>
                <w:rFonts w:ascii="Arial" w:cs="Arial" w:eastAsia="Arial" w:hAnsi="Arial"/>
                <w:sz w:val="18"/>
                <w:szCs w:val="18"/>
                <w:b w:val="1"/>
                <w:bCs w:val="1"/>
                <w:color w:val="auto"/>
                <w:w w:val="98"/>
              </w:rPr>
              <w:t>Successor</w:t>
            </w:r>
          </w:p>
        </w:tc>
        <w:tc>
          <w:tcPr>
            <w:tcW w:w="580" w:type="dxa"/>
            <w:vAlign w:val="bottom"/>
            <w:tcBorders>
              <w:top w:val="single" w:sz="8" w:color="auto"/>
              <w:bottom w:val="single" w:sz="8" w:color="auto"/>
            </w:tcBorders>
          </w:tcPr>
          <w:p>
            <w:pPr>
              <w:spacing w:after="0"/>
              <w:rPr>
                <w:sz w:val="24"/>
                <w:szCs w:val="24"/>
                <w:color w:val="auto"/>
              </w:rPr>
            </w:pPr>
          </w:p>
        </w:tc>
        <w:tc>
          <w:tcPr>
            <w:tcW w:w="2720" w:type="dxa"/>
            <w:vAlign w:val="bottom"/>
            <w:tcBorders>
              <w:top w:val="single" w:sz="8" w:color="auto"/>
              <w:bottom w:val="single" w:sz="8" w:color="auto"/>
            </w:tcBorders>
            <w:gridSpan w:val="3"/>
          </w:tcPr>
          <w:p>
            <w:pPr>
              <w:jc w:val="right"/>
              <w:ind w:right="930"/>
              <w:spacing w:after="0"/>
              <w:rPr>
                <w:sz w:val="20"/>
                <w:szCs w:val="20"/>
                <w:color w:val="auto"/>
              </w:rPr>
            </w:pPr>
            <w:r>
              <w:rPr>
                <w:rFonts w:ascii="Arial" w:cs="Arial" w:eastAsia="Arial" w:hAnsi="Arial"/>
                <w:sz w:val="18"/>
                <w:szCs w:val="18"/>
                <w:b w:val="1"/>
                <w:bCs w:val="1"/>
                <w:color w:val="auto"/>
              </w:rPr>
              <w:t>Predecessor</w:t>
            </w:r>
          </w:p>
        </w:tc>
      </w:tr>
      <w:tr>
        <w:trPr>
          <w:trHeight w:val="224"/>
        </w:trPr>
        <w:tc>
          <w:tcPr>
            <w:tcW w:w="458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10"/>
              <w:spacing w:after="0"/>
              <w:rPr>
                <w:sz w:val="20"/>
                <w:szCs w:val="20"/>
                <w:color w:val="auto"/>
              </w:rPr>
            </w:pPr>
            <w:r>
              <w:rPr>
                <w:rFonts w:ascii="Arial" w:cs="Arial" w:eastAsia="Arial" w:hAnsi="Arial"/>
                <w:sz w:val="18"/>
                <w:szCs w:val="18"/>
                <w:b w:val="1"/>
                <w:bCs w:val="1"/>
                <w:color w:val="auto"/>
                <w:w w:val="99"/>
              </w:rPr>
              <w:t>Period From</w:t>
            </w:r>
          </w:p>
        </w:tc>
        <w:tc>
          <w:tcPr>
            <w:tcW w:w="170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Period From</w:t>
            </w: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Three Months</w:t>
            </w:r>
          </w:p>
        </w:tc>
      </w:tr>
      <w:tr>
        <w:trPr>
          <w:trHeight w:val="216"/>
        </w:trPr>
        <w:tc>
          <w:tcPr>
            <w:tcW w:w="458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90"/>
              <w:spacing w:after="0"/>
              <w:rPr>
                <w:sz w:val="20"/>
                <w:szCs w:val="20"/>
                <w:color w:val="auto"/>
              </w:rPr>
            </w:pPr>
            <w:r>
              <w:rPr>
                <w:rFonts w:ascii="Arial" w:cs="Arial" w:eastAsia="Arial" w:hAnsi="Arial"/>
                <w:sz w:val="18"/>
                <w:szCs w:val="18"/>
                <w:b w:val="1"/>
                <w:bCs w:val="1"/>
                <w:color w:val="auto"/>
                <w:w w:val="99"/>
              </w:rPr>
              <w:t>August 7 -</w:t>
            </w:r>
          </w:p>
        </w:tc>
        <w:tc>
          <w:tcPr>
            <w:tcW w:w="170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July 1 - August</w:t>
            </w:r>
          </w:p>
        </w:tc>
        <w:tc>
          <w:tcPr>
            <w:tcW w:w="500" w:type="dxa"/>
            <w:vAlign w:val="bottom"/>
          </w:tcPr>
          <w:p>
            <w:pPr>
              <w:spacing w:after="0"/>
              <w:rPr>
                <w:sz w:val="18"/>
                <w:szCs w:val="18"/>
                <w:color w:val="auto"/>
              </w:rPr>
            </w:pPr>
          </w:p>
        </w:tc>
        <w:tc>
          <w:tcPr>
            <w:tcW w:w="1100" w:type="dxa"/>
            <w:vAlign w:val="bottom"/>
          </w:tcPr>
          <w:p>
            <w:pPr>
              <w:jc w:val="center"/>
              <w:ind w:right="370"/>
              <w:spacing w:after="0"/>
              <w:rPr>
                <w:sz w:val="20"/>
                <w:szCs w:val="20"/>
                <w:color w:val="auto"/>
              </w:rPr>
            </w:pPr>
            <w:r>
              <w:rPr>
                <w:rFonts w:ascii="Arial" w:cs="Arial" w:eastAsia="Arial" w:hAnsi="Arial"/>
                <w:sz w:val="18"/>
                <w:szCs w:val="18"/>
                <w:b w:val="1"/>
                <w:bCs w:val="1"/>
                <w:color w:val="auto"/>
              </w:rPr>
              <w:t>Ended</w:t>
            </w:r>
          </w:p>
        </w:tc>
      </w:tr>
      <w:tr>
        <w:trPr>
          <w:trHeight w:val="255"/>
        </w:trPr>
        <w:tc>
          <w:tcPr>
            <w:tcW w:w="4580" w:type="dxa"/>
            <w:vAlign w:val="bottom"/>
          </w:tcPr>
          <w:p>
            <w:pPr>
              <w:spacing w:after="0"/>
              <w:rPr>
                <w:sz w:val="22"/>
                <w:szCs w:val="22"/>
                <w:color w:val="auto"/>
              </w:rPr>
            </w:pPr>
          </w:p>
        </w:tc>
        <w:tc>
          <w:tcPr>
            <w:tcW w:w="1740" w:type="dxa"/>
            <w:vAlign w:val="bottom"/>
            <w:tcBorders>
              <w:bottom w:val="single" w:sz="8" w:color="auto"/>
              <w:right w:val="single" w:sz="8" w:color="auto"/>
            </w:tcBorders>
            <w:gridSpan w:val="2"/>
          </w:tcPr>
          <w:p>
            <w:pPr>
              <w:jc w:val="center"/>
              <w:ind w:right="110"/>
              <w:spacing w:after="0"/>
              <w:rPr>
                <w:sz w:val="20"/>
                <w:szCs w:val="20"/>
                <w:color w:val="auto"/>
              </w:rPr>
            </w:pPr>
            <w:r>
              <w:rPr>
                <w:rFonts w:ascii="Arial" w:cs="Arial" w:eastAsia="Arial" w:hAnsi="Arial"/>
                <w:sz w:val="18"/>
                <w:szCs w:val="18"/>
                <w:b w:val="1"/>
                <w:bCs w:val="1"/>
                <w:color w:val="auto"/>
                <w:w w:val="99"/>
              </w:rPr>
              <w:t>September 30,</w:t>
            </w:r>
          </w:p>
        </w:tc>
        <w:tc>
          <w:tcPr>
            <w:tcW w:w="5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6,</w:t>
            </w: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September 30,</w:t>
            </w:r>
          </w:p>
        </w:tc>
      </w:tr>
      <w:tr>
        <w:trPr>
          <w:trHeight w:val="264"/>
        </w:trPr>
        <w:tc>
          <w:tcPr>
            <w:tcW w:w="45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jc w:val="center"/>
              <w:ind w:right="570"/>
              <w:spacing w:after="0"/>
              <w:rPr>
                <w:sz w:val="20"/>
                <w:szCs w:val="20"/>
                <w:color w:val="auto"/>
              </w:rPr>
            </w:pPr>
            <w:r>
              <w:rPr>
                <w:rFonts w:ascii="Arial" w:cs="Arial" w:eastAsia="Arial" w:hAnsi="Arial"/>
                <w:sz w:val="18"/>
                <w:szCs w:val="18"/>
                <w:b w:val="1"/>
                <w:bCs w:val="1"/>
                <w:color w:val="auto"/>
                <w:w w:val="99"/>
              </w:rPr>
              <w:t>2025</w:t>
            </w:r>
          </w:p>
        </w:tc>
        <w:tc>
          <w:tcPr>
            <w:tcW w:w="5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2025</w:t>
            </w: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b w:val="1"/>
                <w:bCs w:val="1"/>
                <w:color w:val="auto"/>
                <w:w w:val="99"/>
              </w:rPr>
              <w:t>2024</w:t>
            </w:r>
          </w:p>
        </w:tc>
      </w:tr>
      <w:tr>
        <w:trPr>
          <w:trHeight w:val="255"/>
        </w:trPr>
        <w:tc>
          <w:tcPr>
            <w:tcW w:w="4580" w:type="dxa"/>
            <w:vAlign w:val="bottom"/>
          </w:tcPr>
          <w:p>
            <w:pPr>
              <w:spacing w:after="0"/>
              <w:rPr>
                <w:sz w:val="20"/>
                <w:szCs w:val="20"/>
                <w:color w:val="auto"/>
              </w:rPr>
            </w:pPr>
            <w:r>
              <w:rPr>
                <w:rFonts w:ascii="Arial" w:cs="Arial" w:eastAsia="Arial" w:hAnsi="Arial"/>
                <w:sz w:val="18"/>
                <w:szCs w:val="18"/>
                <w:b w:val="1"/>
                <w:bCs w:val="1"/>
                <w:color w:val="auto"/>
              </w:rPr>
              <w:t>Adjusted OIBDA:</w:t>
            </w:r>
          </w:p>
        </w:tc>
        <w:tc>
          <w:tcPr>
            <w:tcW w:w="480" w:type="dxa"/>
            <w:vAlign w:val="bottom"/>
          </w:tcPr>
          <w:p>
            <w:pPr>
              <w:spacing w:after="0"/>
              <w:rPr>
                <w:sz w:val="22"/>
                <w:szCs w:val="22"/>
                <w:color w:val="auto"/>
              </w:rPr>
            </w:pPr>
          </w:p>
        </w:tc>
        <w:tc>
          <w:tcPr>
            <w:tcW w:w="1260" w:type="dxa"/>
            <w:vAlign w:val="bottom"/>
            <w:tcBorders>
              <w:right w:val="single" w:sz="8" w:color="auto"/>
            </w:tcBorders>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62"/>
        </w:trPr>
        <w:tc>
          <w:tcPr>
            <w:tcW w:w="4580" w:type="dxa"/>
            <w:vAlign w:val="bottom"/>
          </w:tcPr>
          <w:p>
            <w:pPr>
              <w:ind w:left="140"/>
              <w:spacing w:after="0"/>
              <w:rPr>
                <w:sz w:val="20"/>
                <w:szCs w:val="20"/>
                <w:color w:val="auto"/>
              </w:rPr>
            </w:pPr>
            <w:r>
              <w:rPr>
                <w:rFonts w:ascii="Arial" w:cs="Arial" w:eastAsia="Arial" w:hAnsi="Arial"/>
                <w:sz w:val="18"/>
                <w:szCs w:val="18"/>
                <w:color w:val="auto"/>
              </w:rPr>
              <w:t>TV Media</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tcPr>
          <w:p>
            <w:pPr>
              <w:jc w:val="right"/>
              <w:ind w:right="470"/>
              <w:spacing w:after="0"/>
              <w:rPr>
                <w:sz w:val="20"/>
                <w:szCs w:val="20"/>
                <w:color w:val="auto"/>
              </w:rPr>
            </w:pPr>
            <w:r>
              <w:rPr>
                <w:rFonts w:ascii="Arial" w:cs="Arial" w:eastAsia="Arial" w:hAnsi="Arial"/>
                <w:sz w:val="18"/>
                <w:szCs w:val="18"/>
                <w:color w:val="auto"/>
              </w:rPr>
              <w:t>540</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282</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936</w:t>
            </w:r>
          </w:p>
        </w:tc>
      </w:tr>
      <w:tr>
        <w:trPr>
          <w:trHeight w:val="270"/>
        </w:trPr>
        <w:tc>
          <w:tcPr>
            <w:tcW w:w="4580" w:type="dxa"/>
            <w:vAlign w:val="bottom"/>
          </w:tcPr>
          <w:p>
            <w:pPr>
              <w:ind w:left="140"/>
              <w:spacing w:after="0"/>
              <w:rPr>
                <w:sz w:val="20"/>
                <w:szCs w:val="20"/>
                <w:color w:val="auto"/>
              </w:rPr>
            </w:pPr>
            <w:r>
              <w:rPr>
                <w:rFonts w:ascii="Arial" w:cs="Arial" w:eastAsia="Arial" w:hAnsi="Arial"/>
                <w:sz w:val="18"/>
                <w:szCs w:val="18"/>
                <w:color w:val="auto"/>
              </w:rPr>
              <w:t>Direct-to-Consumer</w:t>
            </w:r>
          </w:p>
        </w:tc>
        <w:tc>
          <w:tcPr>
            <w:tcW w:w="480" w:type="dxa"/>
            <w:vAlign w:val="bottom"/>
          </w:tcPr>
          <w:p>
            <w:pPr>
              <w:spacing w:after="0"/>
              <w:rPr>
                <w:sz w:val="23"/>
                <w:szCs w:val="23"/>
                <w:color w:val="auto"/>
              </w:rPr>
            </w:pPr>
          </w:p>
        </w:tc>
        <w:tc>
          <w:tcPr>
            <w:tcW w:w="1260" w:type="dxa"/>
            <w:vAlign w:val="bottom"/>
            <w:tcBorders>
              <w:right w:val="single" w:sz="8" w:color="auto"/>
            </w:tcBorders>
          </w:tcPr>
          <w:p>
            <w:pPr>
              <w:jc w:val="right"/>
              <w:ind w:right="470"/>
              <w:spacing w:after="0"/>
              <w:rPr>
                <w:sz w:val="20"/>
                <w:szCs w:val="20"/>
                <w:color w:val="auto"/>
              </w:rPr>
            </w:pPr>
            <w:r>
              <w:rPr>
                <w:rFonts w:ascii="Arial" w:cs="Arial" w:eastAsia="Arial" w:hAnsi="Arial"/>
                <w:sz w:val="18"/>
                <w:szCs w:val="18"/>
                <w:color w:val="auto"/>
              </w:rPr>
              <w:t>235</w:t>
            </w:r>
          </w:p>
        </w:tc>
        <w:tc>
          <w:tcPr>
            <w:tcW w:w="580" w:type="dxa"/>
            <w:vAlign w:val="bottom"/>
          </w:tcPr>
          <w:p>
            <w:pPr>
              <w:spacing w:after="0"/>
              <w:rPr>
                <w:sz w:val="23"/>
                <w:szCs w:val="23"/>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105</w:t>
            </w:r>
          </w:p>
        </w:tc>
        <w:tc>
          <w:tcPr>
            <w:tcW w:w="500" w:type="dxa"/>
            <w:vAlign w:val="bottom"/>
          </w:tcPr>
          <w:p>
            <w:pPr>
              <w:spacing w:after="0"/>
              <w:rPr>
                <w:sz w:val="23"/>
                <w:szCs w:val="23"/>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49</w:t>
            </w:r>
          </w:p>
        </w:tc>
      </w:tr>
      <w:tr>
        <w:trPr>
          <w:trHeight w:val="270"/>
        </w:trPr>
        <w:tc>
          <w:tcPr>
            <w:tcW w:w="4580" w:type="dxa"/>
            <w:vAlign w:val="bottom"/>
          </w:tcPr>
          <w:p>
            <w:pPr>
              <w:ind w:left="140"/>
              <w:spacing w:after="0"/>
              <w:rPr>
                <w:sz w:val="20"/>
                <w:szCs w:val="20"/>
                <w:color w:val="auto"/>
              </w:rPr>
            </w:pPr>
            <w:r>
              <w:rPr>
                <w:rFonts w:ascii="Arial" w:cs="Arial" w:eastAsia="Arial" w:hAnsi="Arial"/>
                <w:sz w:val="18"/>
                <w:szCs w:val="18"/>
                <w:color w:val="auto"/>
              </w:rPr>
              <w:t>Filmed Entertainment</w:t>
            </w:r>
          </w:p>
        </w:tc>
        <w:tc>
          <w:tcPr>
            <w:tcW w:w="480" w:type="dxa"/>
            <w:vAlign w:val="bottom"/>
          </w:tcPr>
          <w:p>
            <w:pPr>
              <w:spacing w:after="0"/>
              <w:rPr>
                <w:sz w:val="23"/>
                <w:szCs w:val="23"/>
                <w:color w:val="auto"/>
              </w:rPr>
            </w:pPr>
          </w:p>
        </w:tc>
        <w:tc>
          <w:tcPr>
            <w:tcW w:w="1260" w:type="dxa"/>
            <w:vAlign w:val="bottom"/>
            <w:tcBorders>
              <w:right w:val="single" w:sz="8" w:color="auto"/>
            </w:tcBorders>
          </w:tcPr>
          <w:p>
            <w:pPr>
              <w:jc w:val="right"/>
              <w:ind w:right="410"/>
              <w:spacing w:after="0"/>
              <w:rPr>
                <w:sz w:val="20"/>
                <w:szCs w:val="20"/>
                <w:color w:val="auto"/>
              </w:rPr>
            </w:pPr>
            <w:r>
              <w:rPr>
                <w:rFonts w:ascii="Arial" w:cs="Arial" w:eastAsia="Arial" w:hAnsi="Arial"/>
                <w:sz w:val="18"/>
                <w:szCs w:val="18"/>
                <w:color w:val="auto"/>
              </w:rPr>
              <w:t>(13)</w:t>
            </w:r>
          </w:p>
        </w:tc>
        <w:tc>
          <w:tcPr>
            <w:tcW w:w="580" w:type="dxa"/>
            <w:vAlign w:val="bottom"/>
          </w:tcPr>
          <w:p>
            <w:pPr>
              <w:spacing w:after="0"/>
              <w:rPr>
                <w:sz w:val="23"/>
                <w:szCs w:val="23"/>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(36)</w:t>
            </w:r>
          </w:p>
        </w:tc>
        <w:tc>
          <w:tcPr>
            <w:tcW w:w="500" w:type="dxa"/>
            <w:vAlign w:val="bottom"/>
          </w:tcPr>
          <w:p>
            <w:pPr>
              <w:spacing w:after="0"/>
              <w:rPr>
                <w:sz w:val="23"/>
                <w:szCs w:val="23"/>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3</w:t>
            </w:r>
          </w:p>
        </w:tc>
      </w:tr>
      <w:tr>
        <w:trPr>
          <w:trHeight w:val="270"/>
        </w:trPr>
        <w:tc>
          <w:tcPr>
            <w:tcW w:w="4580" w:type="dxa"/>
            <w:vAlign w:val="bottom"/>
          </w:tcPr>
          <w:p>
            <w:pPr>
              <w:ind w:left="140"/>
              <w:spacing w:after="0"/>
              <w:rPr>
                <w:sz w:val="20"/>
                <w:szCs w:val="20"/>
                <w:color w:val="auto"/>
              </w:rPr>
            </w:pPr>
            <w:r>
              <w:rPr>
                <w:rFonts w:ascii="Arial" w:cs="Arial" w:eastAsia="Arial" w:hAnsi="Arial"/>
                <w:sz w:val="18"/>
                <w:szCs w:val="18"/>
                <w:color w:val="auto"/>
              </w:rPr>
              <w:t>Corporate/Eliminations</w:t>
            </w:r>
          </w:p>
        </w:tc>
        <w:tc>
          <w:tcPr>
            <w:tcW w:w="480" w:type="dxa"/>
            <w:vAlign w:val="bottom"/>
          </w:tcPr>
          <w:p>
            <w:pPr>
              <w:spacing w:after="0"/>
              <w:rPr>
                <w:sz w:val="23"/>
                <w:szCs w:val="23"/>
                <w:color w:val="auto"/>
              </w:rPr>
            </w:pPr>
          </w:p>
        </w:tc>
        <w:tc>
          <w:tcPr>
            <w:tcW w:w="1260" w:type="dxa"/>
            <w:vAlign w:val="bottom"/>
            <w:tcBorders>
              <w:right w:val="single" w:sz="8" w:color="auto"/>
            </w:tcBorders>
          </w:tcPr>
          <w:p>
            <w:pPr>
              <w:jc w:val="right"/>
              <w:ind w:right="410"/>
              <w:spacing w:after="0"/>
              <w:rPr>
                <w:sz w:val="20"/>
                <w:szCs w:val="20"/>
                <w:color w:val="auto"/>
              </w:rPr>
            </w:pPr>
            <w:r>
              <w:rPr>
                <w:rFonts w:ascii="Arial" w:cs="Arial" w:eastAsia="Arial" w:hAnsi="Arial"/>
                <w:sz w:val="18"/>
                <w:szCs w:val="18"/>
                <w:color w:val="auto"/>
              </w:rPr>
              <w:t>(78)</w:t>
            </w:r>
          </w:p>
        </w:tc>
        <w:tc>
          <w:tcPr>
            <w:tcW w:w="580" w:type="dxa"/>
            <w:vAlign w:val="bottom"/>
          </w:tcPr>
          <w:p>
            <w:pPr>
              <w:spacing w:after="0"/>
              <w:rPr>
                <w:sz w:val="23"/>
                <w:szCs w:val="23"/>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(38)</w:t>
            </w:r>
          </w:p>
        </w:tc>
        <w:tc>
          <w:tcPr>
            <w:tcW w:w="500" w:type="dxa"/>
            <w:vAlign w:val="bottom"/>
          </w:tcPr>
          <w:p>
            <w:pPr>
              <w:spacing w:after="0"/>
              <w:rPr>
                <w:sz w:val="23"/>
                <w:szCs w:val="23"/>
                <w:color w:val="auto"/>
              </w:rPr>
            </w:pPr>
          </w:p>
        </w:tc>
        <w:tc>
          <w:tcPr>
            <w:tcW w:w="1100" w:type="dxa"/>
            <w:vAlign w:val="bottom"/>
          </w:tcPr>
          <w:p>
            <w:pPr>
              <w:jc w:val="right"/>
              <w:ind w:right="230"/>
              <w:spacing w:after="0"/>
              <w:rPr>
                <w:sz w:val="20"/>
                <w:szCs w:val="20"/>
                <w:color w:val="auto"/>
              </w:rPr>
            </w:pPr>
            <w:r>
              <w:rPr>
                <w:rFonts w:ascii="Arial" w:cs="Arial" w:eastAsia="Arial" w:hAnsi="Arial"/>
                <w:sz w:val="18"/>
                <w:szCs w:val="18"/>
                <w:color w:val="auto"/>
              </w:rPr>
              <w:t>(84)</w:t>
            </w:r>
          </w:p>
        </w:tc>
      </w:tr>
      <w:tr>
        <w:trPr>
          <w:trHeight w:val="293"/>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Stock-based compensation </w:t>
            </w:r>
            <w:r>
              <w:rPr>
                <w:rFonts w:ascii="Arial" w:cs="Arial" w:eastAsia="Arial" w:hAnsi="Arial"/>
                <w:sz w:val="23"/>
                <w:szCs w:val="23"/>
                <w:color w:val="auto"/>
                <w:vertAlign w:val="superscript"/>
              </w:rPr>
              <w:t>(a)</w:t>
            </w:r>
          </w:p>
        </w:tc>
        <w:tc>
          <w:tcPr>
            <w:tcW w:w="48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(29)</w:t>
            </w:r>
          </w:p>
        </w:tc>
        <w:tc>
          <w:tcPr>
            <w:tcW w:w="5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(16)</w:t>
            </w:r>
          </w:p>
        </w:tc>
        <w:tc>
          <w:tcPr>
            <w:tcW w:w="5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(46)</w:t>
            </w:r>
          </w:p>
        </w:tc>
      </w:tr>
      <w:tr>
        <w:trPr>
          <w:trHeight w:val="248"/>
        </w:trPr>
        <w:tc>
          <w:tcPr>
            <w:tcW w:w="4580" w:type="dxa"/>
            <w:vAlign w:val="bottom"/>
          </w:tcPr>
          <w:p>
            <w:pPr>
              <w:ind w:left="220"/>
              <w:spacing w:after="0"/>
              <w:rPr>
                <w:sz w:val="20"/>
                <w:szCs w:val="20"/>
                <w:color w:val="auto"/>
              </w:rPr>
            </w:pPr>
            <w:r>
              <w:rPr>
                <w:rFonts w:ascii="Arial" w:cs="Arial" w:eastAsia="Arial" w:hAnsi="Arial"/>
                <w:sz w:val="18"/>
                <w:szCs w:val="18"/>
                <w:b w:val="1"/>
                <w:bCs w:val="1"/>
                <w:color w:val="auto"/>
              </w:rPr>
              <w:t>Total Adjusted OIBDA</w:t>
            </w:r>
          </w:p>
        </w:tc>
        <w:tc>
          <w:tcPr>
            <w:tcW w:w="480" w:type="dxa"/>
            <w:vAlign w:val="bottom"/>
          </w:tcPr>
          <w:p>
            <w:pPr>
              <w:spacing w:after="0"/>
              <w:rPr>
                <w:sz w:val="21"/>
                <w:szCs w:val="21"/>
                <w:color w:val="auto"/>
              </w:rPr>
            </w:pPr>
          </w:p>
        </w:tc>
        <w:tc>
          <w:tcPr>
            <w:tcW w:w="1260" w:type="dxa"/>
            <w:vAlign w:val="bottom"/>
            <w:tcBorders>
              <w:right w:val="single" w:sz="8" w:color="auto"/>
            </w:tcBorders>
          </w:tcPr>
          <w:p>
            <w:pPr>
              <w:jc w:val="right"/>
              <w:ind w:right="470"/>
              <w:spacing w:after="0"/>
              <w:rPr>
                <w:sz w:val="20"/>
                <w:szCs w:val="20"/>
                <w:color w:val="auto"/>
              </w:rPr>
            </w:pPr>
            <w:r>
              <w:rPr>
                <w:rFonts w:ascii="Arial" w:cs="Arial" w:eastAsia="Arial" w:hAnsi="Arial"/>
                <w:sz w:val="18"/>
                <w:szCs w:val="18"/>
                <w:color w:val="auto"/>
              </w:rPr>
              <w:t>655</w:t>
            </w:r>
          </w:p>
        </w:tc>
        <w:tc>
          <w:tcPr>
            <w:tcW w:w="580" w:type="dxa"/>
            <w:vAlign w:val="bottom"/>
          </w:tcPr>
          <w:p>
            <w:pPr>
              <w:spacing w:after="0"/>
              <w:rPr>
                <w:sz w:val="21"/>
                <w:szCs w:val="21"/>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297</w:t>
            </w:r>
          </w:p>
        </w:tc>
        <w:tc>
          <w:tcPr>
            <w:tcW w:w="500" w:type="dxa"/>
            <w:vAlign w:val="bottom"/>
          </w:tcPr>
          <w:p>
            <w:pPr>
              <w:spacing w:after="0"/>
              <w:rPr>
                <w:sz w:val="21"/>
                <w:szCs w:val="21"/>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858</w:t>
            </w:r>
          </w:p>
        </w:tc>
      </w:tr>
      <w:tr>
        <w:trPr>
          <w:trHeight w:val="262"/>
        </w:trPr>
        <w:tc>
          <w:tcPr>
            <w:tcW w:w="45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480" w:type="dxa"/>
            <w:vAlign w:val="bottom"/>
          </w:tcPr>
          <w:p>
            <w:pPr>
              <w:spacing w:after="0"/>
              <w:rPr>
                <w:sz w:val="22"/>
                <w:szCs w:val="22"/>
                <w:color w:val="auto"/>
              </w:rPr>
            </w:pPr>
          </w:p>
        </w:tc>
        <w:tc>
          <w:tcPr>
            <w:tcW w:w="1260" w:type="dxa"/>
            <w:vAlign w:val="bottom"/>
            <w:tcBorders>
              <w:right w:val="single" w:sz="8" w:color="auto"/>
            </w:tcBorders>
          </w:tcPr>
          <w:p>
            <w:pPr>
              <w:jc w:val="right"/>
              <w:ind w:right="430"/>
              <w:spacing w:after="0"/>
              <w:rPr>
                <w:sz w:val="20"/>
                <w:szCs w:val="20"/>
                <w:color w:val="auto"/>
              </w:rPr>
            </w:pPr>
            <w:r>
              <w:rPr>
                <w:rFonts w:ascii="Arial" w:cs="Arial" w:eastAsia="Arial" w:hAnsi="Arial"/>
                <w:sz w:val="18"/>
                <w:szCs w:val="18"/>
                <w:color w:val="auto"/>
              </w:rPr>
              <w:t>(226)</w:t>
            </w:r>
          </w:p>
        </w:tc>
        <w:tc>
          <w:tcPr>
            <w:tcW w:w="580" w:type="dxa"/>
            <w:vAlign w:val="bottom"/>
          </w:tcPr>
          <w:p>
            <w:pPr>
              <w:spacing w:after="0"/>
              <w:rPr>
                <w:sz w:val="22"/>
                <w:szCs w:val="22"/>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(29)</w:t>
            </w:r>
          </w:p>
        </w:tc>
        <w:tc>
          <w:tcPr>
            <w:tcW w:w="500" w:type="dxa"/>
            <w:vAlign w:val="bottom"/>
          </w:tcPr>
          <w:p>
            <w:pPr>
              <w:spacing w:after="0"/>
              <w:rPr>
                <w:sz w:val="22"/>
                <w:szCs w:val="22"/>
                <w:color w:val="auto"/>
              </w:rPr>
            </w:pPr>
          </w:p>
        </w:tc>
        <w:tc>
          <w:tcPr>
            <w:tcW w:w="1100" w:type="dxa"/>
            <w:vAlign w:val="bottom"/>
          </w:tcPr>
          <w:p>
            <w:pPr>
              <w:jc w:val="right"/>
              <w:ind w:right="230"/>
              <w:spacing w:after="0"/>
              <w:rPr>
                <w:sz w:val="20"/>
                <w:szCs w:val="20"/>
                <w:color w:val="auto"/>
              </w:rPr>
            </w:pPr>
            <w:r>
              <w:rPr>
                <w:rFonts w:ascii="Arial" w:cs="Arial" w:eastAsia="Arial" w:hAnsi="Arial"/>
                <w:sz w:val="18"/>
                <w:szCs w:val="18"/>
                <w:color w:val="auto"/>
              </w:rPr>
              <w:t>(96)</w:t>
            </w:r>
          </w:p>
        </w:tc>
      </w:tr>
      <w:tr>
        <w:trPr>
          <w:trHeight w:val="270"/>
        </w:trPr>
        <w:tc>
          <w:tcPr>
            <w:tcW w:w="4580" w:type="dxa"/>
            <w:vAlign w:val="bottom"/>
          </w:tcPr>
          <w:p>
            <w:pPr>
              <w:spacing w:after="0"/>
              <w:rPr>
                <w:sz w:val="20"/>
                <w:szCs w:val="20"/>
                <w:color w:val="auto"/>
              </w:rPr>
            </w:pPr>
            <w:r>
              <w:rPr>
                <w:rFonts w:ascii="Arial" w:cs="Arial" w:eastAsia="Arial" w:hAnsi="Arial"/>
                <w:sz w:val="18"/>
                <w:szCs w:val="18"/>
                <w:color w:val="auto"/>
              </w:rPr>
              <w:t>Impairment charges</w:t>
            </w:r>
          </w:p>
        </w:tc>
        <w:tc>
          <w:tcPr>
            <w:tcW w:w="480" w:type="dxa"/>
            <w:vAlign w:val="bottom"/>
          </w:tcPr>
          <w:p>
            <w:pPr>
              <w:spacing w:after="0"/>
              <w:rPr>
                <w:sz w:val="23"/>
                <w:szCs w:val="23"/>
                <w:color w:val="auto"/>
              </w:rPr>
            </w:pPr>
          </w:p>
        </w:tc>
        <w:tc>
          <w:tcPr>
            <w:tcW w:w="1260" w:type="dxa"/>
            <w:vAlign w:val="bottom"/>
            <w:tcBorders>
              <w:right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3"/>
                <w:szCs w:val="23"/>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1100" w:type="dxa"/>
            <w:vAlign w:val="bottom"/>
          </w:tcPr>
          <w:p>
            <w:pPr>
              <w:jc w:val="right"/>
              <w:ind w:right="230"/>
              <w:spacing w:after="0"/>
              <w:rPr>
                <w:sz w:val="20"/>
                <w:szCs w:val="20"/>
                <w:color w:val="auto"/>
              </w:rPr>
            </w:pPr>
            <w:r>
              <w:rPr>
                <w:rFonts w:ascii="Arial" w:cs="Arial" w:eastAsia="Arial" w:hAnsi="Arial"/>
                <w:sz w:val="18"/>
                <w:szCs w:val="18"/>
                <w:color w:val="auto"/>
              </w:rPr>
              <w:t>(104)</w:t>
            </w:r>
          </w:p>
        </w:tc>
      </w:tr>
      <w:tr>
        <w:trPr>
          <w:trHeight w:val="293"/>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Restructuring and transaction-related items </w:t>
            </w:r>
            <w:r>
              <w:rPr>
                <w:rFonts w:ascii="Arial" w:cs="Arial" w:eastAsia="Arial" w:hAnsi="Arial"/>
                <w:sz w:val="23"/>
                <w:szCs w:val="23"/>
                <w:color w:val="auto"/>
                <w:vertAlign w:val="superscript"/>
              </w:rPr>
              <w:t>(a)</w:t>
            </w:r>
          </w:p>
        </w:tc>
        <w:tc>
          <w:tcPr>
            <w:tcW w:w="48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jc w:val="right"/>
              <w:ind w:right="430"/>
              <w:spacing w:after="0"/>
              <w:rPr>
                <w:sz w:val="20"/>
                <w:szCs w:val="20"/>
                <w:color w:val="auto"/>
              </w:rPr>
            </w:pPr>
            <w:r>
              <w:rPr>
                <w:rFonts w:ascii="Arial" w:cs="Arial" w:eastAsia="Arial" w:hAnsi="Arial"/>
                <w:sz w:val="18"/>
                <w:szCs w:val="18"/>
                <w:color w:val="auto"/>
              </w:rPr>
              <w:t>(185)</w:t>
            </w:r>
          </w:p>
        </w:tc>
        <w:tc>
          <w:tcPr>
            <w:tcW w:w="5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(188)</w:t>
            </w:r>
          </w:p>
        </w:tc>
        <w:tc>
          <w:tcPr>
            <w:tcW w:w="5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(321)</w:t>
            </w:r>
          </w:p>
        </w:tc>
      </w:tr>
      <w:tr>
        <w:trPr>
          <w:trHeight w:val="270"/>
        </w:trPr>
        <w:tc>
          <w:tcPr>
            <w:tcW w:w="45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Total Operating Income</w:t>
            </w: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jc w:val="right"/>
              <w:ind w:right="470"/>
              <w:spacing w:after="0"/>
              <w:rPr>
                <w:sz w:val="20"/>
                <w:szCs w:val="20"/>
                <w:color w:val="auto"/>
              </w:rPr>
            </w:pPr>
            <w:r>
              <w:rPr>
                <w:rFonts w:ascii="Arial" w:cs="Arial" w:eastAsia="Arial" w:hAnsi="Arial"/>
                <w:sz w:val="18"/>
                <w:szCs w:val="18"/>
                <w:color w:val="auto"/>
              </w:rPr>
              <w:t>244</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80</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337</w:t>
            </w:r>
          </w:p>
        </w:tc>
      </w:tr>
    </w:tbl>
    <w:p>
      <w:pPr>
        <w:spacing w:after="0" w:line="131" w:lineRule="exact"/>
        <w:rPr>
          <w:sz w:val="20"/>
          <w:szCs w:val="20"/>
          <w:color w:val="auto"/>
        </w:rPr>
      </w:pPr>
    </w:p>
    <w:p>
      <w:pPr>
        <w:ind w:left="980" w:right="980" w:hanging="243"/>
        <w:spacing w:after="0" w:line="273" w:lineRule="auto"/>
        <w:tabs>
          <w:tab w:leader="none" w:pos="966" w:val="left"/>
        </w:tabs>
        <w:numPr>
          <w:ilvl w:val="0"/>
          <w:numId w:val="12"/>
        </w:numPr>
        <w:rPr>
          <w:rFonts w:ascii="Arial" w:cs="Arial" w:eastAsia="Arial" w:hAnsi="Arial"/>
          <w:sz w:val="15"/>
          <w:szCs w:val="15"/>
          <w:color w:val="auto"/>
        </w:rPr>
      </w:pPr>
      <w:r>
        <w:rPr>
          <w:rFonts w:ascii="Arial" w:cs="Arial" w:eastAsia="Arial" w:hAnsi="Arial"/>
          <w:sz w:val="15"/>
          <w:szCs w:val="15"/>
          <w:color w:val="auto"/>
        </w:rPr>
        <w:t>For the Successor and Predecessor periods in 2025, stock-based compensation expense of $30 million and $10 million, respectively, is included in “Restructuring and transaction-related items.” For the Predecessor period in 2024, stock-based compensation expense of $20 million is included in “Restructuring and transaction-related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205"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22"/>
          <w:szCs w:val="22"/>
          <w:b w:val="1"/>
          <w:bCs w:val="1"/>
          <w:color w:val="auto"/>
        </w:rPr>
        <w:t>SUPPLEMENTAL DISCLOSURES REGARDING NON-GAAP FINANCIAL MEASURES (Continued)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in millions, except per share amounts)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Nine Months Ended September 30, 2025 and 2024</w:t>
      </w:r>
    </w:p>
    <w:p>
      <w:pPr>
        <w:spacing w:after="0" w:line="172" w:lineRule="exact"/>
        <w:rPr>
          <w:sz w:val="20"/>
          <w:szCs w:val="20"/>
          <w:color w:val="auto"/>
        </w:rPr>
      </w:pPr>
    </w:p>
    <w:tbl>
      <w:tblPr>
        <w:tblLayout w:type="fixed"/>
        <w:tblInd w:w="740" w:type="dxa"/>
        <w:tblCellMar>
          <w:top w:w="0" w:type="dxa"/>
          <w:left w:w="0" w:type="dxa"/>
          <w:bottom w:w="0" w:type="dxa"/>
          <w:right w:w="0" w:type="dxa"/>
        </w:tblCellMar>
      </w:tblPr>
      <w:tr>
        <w:trPr>
          <w:trHeight w:val="291"/>
        </w:trPr>
        <w:tc>
          <w:tcPr>
            <w:tcW w:w="3960" w:type="dxa"/>
            <w:vAlign w:val="bottom"/>
            <w:tcBorders>
              <w:top w:val="single" w:sz="8" w:color="auto"/>
            </w:tcBorders>
          </w:tcPr>
          <w:p>
            <w:pPr>
              <w:spacing w:after="0"/>
              <w:rPr>
                <w:sz w:val="24"/>
                <w:szCs w:val="24"/>
                <w:color w:val="auto"/>
              </w:rPr>
            </w:pPr>
          </w:p>
        </w:tc>
        <w:tc>
          <w:tcPr>
            <w:tcW w:w="1360" w:type="dxa"/>
            <w:vAlign w:val="bottom"/>
            <w:tcBorders>
              <w:top w:val="single" w:sz="8" w:color="auto"/>
              <w:bottom w:val="single" w:sz="8" w:color="auto"/>
              <w:right w:val="single" w:sz="8" w:color="auto"/>
            </w:tcBorders>
            <w:gridSpan w:val="2"/>
          </w:tcPr>
          <w:p>
            <w:pPr>
              <w:jc w:val="center"/>
              <w:ind w:right="11"/>
              <w:spacing w:after="0"/>
              <w:rPr>
                <w:sz w:val="20"/>
                <w:szCs w:val="20"/>
                <w:color w:val="auto"/>
              </w:rPr>
            </w:pPr>
            <w:r>
              <w:rPr>
                <w:rFonts w:ascii="Arial" w:cs="Arial" w:eastAsia="Arial" w:hAnsi="Arial"/>
                <w:sz w:val="18"/>
                <w:szCs w:val="18"/>
                <w:b w:val="1"/>
                <w:bCs w:val="1"/>
                <w:color w:val="auto"/>
                <w:w w:val="98"/>
              </w:rPr>
              <w:t>Successor</w:t>
            </w:r>
          </w:p>
        </w:tc>
        <w:tc>
          <w:tcPr>
            <w:tcW w:w="440" w:type="dxa"/>
            <w:vAlign w:val="bottom"/>
            <w:tcBorders>
              <w:top w:val="single" w:sz="8" w:color="auto"/>
              <w:bottom w:val="single" w:sz="8" w:color="auto"/>
            </w:tcBorders>
          </w:tcPr>
          <w:p>
            <w:pPr>
              <w:spacing w:after="0"/>
              <w:rPr>
                <w:sz w:val="24"/>
                <w:szCs w:val="24"/>
                <w:color w:val="auto"/>
              </w:rPr>
            </w:pPr>
          </w:p>
        </w:tc>
        <w:tc>
          <w:tcPr>
            <w:tcW w:w="2300" w:type="dxa"/>
            <w:vAlign w:val="bottom"/>
            <w:tcBorders>
              <w:top w:val="single" w:sz="8" w:color="auto"/>
              <w:bottom w:val="single" w:sz="8" w:color="auto"/>
            </w:tcBorders>
            <w:gridSpan w:val="3"/>
          </w:tcPr>
          <w:p>
            <w:pPr>
              <w:jc w:val="right"/>
              <w:ind w:right="691"/>
              <w:spacing w:after="0"/>
              <w:rPr>
                <w:sz w:val="20"/>
                <w:szCs w:val="20"/>
                <w:color w:val="auto"/>
              </w:rPr>
            </w:pPr>
            <w:r>
              <w:rPr>
                <w:rFonts w:ascii="Arial" w:cs="Arial" w:eastAsia="Arial" w:hAnsi="Arial"/>
                <w:sz w:val="18"/>
                <w:szCs w:val="18"/>
                <w:b w:val="1"/>
                <w:bCs w:val="1"/>
                <w:color w:val="auto"/>
              </w:rPr>
              <w:t>Predecessor</w:t>
            </w:r>
          </w:p>
        </w:tc>
      </w:tr>
      <w:tr>
        <w:trPr>
          <w:trHeight w:val="215"/>
        </w:trPr>
        <w:tc>
          <w:tcPr>
            <w:tcW w:w="3960" w:type="dxa"/>
            <w:vAlign w:val="bottom"/>
          </w:tcPr>
          <w:p>
            <w:pPr>
              <w:spacing w:after="0"/>
              <w:rPr>
                <w:sz w:val="18"/>
                <w:szCs w:val="18"/>
                <w:color w:val="auto"/>
              </w:rPr>
            </w:pPr>
          </w:p>
        </w:tc>
        <w:tc>
          <w:tcPr>
            <w:tcW w:w="136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Period From</w:t>
            </w:r>
          </w:p>
        </w:tc>
        <w:tc>
          <w:tcPr>
            <w:tcW w:w="13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Period From</w:t>
            </w:r>
          </w:p>
        </w:tc>
        <w:tc>
          <w:tcPr>
            <w:tcW w:w="14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Nine Months</w:t>
            </w:r>
          </w:p>
        </w:tc>
      </w:tr>
      <w:tr>
        <w:trPr>
          <w:trHeight w:val="189"/>
        </w:trPr>
        <w:tc>
          <w:tcPr>
            <w:tcW w:w="3960" w:type="dxa"/>
            <w:vAlign w:val="bottom"/>
          </w:tcPr>
          <w:p>
            <w:pPr>
              <w:spacing w:after="0"/>
              <w:rPr>
                <w:sz w:val="16"/>
                <w:szCs w:val="16"/>
                <w:color w:val="auto"/>
              </w:rPr>
            </w:pPr>
          </w:p>
        </w:tc>
        <w:tc>
          <w:tcPr>
            <w:tcW w:w="1360" w:type="dxa"/>
            <w:vAlign w:val="bottom"/>
            <w:tcBorders>
              <w:right w:val="single" w:sz="8" w:color="auto"/>
            </w:tcBorders>
            <w:gridSpan w:val="2"/>
          </w:tcPr>
          <w:p>
            <w:pPr>
              <w:jc w:val="center"/>
              <w:ind w:right="11"/>
              <w:spacing w:after="0"/>
              <w:rPr>
                <w:sz w:val="20"/>
                <w:szCs w:val="20"/>
                <w:color w:val="auto"/>
              </w:rPr>
            </w:pPr>
            <w:r>
              <w:rPr>
                <w:rFonts w:ascii="Arial" w:cs="Arial" w:eastAsia="Arial" w:hAnsi="Arial"/>
                <w:sz w:val="16"/>
                <w:szCs w:val="16"/>
                <w:b w:val="1"/>
                <w:bCs w:val="1"/>
                <w:color w:val="auto"/>
                <w:w w:val="99"/>
              </w:rPr>
              <w:t>August 7 -</w:t>
            </w:r>
          </w:p>
        </w:tc>
        <w:tc>
          <w:tcPr>
            <w:tcW w:w="1340" w:type="dxa"/>
            <w:vAlign w:val="bottom"/>
            <w:gridSpan w:val="2"/>
          </w:tcPr>
          <w:p>
            <w:pPr>
              <w:jc w:val="center"/>
              <w:spacing w:after="0"/>
              <w:rPr>
                <w:sz w:val="20"/>
                <w:szCs w:val="20"/>
                <w:color w:val="auto"/>
              </w:rPr>
            </w:pPr>
            <w:r>
              <w:rPr>
                <w:rFonts w:ascii="Arial" w:cs="Arial" w:eastAsia="Arial" w:hAnsi="Arial"/>
                <w:sz w:val="16"/>
                <w:szCs w:val="16"/>
                <w:b w:val="1"/>
                <w:bCs w:val="1"/>
                <w:color w:val="auto"/>
              </w:rPr>
              <w:t>January 1 -</w:t>
            </w:r>
          </w:p>
        </w:tc>
        <w:tc>
          <w:tcPr>
            <w:tcW w:w="440" w:type="dxa"/>
            <w:vAlign w:val="bottom"/>
          </w:tcPr>
          <w:p>
            <w:pPr>
              <w:spacing w:after="0"/>
              <w:rPr>
                <w:sz w:val="16"/>
                <w:szCs w:val="16"/>
                <w:color w:val="auto"/>
              </w:rPr>
            </w:pPr>
          </w:p>
        </w:tc>
        <w:tc>
          <w:tcPr>
            <w:tcW w:w="960" w:type="dxa"/>
            <w:vAlign w:val="bottom"/>
          </w:tcPr>
          <w:p>
            <w:pPr>
              <w:jc w:val="center"/>
              <w:ind w:right="311"/>
              <w:spacing w:after="0"/>
              <w:rPr>
                <w:sz w:val="20"/>
                <w:szCs w:val="20"/>
                <w:color w:val="auto"/>
              </w:rPr>
            </w:pPr>
            <w:r>
              <w:rPr>
                <w:rFonts w:ascii="Arial" w:cs="Arial" w:eastAsia="Arial" w:hAnsi="Arial"/>
                <w:sz w:val="16"/>
                <w:szCs w:val="16"/>
                <w:b w:val="1"/>
                <w:bCs w:val="1"/>
                <w:color w:val="auto"/>
                <w:w w:val="98"/>
              </w:rPr>
              <w:t>Ended</w:t>
            </w:r>
          </w:p>
        </w:tc>
      </w:tr>
      <w:tr>
        <w:trPr>
          <w:trHeight w:val="226"/>
        </w:trPr>
        <w:tc>
          <w:tcPr>
            <w:tcW w:w="3960" w:type="dxa"/>
            <w:vAlign w:val="bottom"/>
          </w:tcPr>
          <w:p>
            <w:pPr>
              <w:spacing w:after="0"/>
              <w:rPr>
                <w:sz w:val="19"/>
                <w:szCs w:val="19"/>
                <w:color w:val="auto"/>
              </w:rPr>
            </w:pPr>
          </w:p>
        </w:tc>
        <w:tc>
          <w:tcPr>
            <w:tcW w:w="1360" w:type="dxa"/>
            <w:vAlign w:val="bottom"/>
            <w:tcBorders>
              <w:bottom w:val="single" w:sz="8" w:color="auto"/>
              <w:right w:val="single" w:sz="8" w:color="auto"/>
            </w:tcBorders>
            <w:gridSpan w:val="2"/>
          </w:tcPr>
          <w:p>
            <w:pPr>
              <w:jc w:val="center"/>
              <w:ind w:right="11"/>
              <w:spacing w:after="0"/>
              <w:rPr>
                <w:sz w:val="20"/>
                <w:szCs w:val="20"/>
                <w:color w:val="auto"/>
              </w:rPr>
            </w:pPr>
            <w:r>
              <w:rPr>
                <w:rFonts w:ascii="Arial" w:cs="Arial" w:eastAsia="Arial" w:hAnsi="Arial"/>
                <w:sz w:val="16"/>
                <w:szCs w:val="16"/>
                <w:b w:val="1"/>
                <w:bCs w:val="1"/>
                <w:color w:val="auto"/>
              </w:rPr>
              <w:t>September 30,</w:t>
            </w: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August 6,</w:t>
            </w: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September 30,</w:t>
            </w:r>
          </w:p>
        </w:tc>
      </w:tr>
      <w:tr>
        <w:trPr>
          <w:trHeight w:val="236"/>
        </w:trPr>
        <w:tc>
          <w:tcPr>
            <w:tcW w:w="39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jc w:val="center"/>
              <w:ind w:right="371"/>
              <w:spacing w:after="0"/>
              <w:rPr>
                <w:sz w:val="20"/>
                <w:szCs w:val="20"/>
                <w:color w:val="auto"/>
              </w:rPr>
            </w:pPr>
            <w:r>
              <w:rPr>
                <w:rFonts w:ascii="Arial" w:cs="Arial" w:eastAsia="Arial" w:hAnsi="Arial"/>
                <w:sz w:val="16"/>
                <w:szCs w:val="16"/>
                <w:b w:val="1"/>
                <w:bCs w:val="1"/>
                <w:color w:val="auto"/>
              </w:rPr>
              <w:t>2025</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291"/>
              <w:spacing w:after="0"/>
              <w:rPr>
                <w:sz w:val="20"/>
                <w:szCs w:val="20"/>
                <w:color w:val="auto"/>
              </w:rPr>
            </w:pPr>
            <w:r>
              <w:rPr>
                <w:rFonts w:ascii="Arial" w:cs="Arial" w:eastAsia="Arial" w:hAnsi="Arial"/>
                <w:sz w:val="16"/>
                <w:szCs w:val="16"/>
                <w:b w:val="1"/>
                <w:bCs w:val="1"/>
                <w:color w:val="auto"/>
              </w:rPr>
              <w:t>2025</w:t>
            </w:r>
          </w:p>
        </w:tc>
        <w:tc>
          <w:tcPr>
            <w:tcW w:w="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11"/>
              <w:spacing w:after="0"/>
              <w:rPr>
                <w:sz w:val="20"/>
                <w:szCs w:val="20"/>
                <w:color w:val="auto"/>
              </w:rPr>
            </w:pPr>
            <w:r>
              <w:rPr>
                <w:rFonts w:ascii="Arial" w:cs="Arial" w:eastAsia="Arial" w:hAnsi="Arial"/>
                <w:sz w:val="16"/>
                <w:szCs w:val="16"/>
                <w:b w:val="1"/>
                <w:bCs w:val="1"/>
                <w:color w:val="auto"/>
              </w:rPr>
              <w:t>2024</w:t>
            </w:r>
          </w:p>
        </w:tc>
      </w:tr>
      <w:tr>
        <w:trPr>
          <w:trHeight w:val="252"/>
        </w:trPr>
        <w:tc>
          <w:tcPr>
            <w:tcW w:w="3960" w:type="dxa"/>
            <w:vAlign w:val="bottom"/>
          </w:tcPr>
          <w:p>
            <w:pPr>
              <w:ind w:left="20"/>
              <w:spacing w:after="0"/>
              <w:rPr>
                <w:sz w:val="20"/>
                <w:szCs w:val="20"/>
                <w:color w:val="auto"/>
              </w:rPr>
            </w:pPr>
            <w:r>
              <w:rPr>
                <w:rFonts w:ascii="Arial" w:cs="Arial" w:eastAsia="Arial" w:hAnsi="Arial"/>
                <w:sz w:val="18"/>
                <w:szCs w:val="18"/>
                <w:b w:val="1"/>
                <w:bCs w:val="1"/>
                <w:color w:val="auto"/>
              </w:rPr>
              <w:t>Adjusted OIBDA:</w:t>
            </w:r>
          </w:p>
        </w:tc>
        <w:tc>
          <w:tcPr>
            <w:tcW w:w="38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62"/>
        </w:trPr>
        <w:tc>
          <w:tcPr>
            <w:tcW w:w="3960" w:type="dxa"/>
            <w:vAlign w:val="bottom"/>
          </w:tcPr>
          <w:p>
            <w:pPr>
              <w:ind w:left="140"/>
              <w:spacing w:after="0"/>
              <w:rPr>
                <w:sz w:val="20"/>
                <w:szCs w:val="20"/>
                <w:color w:val="auto"/>
              </w:rPr>
            </w:pPr>
            <w:r>
              <w:rPr>
                <w:rFonts w:ascii="Arial" w:cs="Arial" w:eastAsia="Arial" w:hAnsi="Arial"/>
                <w:sz w:val="18"/>
                <w:szCs w:val="18"/>
                <w:color w:val="auto"/>
              </w:rPr>
              <w:t>TV Media</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auto"/>
            </w:tcBorders>
          </w:tcPr>
          <w:p>
            <w:pPr>
              <w:jc w:val="right"/>
              <w:ind w:right="271"/>
              <w:spacing w:after="0"/>
              <w:rPr>
                <w:sz w:val="20"/>
                <w:szCs w:val="20"/>
                <w:color w:val="auto"/>
              </w:rPr>
            </w:pPr>
            <w:r>
              <w:rPr>
                <w:rFonts w:ascii="Arial" w:cs="Arial" w:eastAsia="Arial" w:hAnsi="Arial"/>
                <w:sz w:val="18"/>
                <w:szCs w:val="18"/>
                <w:color w:val="auto"/>
              </w:rPr>
              <w:t>540</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91"/>
              <w:spacing w:after="0"/>
              <w:rPr>
                <w:sz w:val="20"/>
                <w:szCs w:val="20"/>
                <w:color w:val="auto"/>
              </w:rPr>
            </w:pPr>
            <w:r>
              <w:rPr>
                <w:rFonts w:ascii="Arial" w:cs="Arial" w:eastAsia="Arial" w:hAnsi="Arial"/>
                <w:sz w:val="18"/>
                <w:szCs w:val="18"/>
                <w:color w:val="auto"/>
              </w:rPr>
              <w:t>2,067</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11"/>
              <w:spacing w:after="0"/>
              <w:rPr>
                <w:sz w:val="20"/>
                <w:szCs w:val="20"/>
                <w:color w:val="auto"/>
              </w:rPr>
            </w:pPr>
            <w:r>
              <w:rPr>
                <w:rFonts w:ascii="Arial" w:cs="Arial" w:eastAsia="Arial" w:hAnsi="Arial"/>
                <w:sz w:val="18"/>
                <w:szCs w:val="18"/>
                <w:color w:val="auto"/>
              </w:rPr>
              <w:t>3,399</w:t>
            </w:r>
          </w:p>
        </w:tc>
      </w:tr>
      <w:tr>
        <w:trPr>
          <w:trHeight w:val="270"/>
        </w:trPr>
        <w:tc>
          <w:tcPr>
            <w:tcW w:w="3960" w:type="dxa"/>
            <w:vAlign w:val="bottom"/>
          </w:tcPr>
          <w:p>
            <w:pPr>
              <w:ind w:left="140"/>
              <w:spacing w:after="0"/>
              <w:rPr>
                <w:sz w:val="20"/>
                <w:szCs w:val="20"/>
                <w:color w:val="auto"/>
              </w:rPr>
            </w:pPr>
            <w:r>
              <w:rPr>
                <w:rFonts w:ascii="Arial" w:cs="Arial" w:eastAsia="Arial" w:hAnsi="Arial"/>
                <w:sz w:val="18"/>
                <w:szCs w:val="18"/>
                <w:color w:val="auto"/>
              </w:rPr>
              <w:t>Direct-to-Consumer</w:t>
            </w:r>
          </w:p>
        </w:tc>
        <w:tc>
          <w:tcPr>
            <w:tcW w:w="380" w:type="dxa"/>
            <w:vAlign w:val="bottom"/>
          </w:tcPr>
          <w:p>
            <w:pPr>
              <w:spacing w:after="0"/>
              <w:rPr>
                <w:sz w:val="23"/>
                <w:szCs w:val="23"/>
                <w:color w:val="auto"/>
              </w:rPr>
            </w:pPr>
          </w:p>
        </w:tc>
        <w:tc>
          <w:tcPr>
            <w:tcW w:w="980" w:type="dxa"/>
            <w:vAlign w:val="bottom"/>
            <w:tcBorders>
              <w:right w:val="single" w:sz="8" w:color="auto"/>
            </w:tcBorders>
          </w:tcPr>
          <w:p>
            <w:pPr>
              <w:jc w:val="right"/>
              <w:ind w:right="271"/>
              <w:spacing w:after="0"/>
              <w:rPr>
                <w:sz w:val="20"/>
                <w:szCs w:val="20"/>
                <w:color w:val="auto"/>
              </w:rPr>
            </w:pPr>
            <w:r>
              <w:rPr>
                <w:rFonts w:ascii="Arial" w:cs="Arial" w:eastAsia="Arial" w:hAnsi="Arial"/>
                <w:sz w:val="18"/>
                <w:szCs w:val="18"/>
                <w:color w:val="auto"/>
              </w:rPr>
              <w:t>235</w:t>
            </w:r>
          </w:p>
        </w:tc>
        <w:tc>
          <w:tcPr>
            <w:tcW w:w="440" w:type="dxa"/>
            <w:vAlign w:val="bottom"/>
          </w:tcPr>
          <w:p>
            <w:pPr>
              <w:spacing w:after="0"/>
              <w:rPr>
                <w:sz w:val="23"/>
                <w:szCs w:val="23"/>
                <w:color w:val="auto"/>
              </w:rPr>
            </w:pPr>
          </w:p>
        </w:tc>
        <w:tc>
          <w:tcPr>
            <w:tcW w:w="900" w:type="dxa"/>
            <w:vAlign w:val="bottom"/>
          </w:tcPr>
          <w:p>
            <w:pPr>
              <w:jc w:val="right"/>
              <w:ind w:right="191"/>
              <w:spacing w:after="0"/>
              <w:rPr>
                <w:sz w:val="20"/>
                <w:szCs w:val="20"/>
                <w:color w:val="auto"/>
              </w:rPr>
            </w:pPr>
            <w:r>
              <w:rPr>
                <w:rFonts w:ascii="Arial" w:cs="Arial" w:eastAsia="Arial" w:hAnsi="Arial"/>
                <w:sz w:val="18"/>
                <w:szCs w:val="18"/>
                <w:color w:val="auto"/>
              </w:rPr>
              <w:t>153</w:t>
            </w:r>
          </w:p>
        </w:tc>
        <w:tc>
          <w:tcPr>
            <w:tcW w:w="440" w:type="dxa"/>
            <w:vAlign w:val="bottom"/>
          </w:tcPr>
          <w:p>
            <w:pPr>
              <w:spacing w:after="0"/>
              <w:rPr>
                <w:sz w:val="23"/>
                <w:szCs w:val="23"/>
                <w:color w:val="auto"/>
              </w:rPr>
            </w:pPr>
          </w:p>
        </w:tc>
        <w:tc>
          <w:tcPr>
            <w:tcW w:w="960" w:type="dxa"/>
            <w:vAlign w:val="bottom"/>
          </w:tcPr>
          <w:p>
            <w:pPr>
              <w:jc w:val="right"/>
              <w:ind w:right="171"/>
              <w:spacing w:after="0"/>
              <w:rPr>
                <w:sz w:val="20"/>
                <w:szCs w:val="20"/>
                <w:color w:val="auto"/>
              </w:rPr>
            </w:pPr>
            <w:r>
              <w:rPr>
                <w:rFonts w:ascii="Arial" w:cs="Arial" w:eastAsia="Arial" w:hAnsi="Arial"/>
                <w:sz w:val="18"/>
                <w:szCs w:val="18"/>
                <w:color w:val="auto"/>
              </w:rPr>
              <w:t>(211)</w:t>
            </w:r>
          </w:p>
        </w:tc>
      </w:tr>
      <w:tr>
        <w:trPr>
          <w:trHeight w:val="270"/>
        </w:trPr>
        <w:tc>
          <w:tcPr>
            <w:tcW w:w="3960" w:type="dxa"/>
            <w:vAlign w:val="bottom"/>
          </w:tcPr>
          <w:p>
            <w:pPr>
              <w:ind w:left="140"/>
              <w:spacing w:after="0"/>
              <w:rPr>
                <w:sz w:val="20"/>
                <w:szCs w:val="20"/>
                <w:color w:val="auto"/>
              </w:rPr>
            </w:pPr>
            <w:r>
              <w:rPr>
                <w:rFonts w:ascii="Arial" w:cs="Arial" w:eastAsia="Arial" w:hAnsi="Arial"/>
                <w:sz w:val="18"/>
                <w:szCs w:val="18"/>
                <w:color w:val="auto"/>
              </w:rPr>
              <w:t>Filmed Entertainment</w:t>
            </w:r>
          </w:p>
        </w:tc>
        <w:tc>
          <w:tcPr>
            <w:tcW w:w="380" w:type="dxa"/>
            <w:vAlign w:val="bottom"/>
          </w:tcPr>
          <w:p>
            <w:pPr>
              <w:spacing w:after="0"/>
              <w:rPr>
                <w:sz w:val="23"/>
                <w:szCs w:val="23"/>
                <w:color w:val="auto"/>
              </w:rPr>
            </w:pPr>
          </w:p>
        </w:tc>
        <w:tc>
          <w:tcPr>
            <w:tcW w:w="980" w:type="dxa"/>
            <w:vAlign w:val="bottom"/>
            <w:tcBorders>
              <w:right w:val="single" w:sz="8" w:color="auto"/>
            </w:tcBorders>
          </w:tcPr>
          <w:p>
            <w:pPr>
              <w:jc w:val="right"/>
              <w:ind w:right="231"/>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23"/>
                <w:szCs w:val="23"/>
                <w:color w:val="auto"/>
              </w:rPr>
            </w:pPr>
          </w:p>
        </w:tc>
        <w:tc>
          <w:tcPr>
            <w:tcW w:w="900" w:type="dxa"/>
            <w:vAlign w:val="bottom"/>
          </w:tcPr>
          <w:p>
            <w:pPr>
              <w:jc w:val="right"/>
              <w:ind w:right="151"/>
              <w:spacing w:after="0"/>
              <w:rPr>
                <w:sz w:val="20"/>
                <w:szCs w:val="20"/>
                <w:color w:val="auto"/>
              </w:rPr>
            </w:pPr>
            <w:r>
              <w:rPr>
                <w:rFonts w:ascii="Arial" w:cs="Arial" w:eastAsia="Arial" w:hAnsi="Arial"/>
                <w:sz w:val="18"/>
                <w:szCs w:val="18"/>
                <w:color w:val="auto"/>
              </w:rPr>
              <w:t>(100)</w:t>
            </w:r>
          </w:p>
        </w:tc>
        <w:tc>
          <w:tcPr>
            <w:tcW w:w="440" w:type="dxa"/>
            <w:vAlign w:val="bottom"/>
          </w:tcPr>
          <w:p>
            <w:pPr>
              <w:spacing w:after="0"/>
              <w:rPr>
                <w:sz w:val="23"/>
                <w:szCs w:val="23"/>
                <w:color w:val="auto"/>
              </w:rPr>
            </w:pPr>
          </w:p>
        </w:tc>
        <w:tc>
          <w:tcPr>
            <w:tcW w:w="960" w:type="dxa"/>
            <w:vAlign w:val="bottom"/>
          </w:tcPr>
          <w:p>
            <w:pPr>
              <w:jc w:val="right"/>
              <w:ind w:right="171"/>
              <w:spacing w:after="0"/>
              <w:rPr>
                <w:sz w:val="20"/>
                <w:szCs w:val="20"/>
                <w:color w:val="auto"/>
              </w:rPr>
            </w:pPr>
            <w:r>
              <w:rPr>
                <w:rFonts w:ascii="Arial" w:cs="Arial" w:eastAsia="Arial" w:hAnsi="Arial"/>
                <w:sz w:val="18"/>
                <w:szCs w:val="18"/>
                <w:color w:val="auto"/>
              </w:rPr>
              <w:t>(54)</w:t>
            </w:r>
          </w:p>
        </w:tc>
      </w:tr>
      <w:tr>
        <w:trPr>
          <w:trHeight w:val="270"/>
        </w:trPr>
        <w:tc>
          <w:tcPr>
            <w:tcW w:w="3960" w:type="dxa"/>
            <w:vAlign w:val="bottom"/>
          </w:tcPr>
          <w:p>
            <w:pPr>
              <w:ind w:left="140"/>
              <w:spacing w:after="0"/>
              <w:rPr>
                <w:sz w:val="20"/>
                <w:szCs w:val="20"/>
                <w:color w:val="auto"/>
              </w:rPr>
            </w:pPr>
            <w:r>
              <w:rPr>
                <w:rFonts w:ascii="Arial" w:cs="Arial" w:eastAsia="Arial" w:hAnsi="Arial"/>
                <w:sz w:val="18"/>
                <w:szCs w:val="18"/>
                <w:color w:val="auto"/>
              </w:rPr>
              <w:t>Corporate/Eliminations</w:t>
            </w:r>
          </w:p>
        </w:tc>
        <w:tc>
          <w:tcPr>
            <w:tcW w:w="380" w:type="dxa"/>
            <w:vAlign w:val="bottom"/>
          </w:tcPr>
          <w:p>
            <w:pPr>
              <w:spacing w:after="0"/>
              <w:rPr>
                <w:sz w:val="23"/>
                <w:szCs w:val="23"/>
                <w:color w:val="auto"/>
              </w:rPr>
            </w:pPr>
          </w:p>
        </w:tc>
        <w:tc>
          <w:tcPr>
            <w:tcW w:w="980" w:type="dxa"/>
            <w:vAlign w:val="bottom"/>
            <w:tcBorders>
              <w:right w:val="single" w:sz="8" w:color="auto"/>
            </w:tcBorders>
          </w:tcPr>
          <w:p>
            <w:pPr>
              <w:jc w:val="right"/>
              <w:ind w:right="231"/>
              <w:spacing w:after="0"/>
              <w:rPr>
                <w:sz w:val="20"/>
                <w:szCs w:val="20"/>
                <w:color w:val="auto"/>
              </w:rPr>
            </w:pPr>
            <w:r>
              <w:rPr>
                <w:rFonts w:ascii="Arial" w:cs="Arial" w:eastAsia="Arial" w:hAnsi="Arial"/>
                <w:sz w:val="18"/>
                <w:szCs w:val="18"/>
                <w:color w:val="auto"/>
              </w:rPr>
              <w:t>(78)</w:t>
            </w:r>
          </w:p>
        </w:tc>
        <w:tc>
          <w:tcPr>
            <w:tcW w:w="440" w:type="dxa"/>
            <w:vAlign w:val="bottom"/>
          </w:tcPr>
          <w:p>
            <w:pPr>
              <w:spacing w:after="0"/>
              <w:rPr>
                <w:sz w:val="23"/>
                <w:szCs w:val="23"/>
                <w:color w:val="auto"/>
              </w:rPr>
            </w:pPr>
          </w:p>
        </w:tc>
        <w:tc>
          <w:tcPr>
            <w:tcW w:w="900" w:type="dxa"/>
            <w:vAlign w:val="bottom"/>
          </w:tcPr>
          <w:p>
            <w:pPr>
              <w:jc w:val="right"/>
              <w:ind w:right="151"/>
              <w:spacing w:after="0"/>
              <w:rPr>
                <w:sz w:val="20"/>
                <w:szCs w:val="20"/>
                <w:color w:val="auto"/>
              </w:rPr>
            </w:pPr>
            <w:r>
              <w:rPr>
                <w:rFonts w:ascii="Arial" w:cs="Arial" w:eastAsia="Arial" w:hAnsi="Arial"/>
                <w:sz w:val="18"/>
                <w:szCs w:val="18"/>
                <w:color w:val="auto"/>
              </w:rPr>
              <w:t>(212)</w:t>
            </w:r>
          </w:p>
        </w:tc>
        <w:tc>
          <w:tcPr>
            <w:tcW w:w="440" w:type="dxa"/>
            <w:vAlign w:val="bottom"/>
          </w:tcPr>
          <w:p>
            <w:pPr>
              <w:spacing w:after="0"/>
              <w:rPr>
                <w:sz w:val="23"/>
                <w:szCs w:val="23"/>
                <w:color w:val="auto"/>
              </w:rPr>
            </w:pPr>
          </w:p>
        </w:tc>
        <w:tc>
          <w:tcPr>
            <w:tcW w:w="960" w:type="dxa"/>
            <w:vAlign w:val="bottom"/>
          </w:tcPr>
          <w:p>
            <w:pPr>
              <w:jc w:val="right"/>
              <w:ind w:right="171"/>
              <w:spacing w:after="0"/>
              <w:rPr>
                <w:sz w:val="20"/>
                <w:szCs w:val="20"/>
                <w:color w:val="auto"/>
              </w:rPr>
            </w:pPr>
            <w:r>
              <w:rPr>
                <w:rFonts w:ascii="Arial" w:cs="Arial" w:eastAsia="Arial" w:hAnsi="Arial"/>
                <w:sz w:val="18"/>
                <w:szCs w:val="18"/>
                <w:color w:val="auto"/>
              </w:rPr>
              <w:t>(281)</w:t>
            </w:r>
          </w:p>
        </w:tc>
      </w:tr>
      <w:tr>
        <w:trPr>
          <w:trHeight w:val="293"/>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xml:space="preserve">Stock-based compensation </w:t>
            </w:r>
            <w:r>
              <w:rPr>
                <w:rFonts w:ascii="Arial" w:cs="Arial" w:eastAsia="Arial" w:hAnsi="Arial"/>
                <w:sz w:val="23"/>
                <w:szCs w:val="23"/>
                <w:color w:val="auto"/>
                <w:vertAlign w:val="superscript"/>
              </w:rPr>
              <w:t>(a)</w:t>
            </w: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jc w:val="right"/>
              <w:ind w:right="231"/>
              <w:spacing w:after="0"/>
              <w:rPr>
                <w:sz w:val="20"/>
                <w:szCs w:val="20"/>
                <w:color w:val="auto"/>
              </w:rPr>
            </w:pPr>
            <w:r>
              <w:rPr>
                <w:rFonts w:ascii="Arial" w:cs="Arial" w:eastAsia="Arial" w:hAnsi="Arial"/>
                <w:sz w:val="18"/>
                <w:szCs w:val="18"/>
                <w:color w:val="auto"/>
              </w:rPr>
              <w:t>(29)</w:t>
            </w: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(99)</w:t>
            </w:r>
          </w:p>
        </w:tc>
        <w:tc>
          <w:tcPr>
            <w:tcW w:w="4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(141)</w:t>
            </w:r>
          </w:p>
        </w:tc>
      </w:tr>
      <w:tr>
        <w:trPr>
          <w:trHeight w:val="248"/>
        </w:trPr>
        <w:tc>
          <w:tcPr>
            <w:tcW w:w="3960" w:type="dxa"/>
            <w:vAlign w:val="bottom"/>
          </w:tcPr>
          <w:p>
            <w:pPr>
              <w:ind w:left="220"/>
              <w:spacing w:after="0"/>
              <w:rPr>
                <w:sz w:val="20"/>
                <w:szCs w:val="20"/>
                <w:color w:val="auto"/>
              </w:rPr>
            </w:pPr>
            <w:r>
              <w:rPr>
                <w:rFonts w:ascii="Arial" w:cs="Arial" w:eastAsia="Arial" w:hAnsi="Arial"/>
                <w:sz w:val="18"/>
                <w:szCs w:val="18"/>
                <w:b w:val="1"/>
                <w:bCs w:val="1"/>
                <w:color w:val="auto"/>
              </w:rPr>
              <w:t>Total Adjusted OIBDA</w:t>
            </w:r>
          </w:p>
        </w:tc>
        <w:tc>
          <w:tcPr>
            <w:tcW w:w="380" w:type="dxa"/>
            <w:vAlign w:val="bottom"/>
          </w:tcPr>
          <w:p>
            <w:pPr>
              <w:spacing w:after="0"/>
              <w:rPr>
                <w:sz w:val="21"/>
                <w:szCs w:val="21"/>
                <w:color w:val="auto"/>
              </w:rPr>
            </w:pPr>
          </w:p>
        </w:tc>
        <w:tc>
          <w:tcPr>
            <w:tcW w:w="980" w:type="dxa"/>
            <w:vAlign w:val="bottom"/>
            <w:tcBorders>
              <w:right w:val="single" w:sz="8" w:color="auto"/>
            </w:tcBorders>
          </w:tcPr>
          <w:p>
            <w:pPr>
              <w:jc w:val="right"/>
              <w:ind w:right="271"/>
              <w:spacing w:after="0"/>
              <w:rPr>
                <w:sz w:val="20"/>
                <w:szCs w:val="20"/>
                <w:color w:val="auto"/>
              </w:rPr>
            </w:pPr>
            <w:r>
              <w:rPr>
                <w:rFonts w:ascii="Arial" w:cs="Arial" w:eastAsia="Arial" w:hAnsi="Arial"/>
                <w:sz w:val="18"/>
                <w:szCs w:val="18"/>
                <w:color w:val="auto"/>
              </w:rPr>
              <w:t>655</w:t>
            </w:r>
          </w:p>
        </w:tc>
        <w:tc>
          <w:tcPr>
            <w:tcW w:w="440" w:type="dxa"/>
            <w:vAlign w:val="bottom"/>
          </w:tcPr>
          <w:p>
            <w:pPr>
              <w:spacing w:after="0"/>
              <w:rPr>
                <w:sz w:val="21"/>
                <w:szCs w:val="21"/>
                <w:color w:val="auto"/>
              </w:rPr>
            </w:pPr>
          </w:p>
        </w:tc>
        <w:tc>
          <w:tcPr>
            <w:tcW w:w="900" w:type="dxa"/>
            <w:vAlign w:val="bottom"/>
          </w:tcPr>
          <w:p>
            <w:pPr>
              <w:jc w:val="right"/>
              <w:ind w:right="191"/>
              <w:spacing w:after="0"/>
              <w:rPr>
                <w:sz w:val="20"/>
                <w:szCs w:val="20"/>
                <w:color w:val="auto"/>
              </w:rPr>
            </w:pPr>
            <w:r>
              <w:rPr>
                <w:rFonts w:ascii="Arial" w:cs="Arial" w:eastAsia="Arial" w:hAnsi="Arial"/>
                <w:sz w:val="18"/>
                <w:szCs w:val="18"/>
                <w:color w:val="auto"/>
              </w:rPr>
              <w:t>1,809</w:t>
            </w:r>
          </w:p>
        </w:tc>
        <w:tc>
          <w:tcPr>
            <w:tcW w:w="440" w:type="dxa"/>
            <w:vAlign w:val="bottom"/>
          </w:tcPr>
          <w:p>
            <w:pPr>
              <w:spacing w:after="0"/>
              <w:rPr>
                <w:sz w:val="21"/>
                <w:szCs w:val="21"/>
                <w:color w:val="auto"/>
              </w:rPr>
            </w:pPr>
          </w:p>
        </w:tc>
        <w:tc>
          <w:tcPr>
            <w:tcW w:w="960" w:type="dxa"/>
            <w:vAlign w:val="bottom"/>
          </w:tcPr>
          <w:p>
            <w:pPr>
              <w:jc w:val="right"/>
              <w:ind w:right="211"/>
              <w:spacing w:after="0"/>
              <w:rPr>
                <w:sz w:val="20"/>
                <w:szCs w:val="20"/>
                <w:color w:val="auto"/>
              </w:rPr>
            </w:pPr>
            <w:r>
              <w:rPr>
                <w:rFonts w:ascii="Arial" w:cs="Arial" w:eastAsia="Arial" w:hAnsi="Arial"/>
                <w:sz w:val="18"/>
                <w:szCs w:val="18"/>
                <w:color w:val="auto"/>
              </w:rPr>
              <w:t>2,712</w:t>
            </w:r>
          </w:p>
        </w:tc>
      </w:tr>
      <w:tr>
        <w:trPr>
          <w:trHeight w:val="262"/>
        </w:trPr>
        <w:tc>
          <w:tcPr>
            <w:tcW w:w="39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22"/>
                <w:szCs w:val="22"/>
                <w:color w:val="auto"/>
              </w:rPr>
            </w:pPr>
          </w:p>
        </w:tc>
        <w:tc>
          <w:tcPr>
            <w:tcW w:w="980" w:type="dxa"/>
            <w:vAlign w:val="bottom"/>
            <w:tcBorders>
              <w:right w:val="single" w:sz="8" w:color="auto"/>
            </w:tcBorders>
          </w:tcPr>
          <w:p>
            <w:pPr>
              <w:jc w:val="right"/>
              <w:ind w:right="231"/>
              <w:spacing w:after="0"/>
              <w:rPr>
                <w:sz w:val="20"/>
                <w:szCs w:val="20"/>
                <w:color w:val="auto"/>
              </w:rPr>
            </w:pPr>
            <w:r>
              <w:rPr>
                <w:rFonts w:ascii="Arial" w:cs="Arial" w:eastAsia="Arial" w:hAnsi="Arial"/>
                <w:sz w:val="18"/>
                <w:szCs w:val="18"/>
                <w:color w:val="auto"/>
              </w:rPr>
              <w:t>(226)</w:t>
            </w:r>
          </w:p>
        </w:tc>
        <w:tc>
          <w:tcPr>
            <w:tcW w:w="440" w:type="dxa"/>
            <w:vAlign w:val="bottom"/>
          </w:tcPr>
          <w:p>
            <w:pPr>
              <w:spacing w:after="0"/>
              <w:rPr>
                <w:sz w:val="22"/>
                <w:szCs w:val="22"/>
                <w:color w:val="auto"/>
              </w:rPr>
            </w:pPr>
          </w:p>
        </w:tc>
        <w:tc>
          <w:tcPr>
            <w:tcW w:w="900" w:type="dxa"/>
            <w:vAlign w:val="bottom"/>
          </w:tcPr>
          <w:p>
            <w:pPr>
              <w:jc w:val="right"/>
              <w:ind w:right="151"/>
              <w:spacing w:after="0"/>
              <w:rPr>
                <w:sz w:val="20"/>
                <w:szCs w:val="20"/>
                <w:color w:val="auto"/>
              </w:rPr>
            </w:pPr>
            <w:r>
              <w:rPr>
                <w:rFonts w:ascii="Arial" w:cs="Arial" w:eastAsia="Arial" w:hAnsi="Arial"/>
                <w:sz w:val="18"/>
                <w:szCs w:val="18"/>
                <w:color w:val="auto"/>
              </w:rPr>
              <w:t>(204)</w:t>
            </w:r>
          </w:p>
        </w:tc>
        <w:tc>
          <w:tcPr>
            <w:tcW w:w="440" w:type="dxa"/>
            <w:vAlign w:val="bottom"/>
          </w:tcPr>
          <w:p>
            <w:pPr>
              <w:spacing w:after="0"/>
              <w:rPr>
                <w:sz w:val="22"/>
                <w:szCs w:val="22"/>
                <w:color w:val="auto"/>
              </w:rPr>
            </w:pPr>
          </w:p>
        </w:tc>
        <w:tc>
          <w:tcPr>
            <w:tcW w:w="960" w:type="dxa"/>
            <w:vAlign w:val="bottom"/>
          </w:tcPr>
          <w:p>
            <w:pPr>
              <w:jc w:val="right"/>
              <w:ind w:right="171"/>
              <w:spacing w:after="0"/>
              <w:rPr>
                <w:sz w:val="20"/>
                <w:szCs w:val="20"/>
                <w:color w:val="auto"/>
              </w:rPr>
            </w:pPr>
            <w:r>
              <w:rPr>
                <w:rFonts w:ascii="Arial" w:cs="Arial" w:eastAsia="Arial" w:hAnsi="Arial"/>
                <w:sz w:val="18"/>
                <w:szCs w:val="18"/>
                <w:color w:val="auto"/>
              </w:rPr>
              <w:t>(297)</w:t>
            </w:r>
          </w:p>
        </w:tc>
      </w:tr>
      <w:tr>
        <w:trPr>
          <w:trHeight w:val="270"/>
        </w:trPr>
        <w:tc>
          <w:tcPr>
            <w:tcW w:w="3960" w:type="dxa"/>
            <w:vAlign w:val="bottom"/>
          </w:tcPr>
          <w:p>
            <w:pPr>
              <w:ind w:left="20"/>
              <w:spacing w:after="0"/>
              <w:rPr>
                <w:sz w:val="20"/>
                <w:szCs w:val="20"/>
                <w:color w:val="auto"/>
              </w:rPr>
            </w:pPr>
            <w:r>
              <w:rPr>
                <w:rFonts w:ascii="Arial" w:cs="Arial" w:eastAsia="Arial" w:hAnsi="Arial"/>
                <w:sz w:val="18"/>
                <w:szCs w:val="18"/>
                <w:color w:val="auto"/>
              </w:rPr>
              <w:t>Programming charges</w:t>
            </w:r>
          </w:p>
        </w:tc>
        <w:tc>
          <w:tcPr>
            <w:tcW w:w="380" w:type="dxa"/>
            <w:vAlign w:val="bottom"/>
          </w:tcPr>
          <w:p>
            <w:pPr>
              <w:spacing w:after="0"/>
              <w:rPr>
                <w:sz w:val="23"/>
                <w:szCs w:val="23"/>
                <w:color w:val="auto"/>
              </w:rPr>
            </w:pPr>
          </w:p>
        </w:tc>
        <w:tc>
          <w:tcPr>
            <w:tcW w:w="980" w:type="dxa"/>
            <w:vAlign w:val="bottom"/>
            <w:tcBorders>
              <w:right w:val="single" w:sz="8" w:color="auto"/>
            </w:tcBorders>
          </w:tcPr>
          <w:p>
            <w:pPr>
              <w:jc w:val="right"/>
              <w:ind w:right="27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90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960" w:type="dxa"/>
            <w:vAlign w:val="bottom"/>
          </w:tcPr>
          <w:p>
            <w:pPr>
              <w:jc w:val="right"/>
              <w:ind w:right="171"/>
              <w:spacing w:after="0"/>
              <w:rPr>
                <w:sz w:val="20"/>
                <w:szCs w:val="20"/>
                <w:color w:val="auto"/>
              </w:rPr>
            </w:pPr>
            <w:r>
              <w:rPr>
                <w:rFonts w:ascii="Arial" w:cs="Arial" w:eastAsia="Arial" w:hAnsi="Arial"/>
                <w:sz w:val="18"/>
                <w:szCs w:val="18"/>
                <w:color w:val="auto"/>
              </w:rPr>
              <w:t>(1,118)</w:t>
            </w:r>
          </w:p>
        </w:tc>
      </w:tr>
      <w:tr>
        <w:trPr>
          <w:trHeight w:val="270"/>
        </w:trPr>
        <w:tc>
          <w:tcPr>
            <w:tcW w:w="3960" w:type="dxa"/>
            <w:vAlign w:val="bottom"/>
          </w:tcPr>
          <w:p>
            <w:pPr>
              <w:ind w:left="20"/>
              <w:spacing w:after="0"/>
              <w:rPr>
                <w:sz w:val="20"/>
                <w:szCs w:val="20"/>
                <w:color w:val="auto"/>
              </w:rPr>
            </w:pPr>
            <w:r>
              <w:rPr>
                <w:rFonts w:ascii="Arial" w:cs="Arial" w:eastAsia="Arial" w:hAnsi="Arial"/>
                <w:sz w:val="18"/>
                <w:szCs w:val="18"/>
                <w:color w:val="auto"/>
              </w:rPr>
              <w:t>Impairment charges</w:t>
            </w:r>
          </w:p>
        </w:tc>
        <w:tc>
          <w:tcPr>
            <w:tcW w:w="380" w:type="dxa"/>
            <w:vAlign w:val="bottom"/>
          </w:tcPr>
          <w:p>
            <w:pPr>
              <w:spacing w:after="0"/>
              <w:rPr>
                <w:sz w:val="23"/>
                <w:szCs w:val="23"/>
                <w:color w:val="auto"/>
              </w:rPr>
            </w:pPr>
          </w:p>
        </w:tc>
        <w:tc>
          <w:tcPr>
            <w:tcW w:w="980" w:type="dxa"/>
            <w:vAlign w:val="bottom"/>
            <w:tcBorders>
              <w:right w:val="single" w:sz="8" w:color="auto"/>
            </w:tcBorders>
          </w:tcPr>
          <w:p>
            <w:pPr>
              <w:jc w:val="right"/>
              <w:ind w:right="27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900" w:type="dxa"/>
            <w:vAlign w:val="bottom"/>
          </w:tcPr>
          <w:p>
            <w:pPr>
              <w:jc w:val="right"/>
              <w:ind w:right="151"/>
              <w:spacing w:after="0"/>
              <w:rPr>
                <w:sz w:val="20"/>
                <w:szCs w:val="20"/>
                <w:color w:val="auto"/>
              </w:rPr>
            </w:pPr>
            <w:r>
              <w:rPr>
                <w:rFonts w:ascii="Arial" w:cs="Arial" w:eastAsia="Arial" w:hAnsi="Arial"/>
                <w:sz w:val="18"/>
                <w:szCs w:val="18"/>
                <w:color w:val="auto"/>
              </w:rPr>
              <w:t>(157)</w:t>
            </w:r>
          </w:p>
        </w:tc>
        <w:tc>
          <w:tcPr>
            <w:tcW w:w="440" w:type="dxa"/>
            <w:vAlign w:val="bottom"/>
          </w:tcPr>
          <w:p>
            <w:pPr>
              <w:spacing w:after="0"/>
              <w:rPr>
                <w:sz w:val="23"/>
                <w:szCs w:val="23"/>
                <w:color w:val="auto"/>
              </w:rPr>
            </w:pPr>
          </w:p>
        </w:tc>
        <w:tc>
          <w:tcPr>
            <w:tcW w:w="960" w:type="dxa"/>
            <w:vAlign w:val="bottom"/>
          </w:tcPr>
          <w:p>
            <w:pPr>
              <w:jc w:val="right"/>
              <w:ind w:right="171"/>
              <w:spacing w:after="0"/>
              <w:rPr>
                <w:sz w:val="20"/>
                <w:szCs w:val="20"/>
                <w:color w:val="auto"/>
              </w:rPr>
            </w:pPr>
            <w:r>
              <w:rPr>
                <w:rFonts w:ascii="Arial" w:cs="Arial" w:eastAsia="Arial" w:hAnsi="Arial"/>
                <w:sz w:val="18"/>
                <w:szCs w:val="18"/>
                <w:color w:val="auto"/>
              </w:rPr>
              <w:t>(6,100)</w:t>
            </w:r>
          </w:p>
        </w:tc>
      </w:tr>
      <w:tr>
        <w:trPr>
          <w:trHeight w:val="301"/>
        </w:trPr>
        <w:tc>
          <w:tcPr>
            <w:tcW w:w="3960" w:type="dxa"/>
            <w:vAlign w:val="bottom"/>
          </w:tcPr>
          <w:p>
            <w:pPr>
              <w:ind w:left="20"/>
              <w:spacing w:after="0"/>
              <w:rPr>
                <w:sz w:val="20"/>
                <w:szCs w:val="20"/>
                <w:color w:val="auto"/>
              </w:rPr>
            </w:pPr>
            <w:r>
              <w:rPr>
                <w:rFonts w:ascii="Arial" w:cs="Arial" w:eastAsia="Arial" w:hAnsi="Arial"/>
                <w:sz w:val="18"/>
                <w:szCs w:val="18"/>
                <w:color w:val="auto"/>
              </w:rPr>
              <w:t xml:space="preserve">Restructuring and transaction-related items </w:t>
            </w:r>
            <w:r>
              <w:rPr>
                <w:rFonts w:ascii="Arial" w:cs="Arial" w:eastAsia="Arial" w:hAnsi="Arial"/>
                <w:sz w:val="23"/>
                <w:szCs w:val="23"/>
                <w:color w:val="auto"/>
                <w:vertAlign w:val="superscript"/>
              </w:rPr>
              <w:t>(a)</w:t>
            </w:r>
          </w:p>
        </w:tc>
        <w:tc>
          <w:tcPr>
            <w:tcW w:w="380" w:type="dxa"/>
            <w:vAlign w:val="bottom"/>
          </w:tcPr>
          <w:p>
            <w:pPr>
              <w:spacing w:after="0"/>
              <w:rPr>
                <w:sz w:val="24"/>
                <w:szCs w:val="24"/>
                <w:color w:val="auto"/>
              </w:rPr>
            </w:pPr>
          </w:p>
        </w:tc>
        <w:tc>
          <w:tcPr>
            <w:tcW w:w="980" w:type="dxa"/>
            <w:vAlign w:val="bottom"/>
            <w:tcBorders>
              <w:right w:val="single" w:sz="8" w:color="auto"/>
            </w:tcBorders>
          </w:tcPr>
          <w:p>
            <w:pPr>
              <w:jc w:val="right"/>
              <w:ind w:right="231"/>
              <w:spacing w:after="0"/>
              <w:rPr>
                <w:sz w:val="20"/>
                <w:szCs w:val="20"/>
                <w:color w:val="auto"/>
              </w:rPr>
            </w:pPr>
            <w:r>
              <w:rPr>
                <w:rFonts w:ascii="Arial" w:cs="Arial" w:eastAsia="Arial" w:hAnsi="Arial"/>
                <w:sz w:val="18"/>
                <w:szCs w:val="18"/>
                <w:color w:val="auto"/>
              </w:rPr>
              <w:t>(185)</w:t>
            </w:r>
          </w:p>
        </w:tc>
        <w:tc>
          <w:tcPr>
            <w:tcW w:w="440" w:type="dxa"/>
            <w:vAlign w:val="bottom"/>
          </w:tcPr>
          <w:p>
            <w:pPr>
              <w:spacing w:after="0"/>
              <w:rPr>
                <w:sz w:val="24"/>
                <w:szCs w:val="24"/>
                <w:color w:val="auto"/>
              </w:rPr>
            </w:pPr>
          </w:p>
        </w:tc>
        <w:tc>
          <w:tcPr>
            <w:tcW w:w="900" w:type="dxa"/>
            <w:vAlign w:val="bottom"/>
          </w:tcPr>
          <w:p>
            <w:pPr>
              <w:jc w:val="right"/>
              <w:ind w:right="151"/>
              <w:spacing w:after="0"/>
              <w:rPr>
                <w:sz w:val="20"/>
                <w:szCs w:val="20"/>
                <w:color w:val="auto"/>
              </w:rPr>
            </w:pPr>
            <w:r>
              <w:rPr>
                <w:rFonts w:ascii="Arial" w:cs="Arial" w:eastAsia="Arial" w:hAnsi="Arial"/>
                <w:sz w:val="18"/>
                <w:szCs w:val="18"/>
                <w:color w:val="auto"/>
              </w:rPr>
              <w:t>(454)</w:t>
            </w:r>
          </w:p>
        </w:tc>
        <w:tc>
          <w:tcPr>
            <w:tcW w:w="440" w:type="dxa"/>
            <w:vAlign w:val="bottom"/>
          </w:tcPr>
          <w:p>
            <w:pPr>
              <w:spacing w:after="0"/>
              <w:rPr>
                <w:sz w:val="24"/>
                <w:szCs w:val="24"/>
                <w:color w:val="auto"/>
              </w:rPr>
            </w:pPr>
          </w:p>
        </w:tc>
        <w:tc>
          <w:tcPr>
            <w:tcW w:w="960" w:type="dxa"/>
            <w:vAlign w:val="bottom"/>
          </w:tcPr>
          <w:p>
            <w:pPr>
              <w:jc w:val="right"/>
              <w:ind w:right="171"/>
              <w:spacing w:after="0"/>
              <w:rPr>
                <w:sz w:val="20"/>
                <w:szCs w:val="20"/>
                <w:color w:val="auto"/>
              </w:rPr>
            </w:pPr>
            <w:r>
              <w:rPr>
                <w:rFonts w:ascii="Arial" w:cs="Arial" w:eastAsia="Arial" w:hAnsi="Arial"/>
                <w:sz w:val="18"/>
                <w:szCs w:val="18"/>
                <w:color w:val="auto"/>
              </w:rPr>
              <w:t>(595)</w:t>
            </w:r>
          </w:p>
        </w:tc>
      </w:tr>
      <w:tr>
        <w:trPr>
          <w:trHeight w:val="239"/>
        </w:trPr>
        <w:tc>
          <w:tcPr>
            <w:tcW w:w="3960" w:type="dxa"/>
            <w:vAlign w:val="bottom"/>
          </w:tcPr>
          <w:p>
            <w:pPr>
              <w:ind w:left="20"/>
              <w:spacing w:after="0"/>
              <w:rPr>
                <w:sz w:val="20"/>
                <w:szCs w:val="20"/>
                <w:color w:val="auto"/>
              </w:rPr>
            </w:pPr>
            <w:r>
              <w:rPr>
                <w:rFonts w:ascii="Arial" w:cs="Arial" w:eastAsia="Arial" w:hAnsi="Arial"/>
                <w:sz w:val="18"/>
                <w:szCs w:val="18"/>
                <w:color w:val="auto"/>
              </w:rPr>
              <w:t>Gain on dispositions</w:t>
            </w:r>
          </w:p>
        </w:tc>
        <w:tc>
          <w:tcPr>
            <w:tcW w:w="380" w:type="dxa"/>
            <w:vAlign w:val="bottom"/>
          </w:tcPr>
          <w:p>
            <w:pPr>
              <w:spacing w:after="0"/>
              <w:rPr>
                <w:sz w:val="20"/>
                <w:szCs w:val="20"/>
                <w:color w:val="auto"/>
              </w:rPr>
            </w:pPr>
          </w:p>
        </w:tc>
        <w:tc>
          <w:tcPr>
            <w:tcW w:w="980" w:type="dxa"/>
            <w:vAlign w:val="bottom"/>
            <w:tcBorders>
              <w:right w:val="single" w:sz="8" w:color="auto"/>
            </w:tcBorders>
          </w:tcPr>
          <w:p>
            <w:pPr>
              <w:jc w:val="right"/>
              <w:ind w:right="27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900" w:type="dxa"/>
            <w:vAlign w:val="bottom"/>
          </w:tcPr>
          <w:p>
            <w:pPr>
              <w:jc w:val="right"/>
              <w:ind w:right="191"/>
              <w:spacing w:after="0"/>
              <w:rPr>
                <w:sz w:val="20"/>
                <w:szCs w:val="20"/>
                <w:color w:val="auto"/>
              </w:rPr>
            </w:pPr>
            <w:r>
              <w:rPr>
                <w:rFonts w:ascii="Arial" w:cs="Arial" w:eastAsia="Arial" w:hAnsi="Arial"/>
                <w:sz w:val="18"/>
                <w:szCs w:val="18"/>
                <w:color w:val="auto"/>
              </w:rPr>
              <w:t>35</w:t>
            </w:r>
          </w:p>
        </w:tc>
        <w:tc>
          <w:tcPr>
            <w:tcW w:w="440" w:type="dxa"/>
            <w:vAlign w:val="bottom"/>
          </w:tcPr>
          <w:p>
            <w:pPr>
              <w:spacing w:after="0"/>
              <w:rPr>
                <w:sz w:val="20"/>
                <w:szCs w:val="20"/>
                <w:color w:val="auto"/>
              </w:rPr>
            </w:pPr>
          </w:p>
        </w:tc>
        <w:tc>
          <w:tcPr>
            <w:tcW w:w="960" w:type="dxa"/>
            <w:vAlign w:val="bottom"/>
          </w:tcPr>
          <w:p>
            <w:pPr>
              <w:jc w:val="right"/>
              <w:ind w:right="211"/>
              <w:spacing w:after="0"/>
              <w:rPr>
                <w:sz w:val="20"/>
                <w:szCs w:val="20"/>
                <w:color w:val="auto"/>
              </w:rPr>
            </w:pPr>
            <w:r>
              <w:rPr>
                <w:rFonts w:ascii="Arial" w:cs="Arial" w:eastAsia="Arial" w:hAnsi="Arial"/>
                <w:sz w:val="18"/>
                <w:szCs w:val="18"/>
                <w:color w:val="auto"/>
              </w:rPr>
              <w:t>—</w:t>
            </w:r>
          </w:p>
        </w:tc>
      </w:tr>
      <w:tr>
        <w:trPr>
          <w:trHeight w:val="23"/>
        </w:trPr>
        <w:tc>
          <w:tcPr>
            <w:tcW w:w="3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70"/>
        </w:trPr>
        <w:tc>
          <w:tcPr>
            <w:tcW w:w="39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Total Operating Income (Loss)</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right w:val="single" w:sz="8" w:color="auto"/>
            </w:tcBorders>
          </w:tcPr>
          <w:p>
            <w:pPr>
              <w:jc w:val="right"/>
              <w:ind w:right="271"/>
              <w:spacing w:after="0"/>
              <w:rPr>
                <w:sz w:val="20"/>
                <w:szCs w:val="20"/>
                <w:color w:val="auto"/>
              </w:rPr>
            </w:pPr>
            <w:r>
              <w:rPr>
                <w:rFonts w:ascii="Arial" w:cs="Arial" w:eastAsia="Arial" w:hAnsi="Arial"/>
                <w:sz w:val="18"/>
                <w:szCs w:val="18"/>
                <w:color w:val="auto"/>
              </w:rPr>
              <w:t>244</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1,029</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(5,398)</w:t>
            </w:r>
          </w:p>
        </w:tc>
      </w:tr>
    </w:tbl>
    <w:p>
      <w:pPr>
        <w:spacing w:after="0" w:line="145" w:lineRule="exact"/>
        <w:rPr>
          <w:sz w:val="20"/>
          <w:szCs w:val="20"/>
          <w:color w:val="auto"/>
        </w:rPr>
      </w:pPr>
    </w:p>
    <w:p>
      <w:pPr>
        <w:ind w:left="1060" w:right="900" w:hanging="242"/>
        <w:spacing w:after="0" w:line="273" w:lineRule="auto"/>
        <w:tabs>
          <w:tab w:leader="none" w:pos="1046" w:val="left"/>
        </w:tabs>
        <w:numPr>
          <w:ilvl w:val="0"/>
          <w:numId w:val="13"/>
        </w:numPr>
        <w:rPr>
          <w:rFonts w:ascii="Arial" w:cs="Arial" w:eastAsia="Arial" w:hAnsi="Arial"/>
          <w:sz w:val="15"/>
          <w:szCs w:val="15"/>
          <w:color w:val="auto"/>
        </w:rPr>
      </w:pPr>
      <w:r>
        <w:rPr>
          <w:rFonts w:ascii="Arial" w:cs="Arial" w:eastAsia="Arial" w:hAnsi="Arial"/>
          <w:sz w:val="15"/>
          <w:szCs w:val="15"/>
          <w:color w:val="auto"/>
        </w:rPr>
        <w:t>For the Successor and Predecessor periods in 2025, stock-based compensation expense of $30 million and $14 million, respectively, is included in “Restructuring and transaction-related items.” For the Predecessor period in 2024, stock-based compensation expense of $34 million is included in “Restructuring and transaction-related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151"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22"/>
          <w:szCs w:val="22"/>
          <w:b w:val="1"/>
          <w:bCs w:val="1"/>
          <w:color w:val="auto"/>
        </w:rPr>
        <w:t>SUPPLEMENTAL DISCLOSURES REGARDING NON-GAAP FINANCIAL MEASURES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in millions, except per share amounts)</w:t>
      </w: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Three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121920</wp:posOffset>
            </wp:positionV>
            <wp:extent cx="668655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686550" cy="17145"/>
                    </a:xfrm>
                    <a:prstGeom prst="rect">
                      <a:avLst/>
                    </a:prstGeom>
                    <a:noFill/>
                  </pic:spPr>
                </pic:pic>
              </a:graphicData>
            </a:graphic>
          </wp:anchor>
        </w:drawing>
      </w:r>
    </w:p>
    <w:p>
      <w:pPr>
        <w:spacing w:after="0" w:line="207" w:lineRule="exact"/>
        <w:rPr>
          <w:sz w:val="20"/>
          <w:szCs w:val="20"/>
          <w:color w:val="auto"/>
        </w:rPr>
      </w:pPr>
    </w:p>
    <w:tbl>
      <w:tblPr>
        <w:tblLayout w:type="fixed"/>
        <w:tblInd w:w="360" w:type="dxa"/>
        <w:tblCellMar>
          <w:top w:w="0" w:type="dxa"/>
          <w:left w:w="0" w:type="dxa"/>
          <w:bottom w:w="0" w:type="dxa"/>
          <w:right w:w="0" w:type="dxa"/>
        </w:tblCellMar>
      </w:tblPr>
      <w:tr>
        <w:trPr>
          <w:trHeight w:val="255"/>
        </w:trPr>
        <w:tc>
          <w:tcPr>
            <w:tcW w:w="3640" w:type="dxa"/>
            <w:vAlign w:val="bottom"/>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2"/>
          </w:tcPr>
          <w:p>
            <w:pPr>
              <w:jc w:val="center"/>
              <w:ind w:left="370"/>
              <w:spacing w:after="0"/>
              <w:rPr>
                <w:sz w:val="20"/>
                <w:szCs w:val="20"/>
                <w:color w:val="auto"/>
              </w:rPr>
            </w:pPr>
            <w:r>
              <w:rPr>
                <w:rFonts w:ascii="Arial" w:cs="Arial" w:eastAsia="Arial" w:hAnsi="Arial"/>
                <w:sz w:val="18"/>
                <w:szCs w:val="18"/>
                <w:b w:val="1"/>
                <w:bCs w:val="1"/>
                <w:color w:val="auto"/>
              </w:rPr>
              <w:t>Successor</w:t>
            </w:r>
          </w:p>
        </w:tc>
        <w:tc>
          <w:tcPr>
            <w:tcW w:w="13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r>
      <w:tr>
        <w:trPr>
          <w:trHeight w:val="263"/>
        </w:trPr>
        <w:tc>
          <w:tcPr>
            <w:tcW w:w="3640" w:type="dxa"/>
            <w:vAlign w:val="bottom"/>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4620" w:type="dxa"/>
            <w:vAlign w:val="bottom"/>
            <w:tcBorders>
              <w:bottom w:val="single" w:sz="8" w:color="auto"/>
            </w:tcBorders>
            <w:gridSpan w:val="5"/>
          </w:tcPr>
          <w:p>
            <w:pPr>
              <w:jc w:val="center"/>
              <w:ind w:left="730"/>
              <w:spacing w:after="0"/>
              <w:rPr>
                <w:sz w:val="20"/>
                <w:szCs w:val="20"/>
                <w:color w:val="auto"/>
              </w:rPr>
            </w:pPr>
            <w:r>
              <w:rPr>
                <w:rFonts w:ascii="Arial" w:cs="Arial" w:eastAsia="Arial" w:hAnsi="Arial"/>
                <w:sz w:val="18"/>
                <w:szCs w:val="18"/>
                <w:b w:val="1"/>
                <w:bCs w:val="1"/>
                <w:color w:val="auto"/>
                <w:w w:val="99"/>
              </w:rPr>
              <w:t>Period From August 7 - September 30, 2025</w:t>
            </w:r>
          </w:p>
        </w:tc>
        <w:tc>
          <w:tcPr>
            <w:tcW w:w="5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r>
      <w:tr>
        <w:trPr>
          <w:trHeight w:val="224"/>
        </w:trPr>
        <w:tc>
          <w:tcPr>
            <w:tcW w:w="3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Net Earnings from</w:t>
            </w: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6"/>
        </w:trPr>
        <w:tc>
          <w:tcPr>
            <w:tcW w:w="3640" w:type="dxa"/>
            <w:vAlign w:val="bottom"/>
          </w:tcPr>
          <w:p>
            <w:pPr>
              <w:spacing w:after="0"/>
              <w:rPr>
                <w:sz w:val="18"/>
                <w:szCs w:val="18"/>
                <w:color w:val="auto"/>
              </w:rPr>
            </w:pPr>
          </w:p>
        </w:tc>
        <w:tc>
          <w:tcPr>
            <w:tcW w:w="17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Earnings from</w:t>
            </w: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940" w:type="dxa"/>
            <w:vAlign w:val="bottom"/>
            <w:gridSpan w:val="2"/>
          </w:tcPr>
          <w:p>
            <w:pPr>
              <w:jc w:val="center"/>
              <w:spacing w:after="0"/>
              <w:rPr>
                <w:sz w:val="20"/>
                <w:szCs w:val="20"/>
                <w:color w:val="auto"/>
              </w:rPr>
            </w:pPr>
            <w:r>
              <w:rPr>
                <w:rFonts w:ascii="Arial" w:cs="Arial" w:eastAsia="Arial" w:hAnsi="Arial"/>
                <w:sz w:val="18"/>
                <w:szCs w:val="18"/>
                <w:b w:val="1"/>
                <w:bCs w:val="1"/>
                <w:color w:val="auto"/>
              </w:rPr>
              <w:t>Continuing</w:t>
            </w: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3640" w:type="dxa"/>
            <w:vAlign w:val="bottom"/>
          </w:tcPr>
          <w:p>
            <w:pPr>
              <w:spacing w:after="0"/>
              <w:rPr>
                <w:sz w:val="18"/>
                <w:szCs w:val="18"/>
                <w:color w:val="auto"/>
              </w:rPr>
            </w:pPr>
          </w:p>
        </w:tc>
        <w:tc>
          <w:tcPr>
            <w:tcW w:w="17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Continuing</w:t>
            </w:r>
          </w:p>
        </w:tc>
        <w:tc>
          <w:tcPr>
            <w:tcW w:w="1620" w:type="dxa"/>
            <w:vAlign w:val="bottom"/>
            <w:gridSpan w:val="2"/>
          </w:tcPr>
          <w:p>
            <w:pPr>
              <w:ind w:left="280"/>
              <w:spacing w:after="0"/>
              <w:rPr>
                <w:sz w:val="20"/>
                <w:szCs w:val="20"/>
                <w:color w:val="auto"/>
              </w:rPr>
            </w:pPr>
            <w:r>
              <w:rPr>
                <w:rFonts w:ascii="Arial" w:cs="Arial" w:eastAsia="Arial" w:hAnsi="Arial"/>
                <w:sz w:val="18"/>
                <w:szCs w:val="18"/>
                <w:b w:val="1"/>
                <w:bCs w:val="1"/>
                <w:color w:val="auto"/>
              </w:rPr>
              <w:t>Benefit from</w:t>
            </w:r>
          </w:p>
        </w:tc>
        <w:tc>
          <w:tcPr>
            <w:tcW w:w="1940" w:type="dxa"/>
            <w:vAlign w:val="bottom"/>
            <w:gridSpan w:val="2"/>
          </w:tcPr>
          <w:p>
            <w:pPr>
              <w:jc w:val="center"/>
              <w:spacing w:after="0"/>
              <w:rPr>
                <w:sz w:val="20"/>
                <w:szCs w:val="20"/>
                <w:color w:val="auto"/>
              </w:rPr>
            </w:pPr>
            <w:r>
              <w:rPr>
                <w:rFonts w:ascii="Arial" w:cs="Arial" w:eastAsia="Arial" w:hAnsi="Arial"/>
                <w:sz w:val="18"/>
                <w:szCs w:val="18"/>
                <w:b w:val="1"/>
                <w:bCs w:val="1"/>
                <w:color w:val="auto"/>
              </w:rPr>
              <w:t>Operations</w:t>
            </w:r>
          </w:p>
        </w:tc>
        <w:tc>
          <w:tcPr>
            <w:tcW w:w="1540" w:type="dxa"/>
            <w:vAlign w:val="bottom"/>
            <w:gridSpan w:val="2"/>
          </w:tcPr>
          <w:p>
            <w:pPr>
              <w:jc w:val="center"/>
              <w:spacing w:after="0"/>
              <w:rPr>
                <w:sz w:val="20"/>
                <w:szCs w:val="20"/>
                <w:color w:val="auto"/>
              </w:rPr>
            </w:pPr>
            <w:r>
              <w:rPr>
                <w:rFonts w:ascii="Arial" w:cs="Arial" w:eastAsia="Arial" w:hAnsi="Arial"/>
                <w:sz w:val="18"/>
                <w:szCs w:val="18"/>
                <w:b w:val="1"/>
                <w:bCs w:val="1"/>
                <w:color w:val="auto"/>
              </w:rPr>
              <w:t>Diluted EPS from</w:t>
            </w:r>
          </w:p>
        </w:tc>
      </w:tr>
      <w:tr>
        <w:trPr>
          <w:trHeight w:val="216"/>
        </w:trPr>
        <w:tc>
          <w:tcPr>
            <w:tcW w:w="3640" w:type="dxa"/>
            <w:vAlign w:val="bottom"/>
          </w:tcPr>
          <w:p>
            <w:pPr>
              <w:spacing w:after="0"/>
              <w:rPr>
                <w:sz w:val="18"/>
                <w:szCs w:val="18"/>
                <w:color w:val="auto"/>
              </w:rPr>
            </w:pPr>
          </w:p>
        </w:tc>
        <w:tc>
          <w:tcPr>
            <w:tcW w:w="1780" w:type="dxa"/>
            <w:vAlign w:val="bottom"/>
            <w:gridSpan w:val="2"/>
          </w:tcPr>
          <w:p>
            <w:pPr>
              <w:jc w:val="center"/>
              <w:spacing w:after="0"/>
              <w:rPr>
                <w:sz w:val="20"/>
                <w:szCs w:val="20"/>
                <w:color w:val="auto"/>
              </w:rPr>
            </w:pPr>
            <w:r>
              <w:rPr>
                <w:rFonts w:ascii="Arial" w:cs="Arial" w:eastAsia="Arial" w:hAnsi="Arial"/>
                <w:sz w:val="18"/>
                <w:szCs w:val="18"/>
                <w:b w:val="1"/>
                <w:bCs w:val="1"/>
                <w:color w:val="auto"/>
              </w:rPr>
              <w:t>Operations Before</w:t>
            </w:r>
          </w:p>
        </w:tc>
        <w:tc>
          <w:tcPr>
            <w:tcW w:w="1620" w:type="dxa"/>
            <w:vAlign w:val="bottom"/>
            <w:gridSpan w:val="2"/>
          </w:tcPr>
          <w:p>
            <w:pPr>
              <w:jc w:val="center"/>
              <w:spacing w:after="0"/>
              <w:rPr>
                <w:sz w:val="20"/>
                <w:szCs w:val="20"/>
                <w:color w:val="auto"/>
              </w:rPr>
            </w:pPr>
            <w:r>
              <w:rPr>
                <w:rFonts w:ascii="Arial" w:cs="Arial" w:eastAsia="Arial" w:hAnsi="Arial"/>
                <w:sz w:val="18"/>
                <w:szCs w:val="18"/>
                <w:b w:val="1"/>
                <w:bCs w:val="1"/>
                <w:color w:val="auto"/>
              </w:rPr>
              <w:t>(Provision for)</w:t>
            </w:r>
          </w:p>
        </w:tc>
        <w:tc>
          <w:tcPr>
            <w:tcW w:w="1940" w:type="dxa"/>
            <w:vAlign w:val="bottom"/>
            <w:gridSpan w:val="2"/>
          </w:tcPr>
          <w:p>
            <w:pPr>
              <w:jc w:val="center"/>
              <w:spacing w:after="0"/>
              <w:rPr>
                <w:sz w:val="20"/>
                <w:szCs w:val="20"/>
                <w:color w:val="auto"/>
              </w:rPr>
            </w:pPr>
            <w:r>
              <w:rPr>
                <w:rFonts w:ascii="Arial" w:cs="Arial" w:eastAsia="Arial" w:hAnsi="Arial"/>
                <w:sz w:val="18"/>
                <w:szCs w:val="18"/>
                <w:b w:val="1"/>
                <w:bCs w:val="1"/>
                <w:color w:val="auto"/>
              </w:rPr>
              <w:t>Attributable to</w:t>
            </w:r>
          </w:p>
        </w:tc>
        <w:tc>
          <w:tcPr>
            <w:tcW w:w="1540" w:type="dxa"/>
            <w:vAlign w:val="bottom"/>
            <w:gridSpan w:val="2"/>
          </w:tcPr>
          <w:p>
            <w:pPr>
              <w:jc w:val="center"/>
              <w:spacing w:after="0"/>
              <w:rPr>
                <w:sz w:val="20"/>
                <w:szCs w:val="20"/>
                <w:color w:val="auto"/>
              </w:rPr>
            </w:pPr>
            <w:r>
              <w:rPr>
                <w:rFonts w:ascii="Arial" w:cs="Arial" w:eastAsia="Arial" w:hAnsi="Arial"/>
                <w:sz w:val="18"/>
                <w:szCs w:val="18"/>
                <w:b w:val="1"/>
                <w:bCs w:val="1"/>
                <w:color w:val="auto"/>
              </w:rPr>
              <w:t>Continuing</w:t>
            </w:r>
          </w:p>
        </w:tc>
      </w:tr>
      <w:tr>
        <w:trPr>
          <w:trHeight w:val="255"/>
        </w:trPr>
        <w:tc>
          <w:tcPr>
            <w:tcW w:w="364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Income Taxes</w:t>
            </w: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Income Taxes</w:t>
            </w:r>
          </w:p>
        </w:tc>
        <w:tc>
          <w:tcPr>
            <w:tcW w:w="6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590"/>
              <w:spacing w:after="0"/>
              <w:rPr>
                <w:sz w:val="20"/>
                <w:szCs w:val="20"/>
                <w:color w:val="auto"/>
              </w:rPr>
            </w:pPr>
            <w:r>
              <w:rPr>
                <w:rFonts w:ascii="Arial" w:cs="Arial" w:eastAsia="Arial" w:hAnsi="Arial"/>
                <w:sz w:val="18"/>
                <w:szCs w:val="18"/>
                <w:b w:val="1"/>
                <w:bCs w:val="1"/>
                <w:color w:val="auto"/>
                <w:w w:val="99"/>
              </w:rPr>
              <w:t>Parent</w:t>
            </w: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Operations</w:t>
            </w:r>
          </w:p>
        </w:tc>
      </w:tr>
      <w:tr>
        <w:trPr>
          <w:trHeight w:val="278"/>
        </w:trPr>
        <w:tc>
          <w:tcPr>
            <w:tcW w:w="3640" w:type="dxa"/>
            <w:vAlign w:val="bottom"/>
          </w:tcPr>
          <w:p>
            <w:pPr>
              <w:ind w:left="20"/>
              <w:spacing w:after="0"/>
              <w:rPr>
                <w:sz w:val="20"/>
                <w:szCs w:val="20"/>
                <w:color w:val="auto"/>
              </w:rPr>
            </w:pPr>
            <w:r>
              <w:rPr>
                <w:rFonts w:ascii="Arial" w:cs="Arial" w:eastAsia="Arial" w:hAnsi="Arial"/>
                <w:sz w:val="18"/>
                <w:szCs w:val="18"/>
                <w:color w:val="auto"/>
              </w:rPr>
              <w:t>Reported (GAAP)</w:t>
            </w: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122</w:t>
            </w:r>
          </w:p>
        </w:tc>
        <w:tc>
          <w:tcPr>
            <w:tcW w:w="620" w:type="dxa"/>
            <w:vAlign w:val="bottom"/>
          </w:tcPr>
          <w:p>
            <w:pPr>
              <w:ind w:left="3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 xml:space="preserve">(85) </w:t>
            </w:r>
            <w:r>
              <w:rPr>
                <w:rFonts w:ascii="Arial" w:cs="Arial" w:eastAsia="Arial" w:hAnsi="Arial"/>
                <w:sz w:val="23"/>
                <w:szCs w:val="23"/>
                <w:color w:val="auto"/>
                <w:vertAlign w:val="superscript"/>
              </w:rPr>
              <w:t>(d)</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430"/>
              <w:spacing w:after="0"/>
              <w:rPr>
                <w:sz w:val="20"/>
                <w:szCs w:val="20"/>
                <w:color w:val="auto"/>
              </w:rPr>
            </w:pPr>
            <w:r>
              <w:rPr>
                <w:rFonts w:ascii="Arial" w:cs="Arial" w:eastAsia="Arial" w:hAnsi="Arial"/>
                <w:sz w:val="18"/>
                <w:szCs w:val="18"/>
                <w:color w:val="auto"/>
              </w:rPr>
              <w:t>(13)</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(.01)</w:t>
            </w:r>
          </w:p>
        </w:tc>
      </w:tr>
      <w:tr>
        <w:trPr>
          <w:trHeight w:val="239"/>
        </w:trPr>
        <w:tc>
          <w:tcPr>
            <w:tcW w:w="3640" w:type="dxa"/>
            <w:vAlign w:val="bottom"/>
          </w:tcPr>
          <w:p>
            <w:pPr>
              <w:ind w:left="20"/>
              <w:spacing w:after="0"/>
              <w:rPr>
                <w:sz w:val="20"/>
                <w:szCs w:val="20"/>
                <w:color w:val="auto"/>
              </w:rPr>
            </w:pPr>
            <w:r>
              <w:rPr>
                <w:rFonts w:ascii="Arial" w:cs="Arial" w:eastAsia="Arial" w:hAnsi="Arial"/>
                <w:sz w:val="18"/>
                <w:szCs w:val="18"/>
                <w:color w:val="auto"/>
              </w:rPr>
              <w:t>Items affecting comparability:</w:t>
            </w: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01"/>
        </w:trPr>
        <w:tc>
          <w:tcPr>
            <w:tcW w:w="3640" w:type="dxa"/>
            <w:vAlign w:val="bottom"/>
          </w:tcPr>
          <w:p>
            <w:pPr>
              <w:ind w:left="220"/>
              <w:spacing w:after="0"/>
              <w:rPr>
                <w:sz w:val="20"/>
                <w:szCs w:val="20"/>
                <w:color w:val="auto"/>
              </w:rPr>
            </w:pPr>
            <w:r>
              <w:rPr>
                <w:rFonts w:ascii="Arial" w:cs="Arial" w:eastAsia="Arial" w:hAnsi="Arial"/>
                <w:sz w:val="18"/>
                <w:szCs w:val="18"/>
                <w:color w:val="auto"/>
              </w:rPr>
              <w:t xml:space="preserve">Restructuring charges </w:t>
            </w:r>
            <w:r>
              <w:rPr>
                <w:rFonts w:ascii="Arial" w:cs="Arial" w:eastAsia="Arial" w:hAnsi="Arial"/>
                <w:sz w:val="23"/>
                <w:szCs w:val="23"/>
                <w:color w:val="auto"/>
                <w:vertAlign w:val="superscript"/>
              </w:rPr>
              <w:t>(a)</w:t>
            </w:r>
          </w:p>
        </w:tc>
        <w:tc>
          <w:tcPr>
            <w:tcW w:w="720" w:type="dxa"/>
            <w:vAlign w:val="bottom"/>
          </w:tcPr>
          <w:p>
            <w:pPr>
              <w:spacing w:after="0"/>
              <w:rPr>
                <w:sz w:val="24"/>
                <w:szCs w:val="24"/>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185</w:t>
            </w:r>
          </w:p>
        </w:tc>
        <w:tc>
          <w:tcPr>
            <w:tcW w:w="620" w:type="dxa"/>
            <w:vAlign w:val="bottom"/>
          </w:tcPr>
          <w:p>
            <w:pPr>
              <w:spacing w:after="0"/>
              <w:rPr>
                <w:sz w:val="24"/>
                <w:szCs w:val="24"/>
                <w:color w:val="auto"/>
              </w:rPr>
            </w:pP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(30)</w:t>
            </w:r>
          </w:p>
        </w:tc>
        <w:tc>
          <w:tcPr>
            <w:tcW w:w="620" w:type="dxa"/>
            <w:vAlign w:val="bottom"/>
          </w:tcPr>
          <w:p>
            <w:pPr>
              <w:spacing w:after="0"/>
              <w:rPr>
                <w:sz w:val="24"/>
                <w:szCs w:val="24"/>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color w:val="auto"/>
              </w:rPr>
              <w:t>155</w:t>
            </w:r>
          </w:p>
        </w:tc>
        <w:tc>
          <w:tcPr>
            <w:tcW w:w="580" w:type="dxa"/>
            <w:vAlign w:val="bottom"/>
          </w:tcPr>
          <w:p>
            <w:pPr>
              <w:spacing w:after="0"/>
              <w:rPr>
                <w:sz w:val="24"/>
                <w:szCs w:val="24"/>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.13</w:t>
            </w:r>
          </w:p>
        </w:tc>
      </w:tr>
      <w:tr>
        <w:trPr>
          <w:trHeight w:val="239"/>
        </w:trPr>
        <w:tc>
          <w:tcPr>
            <w:tcW w:w="3640" w:type="dxa"/>
            <w:vAlign w:val="bottom"/>
          </w:tcPr>
          <w:p>
            <w:pPr>
              <w:ind w:left="220"/>
              <w:spacing w:after="0"/>
              <w:rPr>
                <w:sz w:val="20"/>
                <w:szCs w:val="20"/>
                <w:color w:val="auto"/>
              </w:rPr>
            </w:pPr>
            <w:r>
              <w:rPr>
                <w:rFonts w:ascii="Arial" w:cs="Arial" w:eastAsia="Arial" w:hAnsi="Arial"/>
                <w:sz w:val="18"/>
                <w:szCs w:val="18"/>
                <w:color w:val="auto"/>
              </w:rPr>
              <w:t>Discrete tax items</w:t>
            </w:r>
          </w:p>
        </w:tc>
        <w:tc>
          <w:tcPr>
            <w:tcW w:w="7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(4)</w:t>
            </w:r>
          </w:p>
        </w:tc>
        <w:tc>
          <w:tcPr>
            <w:tcW w:w="620" w:type="dxa"/>
            <w:vAlign w:val="bottom"/>
          </w:tcPr>
          <w:p>
            <w:pPr>
              <w:spacing w:after="0"/>
              <w:rPr>
                <w:sz w:val="20"/>
                <w:szCs w:val="20"/>
                <w:color w:val="auto"/>
              </w:rPr>
            </w:pPr>
          </w:p>
        </w:tc>
        <w:tc>
          <w:tcPr>
            <w:tcW w:w="1320" w:type="dxa"/>
            <w:vAlign w:val="bottom"/>
          </w:tcPr>
          <w:p>
            <w:pPr>
              <w:jc w:val="right"/>
              <w:ind w:right="430"/>
              <w:spacing w:after="0"/>
              <w:rPr>
                <w:sz w:val="20"/>
                <w:szCs w:val="20"/>
                <w:color w:val="auto"/>
              </w:rPr>
            </w:pPr>
            <w:r>
              <w:rPr>
                <w:rFonts w:ascii="Arial" w:cs="Arial" w:eastAsia="Arial" w:hAnsi="Arial"/>
                <w:sz w:val="18"/>
                <w:szCs w:val="18"/>
                <w:color w:val="auto"/>
              </w:rPr>
              <w:t>(4)</w:t>
            </w:r>
          </w:p>
        </w:tc>
        <w:tc>
          <w:tcPr>
            <w:tcW w:w="58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w:t>
            </w:r>
          </w:p>
        </w:tc>
      </w:tr>
      <w:tr>
        <w:trPr>
          <w:trHeight w:val="23"/>
        </w:trPr>
        <w:tc>
          <w:tcPr>
            <w:tcW w:w="3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70"/>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Adjusted (Non-GAAP)</w:t>
            </w: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307</w:t>
            </w:r>
          </w:p>
        </w:tc>
        <w:tc>
          <w:tcPr>
            <w:tcW w:w="6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 xml:space="preserve">(119) </w:t>
            </w:r>
            <w:r>
              <w:rPr>
                <w:rFonts w:ascii="Arial" w:cs="Arial" w:eastAsia="Arial" w:hAnsi="Arial"/>
                <w:sz w:val="23"/>
                <w:szCs w:val="23"/>
                <w:color w:val="auto"/>
                <w:vertAlign w:val="superscript"/>
              </w:rPr>
              <w:t>(d)</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138</w:t>
            </w:r>
          </w:p>
        </w:tc>
        <w:tc>
          <w:tcPr>
            <w:tcW w:w="5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.12</w:t>
            </w:r>
          </w:p>
        </w:tc>
      </w:tr>
      <w:tr>
        <w:trPr>
          <w:trHeight w:val="210"/>
        </w:trPr>
        <w:tc>
          <w:tcPr>
            <w:tcW w:w="36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63"/>
        </w:trPr>
        <w:tc>
          <w:tcPr>
            <w:tcW w:w="3640" w:type="dxa"/>
            <w:vAlign w:val="bottom"/>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2"/>
          </w:tcPr>
          <w:p>
            <w:pPr>
              <w:jc w:val="center"/>
              <w:ind w:left="370"/>
              <w:spacing w:after="0"/>
              <w:rPr>
                <w:sz w:val="20"/>
                <w:szCs w:val="20"/>
                <w:color w:val="auto"/>
              </w:rPr>
            </w:pPr>
            <w:r>
              <w:rPr>
                <w:rFonts w:ascii="Arial" w:cs="Arial" w:eastAsia="Arial" w:hAnsi="Arial"/>
                <w:sz w:val="18"/>
                <w:szCs w:val="18"/>
                <w:b w:val="1"/>
                <w:bCs w:val="1"/>
                <w:color w:val="auto"/>
                <w:w w:val="99"/>
              </w:rPr>
              <w:t>Predecessor</w:t>
            </w:r>
          </w:p>
        </w:tc>
        <w:tc>
          <w:tcPr>
            <w:tcW w:w="13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r>
      <w:tr>
        <w:trPr>
          <w:trHeight w:val="263"/>
        </w:trPr>
        <w:tc>
          <w:tcPr>
            <w:tcW w:w="3640" w:type="dxa"/>
            <w:vAlign w:val="bottom"/>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3560" w:type="dxa"/>
            <w:vAlign w:val="bottom"/>
            <w:tcBorders>
              <w:bottom w:val="single" w:sz="8" w:color="auto"/>
            </w:tcBorders>
            <w:gridSpan w:val="4"/>
          </w:tcPr>
          <w:p>
            <w:pPr>
              <w:jc w:val="center"/>
              <w:ind w:right="150"/>
              <w:spacing w:after="0"/>
              <w:rPr>
                <w:sz w:val="20"/>
                <w:szCs w:val="20"/>
                <w:color w:val="auto"/>
              </w:rPr>
            </w:pPr>
            <w:r>
              <w:rPr>
                <w:rFonts w:ascii="Arial" w:cs="Arial" w:eastAsia="Arial" w:hAnsi="Arial"/>
                <w:sz w:val="18"/>
                <w:szCs w:val="18"/>
                <w:b w:val="1"/>
                <w:bCs w:val="1"/>
                <w:color w:val="auto"/>
                <w:w w:val="99"/>
              </w:rPr>
              <w:t>Period From July 1 - August 6, 2025</w:t>
            </w:r>
          </w:p>
        </w:tc>
        <w:tc>
          <w:tcPr>
            <w:tcW w:w="5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r>
      <w:tr>
        <w:trPr>
          <w:trHeight w:val="224"/>
        </w:trPr>
        <w:tc>
          <w:tcPr>
            <w:tcW w:w="3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Net Loss from</w:t>
            </w: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6"/>
        </w:trPr>
        <w:tc>
          <w:tcPr>
            <w:tcW w:w="3640" w:type="dxa"/>
            <w:vAlign w:val="bottom"/>
          </w:tcPr>
          <w:p>
            <w:pPr>
              <w:spacing w:after="0"/>
              <w:rPr>
                <w:sz w:val="18"/>
                <w:szCs w:val="18"/>
                <w:color w:val="auto"/>
              </w:rPr>
            </w:pPr>
          </w:p>
        </w:tc>
        <w:tc>
          <w:tcPr>
            <w:tcW w:w="17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Earnings (loss)</w:t>
            </w: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940" w:type="dxa"/>
            <w:vAlign w:val="bottom"/>
            <w:gridSpan w:val="2"/>
          </w:tcPr>
          <w:p>
            <w:pPr>
              <w:jc w:val="center"/>
              <w:spacing w:after="0"/>
              <w:rPr>
                <w:sz w:val="20"/>
                <w:szCs w:val="20"/>
                <w:color w:val="auto"/>
              </w:rPr>
            </w:pPr>
            <w:r>
              <w:rPr>
                <w:rFonts w:ascii="Arial" w:cs="Arial" w:eastAsia="Arial" w:hAnsi="Arial"/>
                <w:sz w:val="18"/>
                <w:szCs w:val="18"/>
                <w:b w:val="1"/>
                <w:bCs w:val="1"/>
                <w:color w:val="auto"/>
              </w:rPr>
              <w:t>Continuing</w:t>
            </w: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3640" w:type="dxa"/>
            <w:vAlign w:val="bottom"/>
          </w:tcPr>
          <w:p>
            <w:pPr>
              <w:spacing w:after="0"/>
              <w:rPr>
                <w:sz w:val="18"/>
                <w:szCs w:val="18"/>
                <w:color w:val="auto"/>
              </w:rPr>
            </w:pPr>
          </w:p>
        </w:tc>
        <w:tc>
          <w:tcPr>
            <w:tcW w:w="178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9"/>
              </w:rPr>
              <w:t>from Continuing</w:t>
            </w:r>
          </w:p>
        </w:tc>
        <w:tc>
          <w:tcPr>
            <w:tcW w:w="1620" w:type="dxa"/>
            <w:vAlign w:val="bottom"/>
            <w:gridSpan w:val="2"/>
          </w:tcPr>
          <w:p>
            <w:pPr>
              <w:ind w:left="280"/>
              <w:spacing w:after="0"/>
              <w:rPr>
                <w:sz w:val="20"/>
                <w:szCs w:val="20"/>
                <w:color w:val="auto"/>
              </w:rPr>
            </w:pPr>
            <w:r>
              <w:rPr>
                <w:rFonts w:ascii="Arial" w:cs="Arial" w:eastAsia="Arial" w:hAnsi="Arial"/>
                <w:sz w:val="18"/>
                <w:szCs w:val="18"/>
                <w:b w:val="1"/>
                <w:bCs w:val="1"/>
                <w:color w:val="auto"/>
              </w:rPr>
              <w:t>Benefit from</w:t>
            </w:r>
          </w:p>
        </w:tc>
        <w:tc>
          <w:tcPr>
            <w:tcW w:w="1940" w:type="dxa"/>
            <w:vAlign w:val="bottom"/>
            <w:gridSpan w:val="2"/>
          </w:tcPr>
          <w:p>
            <w:pPr>
              <w:jc w:val="center"/>
              <w:spacing w:after="0"/>
              <w:rPr>
                <w:sz w:val="20"/>
                <w:szCs w:val="20"/>
                <w:color w:val="auto"/>
              </w:rPr>
            </w:pPr>
            <w:r>
              <w:rPr>
                <w:rFonts w:ascii="Arial" w:cs="Arial" w:eastAsia="Arial" w:hAnsi="Arial"/>
                <w:sz w:val="18"/>
                <w:szCs w:val="18"/>
                <w:b w:val="1"/>
                <w:bCs w:val="1"/>
                <w:color w:val="auto"/>
              </w:rPr>
              <w:t>Operations</w:t>
            </w:r>
          </w:p>
        </w:tc>
        <w:tc>
          <w:tcPr>
            <w:tcW w:w="1540" w:type="dxa"/>
            <w:vAlign w:val="bottom"/>
            <w:gridSpan w:val="2"/>
          </w:tcPr>
          <w:p>
            <w:pPr>
              <w:jc w:val="center"/>
              <w:spacing w:after="0"/>
              <w:rPr>
                <w:sz w:val="20"/>
                <w:szCs w:val="20"/>
                <w:color w:val="auto"/>
              </w:rPr>
            </w:pPr>
            <w:r>
              <w:rPr>
                <w:rFonts w:ascii="Arial" w:cs="Arial" w:eastAsia="Arial" w:hAnsi="Arial"/>
                <w:sz w:val="18"/>
                <w:szCs w:val="18"/>
                <w:b w:val="1"/>
                <w:bCs w:val="1"/>
                <w:color w:val="auto"/>
              </w:rPr>
              <w:t>Diluted EPS from</w:t>
            </w:r>
          </w:p>
        </w:tc>
      </w:tr>
      <w:tr>
        <w:trPr>
          <w:trHeight w:val="216"/>
        </w:trPr>
        <w:tc>
          <w:tcPr>
            <w:tcW w:w="3640" w:type="dxa"/>
            <w:vAlign w:val="bottom"/>
          </w:tcPr>
          <w:p>
            <w:pPr>
              <w:spacing w:after="0"/>
              <w:rPr>
                <w:sz w:val="18"/>
                <w:szCs w:val="18"/>
                <w:color w:val="auto"/>
              </w:rPr>
            </w:pPr>
          </w:p>
        </w:tc>
        <w:tc>
          <w:tcPr>
            <w:tcW w:w="1780" w:type="dxa"/>
            <w:vAlign w:val="bottom"/>
            <w:gridSpan w:val="2"/>
          </w:tcPr>
          <w:p>
            <w:pPr>
              <w:jc w:val="center"/>
              <w:spacing w:after="0"/>
              <w:rPr>
                <w:sz w:val="20"/>
                <w:szCs w:val="20"/>
                <w:color w:val="auto"/>
              </w:rPr>
            </w:pPr>
            <w:r>
              <w:rPr>
                <w:rFonts w:ascii="Arial" w:cs="Arial" w:eastAsia="Arial" w:hAnsi="Arial"/>
                <w:sz w:val="18"/>
                <w:szCs w:val="18"/>
                <w:b w:val="1"/>
                <w:bCs w:val="1"/>
                <w:color w:val="auto"/>
              </w:rPr>
              <w:t>Operations Before</w:t>
            </w:r>
          </w:p>
        </w:tc>
        <w:tc>
          <w:tcPr>
            <w:tcW w:w="1620" w:type="dxa"/>
            <w:vAlign w:val="bottom"/>
            <w:gridSpan w:val="2"/>
          </w:tcPr>
          <w:p>
            <w:pPr>
              <w:jc w:val="center"/>
              <w:spacing w:after="0"/>
              <w:rPr>
                <w:sz w:val="20"/>
                <w:szCs w:val="20"/>
                <w:color w:val="auto"/>
              </w:rPr>
            </w:pPr>
            <w:r>
              <w:rPr>
                <w:rFonts w:ascii="Arial" w:cs="Arial" w:eastAsia="Arial" w:hAnsi="Arial"/>
                <w:sz w:val="18"/>
                <w:szCs w:val="18"/>
                <w:b w:val="1"/>
                <w:bCs w:val="1"/>
                <w:color w:val="auto"/>
              </w:rPr>
              <w:t>(Provision for)</w:t>
            </w:r>
          </w:p>
        </w:tc>
        <w:tc>
          <w:tcPr>
            <w:tcW w:w="1940" w:type="dxa"/>
            <w:vAlign w:val="bottom"/>
            <w:gridSpan w:val="2"/>
          </w:tcPr>
          <w:p>
            <w:pPr>
              <w:jc w:val="center"/>
              <w:spacing w:after="0"/>
              <w:rPr>
                <w:sz w:val="20"/>
                <w:szCs w:val="20"/>
                <w:color w:val="auto"/>
              </w:rPr>
            </w:pPr>
            <w:r>
              <w:rPr>
                <w:rFonts w:ascii="Arial" w:cs="Arial" w:eastAsia="Arial" w:hAnsi="Arial"/>
                <w:sz w:val="18"/>
                <w:szCs w:val="18"/>
                <w:b w:val="1"/>
                <w:bCs w:val="1"/>
                <w:color w:val="auto"/>
              </w:rPr>
              <w:t>Attributable to</w:t>
            </w:r>
          </w:p>
        </w:tc>
        <w:tc>
          <w:tcPr>
            <w:tcW w:w="1540" w:type="dxa"/>
            <w:vAlign w:val="bottom"/>
            <w:gridSpan w:val="2"/>
          </w:tcPr>
          <w:p>
            <w:pPr>
              <w:jc w:val="center"/>
              <w:spacing w:after="0"/>
              <w:rPr>
                <w:sz w:val="20"/>
                <w:szCs w:val="20"/>
                <w:color w:val="auto"/>
              </w:rPr>
            </w:pPr>
            <w:r>
              <w:rPr>
                <w:rFonts w:ascii="Arial" w:cs="Arial" w:eastAsia="Arial" w:hAnsi="Arial"/>
                <w:sz w:val="18"/>
                <w:szCs w:val="18"/>
                <w:b w:val="1"/>
                <w:bCs w:val="1"/>
                <w:color w:val="auto"/>
              </w:rPr>
              <w:t>Continuing</w:t>
            </w:r>
          </w:p>
        </w:tc>
      </w:tr>
      <w:tr>
        <w:trPr>
          <w:trHeight w:val="255"/>
        </w:trPr>
        <w:tc>
          <w:tcPr>
            <w:tcW w:w="364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Income Taxes</w:t>
            </w: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Income Taxes</w:t>
            </w:r>
          </w:p>
        </w:tc>
        <w:tc>
          <w:tcPr>
            <w:tcW w:w="6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590"/>
              <w:spacing w:after="0"/>
              <w:rPr>
                <w:sz w:val="20"/>
                <w:szCs w:val="20"/>
                <w:color w:val="auto"/>
              </w:rPr>
            </w:pPr>
            <w:r>
              <w:rPr>
                <w:rFonts w:ascii="Arial" w:cs="Arial" w:eastAsia="Arial" w:hAnsi="Arial"/>
                <w:sz w:val="18"/>
                <w:szCs w:val="18"/>
                <w:b w:val="1"/>
                <w:bCs w:val="1"/>
                <w:color w:val="auto"/>
                <w:w w:val="99"/>
              </w:rPr>
              <w:t>Parent</w:t>
            </w: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Operations</w:t>
            </w:r>
          </w:p>
        </w:tc>
      </w:tr>
      <w:tr>
        <w:trPr>
          <w:trHeight w:val="278"/>
        </w:trPr>
        <w:tc>
          <w:tcPr>
            <w:tcW w:w="3640" w:type="dxa"/>
            <w:vAlign w:val="bottom"/>
          </w:tcPr>
          <w:p>
            <w:pPr>
              <w:ind w:left="20"/>
              <w:spacing w:after="0"/>
              <w:rPr>
                <w:sz w:val="20"/>
                <w:szCs w:val="20"/>
                <w:color w:val="auto"/>
              </w:rPr>
            </w:pPr>
            <w:r>
              <w:rPr>
                <w:rFonts w:ascii="Arial" w:cs="Arial" w:eastAsia="Arial" w:hAnsi="Arial"/>
                <w:sz w:val="18"/>
                <w:szCs w:val="18"/>
                <w:color w:val="auto"/>
              </w:rPr>
              <w:t>Reported (GAAP)</w:t>
            </w: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70"/>
              <w:spacing w:after="0"/>
              <w:rPr>
                <w:sz w:val="20"/>
                <w:szCs w:val="20"/>
                <w:color w:val="auto"/>
              </w:rPr>
            </w:pPr>
            <w:r>
              <w:rPr>
                <w:rFonts w:ascii="Arial" w:cs="Arial" w:eastAsia="Arial" w:hAnsi="Arial"/>
                <w:sz w:val="18"/>
                <w:szCs w:val="18"/>
                <w:color w:val="auto"/>
              </w:rPr>
              <w:t>(8)</w:t>
            </w:r>
          </w:p>
        </w:tc>
        <w:tc>
          <w:tcPr>
            <w:tcW w:w="620" w:type="dxa"/>
            <w:vAlign w:val="bottom"/>
          </w:tcPr>
          <w:p>
            <w:pPr>
              <w:ind w:left="3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 xml:space="preserve">229 </w:t>
            </w:r>
            <w:r>
              <w:rPr>
                <w:rFonts w:ascii="Arial" w:cs="Arial" w:eastAsia="Arial" w:hAnsi="Arial"/>
                <w:sz w:val="23"/>
                <w:szCs w:val="23"/>
                <w:color w:val="auto"/>
                <w:vertAlign w:val="superscript"/>
              </w:rPr>
              <w:t>(e)</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430"/>
              <w:spacing w:after="0"/>
              <w:rPr>
                <w:sz w:val="20"/>
                <w:szCs w:val="20"/>
                <w:color w:val="auto"/>
              </w:rPr>
            </w:pPr>
            <w:r>
              <w:rPr>
                <w:rFonts w:ascii="Arial" w:cs="Arial" w:eastAsia="Arial" w:hAnsi="Arial"/>
                <w:sz w:val="18"/>
                <w:szCs w:val="18"/>
                <w:color w:val="auto"/>
              </w:rPr>
              <w:t>(244)</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(.36)</w:t>
            </w:r>
          </w:p>
        </w:tc>
      </w:tr>
      <w:tr>
        <w:trPr>
          <w:trHeight w:val="239"/>
        </w:trPr>
        <w:tc>
          <w:tcPr>
            <w:tcW w:w="3640" w:type="dxa"/>
            <w:vAlign w:val="bottom"/>
          </w:tcPr>
          <w:p>
            <w:pPr>
              <w:ind w:left="20"/>
              <w:spacing w:after="0"/>
              <w:rPr>
                <w:sz w:val="20"/>
                <w:szCs w:val="20"/>
                <w:color w:val="auto"/>
              </w:rPr>
            </w:pPr>
            <w:r>
              <w:rPr>
                <w:rFonts w:ascii="Arial" w:cs="Arial" w:eastAsia="Arial" w:hAnsi="Arial"/>
                <w:sz w:val="18"/>
                <w:szCs w:val="18"/>
                <w:color w:val="auto"/>
              </w:rPr>
              <w:t>Items affecting comparability:</w:t>
            </w: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01"/>
        </w:trPr>
        <w:tc>
          <w:tcPr>
            <w:tcW w:w="3640" w:type="dxa"/>
            <w:vAlign w:val="bottom"/>
          </w:tcPr>
          <w:p>
            <w:pPr>
              <w:ind w:left="220"/>
              <w:spacing w:after="0"/>
              <w:rPr>
                <w:sz w:val="20"/>
                <w:szCs w:val="20"/>
                <w:color w:val="auto"/>
              </w:rPr>
            </w:pPr>
            <w:r>
              <w:rPr>
                <w:rFonts w:ascii="Arial" w:cs="Arial" w:eastAsia="Arial" w:hAnsi="Arial"/>
                <w:sz w:val="18"/>
                <w:szCs w:val="18"/>
                <w:color w:val="auto"/>
              </w:rPr>
              <w:t xml:space="preserve">Restructuring charges </w:t>
            </w:r>
            <w:r>
              <w:rPr>
                <w:rFonts w:ascii="Arial" w:cs="Arial" w:eastAsia="Arial" w:hAnsi="Arial"/>
                <w:sz w:val="23"/>
                <w:szCs w:val="23"/>
                <w:color w:val="auto"/>
                <w:vertAlign w:val="superscript"/>
              </w:rPr>
              <w:t>(a)</w:t>
            </w:r>
          </w:p>
        </w:tc>
        <w:tc>
          <w:tcPr>
            <w:tcW w:w="720" w:type="dxa"/>
            <w:vAlign w:val="bottom"/>
          </w:tcPr>
          <w:p>
            <w:pPr>
              <w:spacing w:after="0"/>
              <w:rPr>
                <w:sz w:val="24"/>
                <w:szCs w:val="24"/>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13</w:t>
            </w:r>
          </w:p>
        </w:tc>
        <w:tc>
          <w:tcPr>
            <w:tcW w:w="620" w:type="dxa"/>
            <w:vAlign w:val="bottom"/>
          </w:tcPr>
          <w:p>
            <w:pPr>
              <w:spacing w:after="0"/>
              <w:rPr>
                <w:sz w:val="24"/>
                <w:szCs w:val="24"/>
                <w:color w:val="auto"/>
              </w:rPr>
            </w:pP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24"/>
                <w:szCs w:val="24"/>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color w:val="auto"/>
              </w:rPr>
              <w:t>10</w:t>
            </w:r>
          </w:p>
        </w:tc>
        <w:tc>
          <w:tcPr>
            <w:tcW w:w="580" w:type="dxa"/>
            <w:vAlign w:val="bottom"/>
          </w:tcPr>
          <w:p>
            <w:pPr>
              <w:spacing w:after="0"/>
              <w:rPr>
                <w:sz w:val="24"/>
                <w:szCs w:val="24"/>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.02</w:t>
            </w:r>
          </w:p>
        </w:tc>
      </w:tr>
      <w:tr>
        <w:trPr>
          <w:trHeight w:val="270"/>
        </w:trPr>
        <w:tc>
          <w:tcPr>
            <w:tcW w:w="3640" w:type="dxa"/>
            <w:vAlign w:val="bottom"/>
          </w:tcPr>
          <w:p>
            <w:pPr>
              <w:ind w:left="220"/>
              <w:spacing w:after="0"/>
              <w:rPr>
                <w:sz w:val="20"/>
                <w:szCs w:val="20"/>
                <w:color w:val="auto"/>
              </w:rPr>
            </w:pPr>
            <w:r>
              <w:rPr>
                <w:rFonts w:ascii="Arial" w:cs="Arial" w:eastAsia="Arial" w:hAnsi="Arial"/>
                <w:sz w:val="18"/>
                <w:szCs w:val="18"/>
                <w:color w:val="auto"/>
              </w:rPr>
              <w:t xml:space="preserve">Transaction-related items </w:t>
            </w:r>
            <w:r>
              <w:rPr>
                <w:rFonts w:ascii="Arial" w:cs="Arial" w:eastAsia="Arial" w:hAnsi="Arial"/>
                <w:sz w:val="23"/>
                <w:szCs w:val="23"/>
                <w:color w:val="auto"/>
                <w:vertAlign w:val="superscript"/>
              </w:rPr>
              <w:t>(b)</w:t>
            </w:r>
          </w:p>
        </w:tc>
        <w:tc>
          <w:tcPr>
            <w:tcW w:w="720" w:type="dxa"/>
            <w:vAlign w:val="bottom"/>
          </w:tcPr>
          <w:p>
            <w:pPr>
              <w:spacing w:after="0"/>
              <w:rPr>
                <w:sz w:val="23"/>
                <w:szCs w:val="23"/>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175</w:t>
            </w:r>
          </w:p>
        </w:tc>
        <w:tc>
          <w:tcPr>
            <w:tcW w:w="620" w:type="dxa"/>
            <w:vAlign w:val="bottom"/>
          </w:tcPr>
          <w:p>
            <w:pPr>
              <w:spacing w:after="0"/>
              <w:rPr>
                <w:sz w:val="23"/>
                <w:szCs w:val="23"/>
                <w:color w:val="auto"/>
              </w:rPr>
            </w:pP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(30)</w:t>
            </w:r>
          </w:p>
        </w:tc>
        <w:tc>
          <w:tcPr>
            <w:tcW w:w="620" w:type="dxa"/>
            <w:vAlign w:val="bottom"/>
          </w:tcPr>
          <w:p>
            <w:pPr>
              <w:spacing w:after="0"/>
              <w:rPr>
                <w:sz w:val="23"/>
                <w:szCs w:val="23"/>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color w:val="auto"/>
              </w:rPr>
              <w:t>145</w:t>
            </w:r>
          </w:p>
        </w:tc>
        <w:tc>
          <w:tcPr>
            <w:tcW w:w="580" w:type="dxa"/>
            <w:vAlign w:val="bottom"/>
          </w:tcPr>
          <w:p>
            <w:pPr>
              <w:spacing w:after="0"/>
              <w:rPr>
                <w:sz w:val="23"/>
                <w:szCs w:val="23"/>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.21</w:t>
            </w:r>
          </w:p>
        </w:tc>
      </w:tr>
      <w:tr>
        <w:trPr>
          <w:trHeight w:val="262"/>
        </w:trPr>
        <w:tc>
          <w:tcPr>
            <w:tcW w:w="3640" w:type="dxa"/>
            <w:vAlign w:val="bottom"/>
            <w:tcBorders>
              <w:bottom w:val="single" w:sz="8" w:color="auto"/>
            </w:tcBorders>
          </w:tcPr>
          <w:p>
            <w:pPr>
              <w:ind w:left="220"/>
              <w:spacing w:after="0" w:line="262" w:lineRule="exact"/>
              <w:rPr>
                <w:sz w:val="20"/>
                <w:szCs w:val="20"/>
                <w:color w:val="auto"/>
              </w:rPr>
            </w:pPr>
            <w:r>
              <w:rPr>
                <w:rFonts w:ascii="Arial" w:cs="Arial" w:eastAsia="Arial" w:hAnsi="Arial"/>
                <w:sz w:val="18"/>
                <w:szCs w:val="18"/>
                <w:color w:val="auto"/>
              </w:rPr>
              <w:t xml:space="preserve">Discrete tax items </w:t>
            </w:r>
            <w:r>
              <w:rPr>
                <w:rFonts w:ascii="Arial" w:cs="Arial" w:eastAsia="Arial" w:hAnsi="Arial"/>
                <w:sz w:val="23"/>
                <w:szCs w:val="23"/>
                <w:color w:val="auto"/>
                <w:vertAlign w:val="superscript"/>
              </w:rPr>
              <w:t>(c)</w:t>
            </w:r>
          </w:p>
        </w:tc>
        <w:tc>
          <w:tcPr>
            <w:tcW w:w="7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(73)</w:t>
            </w:r>
          </w:p>
        </w:tc>
        <w:tc>
          <w:tcPr>
            <w:tcW w:w="6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(73)</w:t>
            </w:r>
          </w:p>
        </w:tc>
        <w:tc>
          <w:tcPr>
            <w:tcW w:w="5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(.11)</w:t>
            </w:r>
          </w:p>
        </w:tc>
      </w:tr>
      <w:tr>
        <w:trPr>
          <w:trHeight w:val="271"/>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Adjusted (Non-GAAP)</w:t>
            </w: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180</w:t>
            </w:r>
          </w:p>
        </w:tc>
        <w:tc>
          <w:tcPr>
            <w:tcW w:w="6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 xml:space="preserve">123 </w:t>
            </w:r>
            <w:r>
              <w:rPr>
                <w:rFonts w:ascii="Arial" w:cs="Arial" w:eastAsia="Arial" w:hAnsi="Arial"/>
                <w:sz w:val="23"/>
                <w:szCs w:val="23"/>
                <w:color w:val="auto"/>
                <w:vertAlign w:val="superscript"/>
              </w:rPr>
              <w:t>(e)</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(162)</w:t>
            </w:r>
          </w:p>
        </w:tc>
        <w:tc>
          <w:tcPr>
            <w:tcW w:w="5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(.24)</w:t>
            </w:r>
          </w:p>
        </w:tc>
      </w:tr>
    </w:tbl>
    <w:p>
      <w:pPr>
        <w:spacing w:after="0" w:line="131" w:lineRule="exact"/>
        <w:rPr>
          <w:sz w:val="20"/>
          <w:szCs w:val="20"/>
          <w:color w:val="auto"/>
        </w:rPr>
      </w:pPr>
    </w:p>
    <w:p>
      <w:pPr>
        <w:ind w:left="660" w:right="480" w:hanging="247"/>
        <w:spacing w:after="0" w:line="284" w:lineRule="auto"/>
        <w:tabs>
          <w:tab w:leader="none" w:pos="646" w:val="left"/>
        </w:tabs>
        <w:numPr>
          <w:ilvl w:val="0"/>
          <w:numId w:val="14"/>
        </w:numPr>
        <w:rPr>
          <w:rFonts w:ascii="Arial" w:cs="Arial" w:eastAsia="Arial" w:hAnsi="Arial"/>
          <w:sz w:val="15"/>
          <w:szCs w:val="15"/>
          <w:color w:val="auto"/>
        </w:rPr>
      </w:pPr>
      <w:r>
        <w:rPr>
          <w:rFonts w:ascii="Arial" w:cs="Arial" w:eastAsia="Arial" w:hAnsi="Arial"/>
          <w:sz w:val="15"/>
          <w:szCs w:val="15"/>
          <w:color w:val="auto"/>
        </w:rPr>
        <w:t>Restructuring charges during the Successor period were comprised of severance costs, principally associated with actions following the Transactions, including costs related to a plan under which severance payments are being provided to certain eligible employees who voluntarily elected to participate.</w:t>
      </w:r>
    </w:p>
    <w:p>
      <w:pPr>
        <w:spacing w:after="0" w:line="199" w:lineRule="exact"/>
        <w:rPr>
          <w:rFonts w:ascii="Arial" w:cs="Arial" w:eastAsia="Arial" w:hAnsi="Arial"/>
          <w:sz w:val="15"/>
          <w:szCs w:val="15"/>
          <w:color w:val="auto"/>
        </w:rPr>
      </w:pPr>
    </w:p>
    <w:p>
      <w:pPr>
        <w:ind w:left="660" w:right="780" w:hanging="247"/>
        <w:spacing w:after="0" w:line="291" w:lineRule="auto"/>
        <w:tabs>
          <w:tab w:leader="none" w:pos="646" w:val="left"/>
        </w:tabs>
        <w:numPr>
          <w:ilvl w:val="0"/>
          <w:numId w:val="14"/>
        </w:numPr>
        <w:rPr>
          <w:rFonts w:ascii="Arial" w:cs="Arial" w:eastAsia="Arial" w:hAnsi="Arial"/>
          <w:sz w:val="15"/>
          <w:szCs w:val="15"/>
          <w:color w:val="auto"/>
        </w:rPr>
      </w:pPr>
      <w:r>
        <w:rPr>
          <w:rFonts w:ascii="Arial" w:cs="Arial" w:eastAsia="Arial" w:hAnsi="Arial"/>
          <w:sz w:val="15"/>
          <w:szCs w:val="15"/>
          <w:color w:val="auto"/>
        </w:rPr>
        <w:t>Reflects banking, legal, advisory, and other professional fees relating to the Transactions, and transaction awards that became payable to eligible employees upon closing of the Transactions.</w:t>
      </w:r>
    </w:p>
    <w:p>
      <w:pPr>
        <w:ind w:left="660" w:right="820" w:hanging="247"/>
        <w:spacing w:after="0" w:line="291" w:lineRule="auto"/>
        <w:tabs>
          <w:tab w:leader="none" w:pos="638" w:val="left"/>
        </w:tabs>
        <w:numPr>
          <w:ilvl w:val="0"/>
          <w:numId w:val="14"/>
        </w:numPr>
        <w:rPr>
          <w:rFonts w:ascii="Arial" w:cs="Arial" w:eastAsia="Arial" w:hAnsi="Arial"/>
          <w:sz w:val="15"/>
          <w:szCs w:val="15"/>
          <w:color w:val="auto"/>
        </w:rPr>
      </w:pPr>
      <w:r>
        <w:rPr>
          <w:rFonts w:ascii="Arial" w:cs="Arial" w:eastAsia="Arial" w:hAnsi="Arial"/>
          <w:sz w:val="15"/>
          <w:szCs w:val="15"/>
          <w:color w:val="auto"/>
        </w:rPr>
        <w:t>Reflects the reversal of the valuation allowance on our interest limitation carryforward deferred tax asset, partially offset by a the establishment of reserve for uncertain tax positions.</w:t>
      </w:r>
    </w:p>
    <w:p>
      <w:pPr>
        <w:ind w:left="660" w:right="340" w:hanging="247"/>
        <w:spacing w:after="0" w:line="269" w:lineRule="auto"/>
        <w:tabs>
          <w:tab w:leader="none" w:pos="646"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reported effective income tax rate for the period from August 7 - September 30, 2025 was 69.7%, primarily reflecting the timing of foreign inclusions and foreign-derived intangible income deductions between the Successor and Predecessor periods. The adjusted effective income tax rate, which is calculated as the adjusted provision for income taxes of $119 million divided by adjusted earnings from continuing operations before income taxes of $307 million, was 38.8%. These adjusted measures exclude the items affecting comparability detailed above.</w:t>
      </w:r>
    </w:p>
    <w:p>
      <w:pPr>
        <w:spacing w:after="0" w:line="77" w:lineRule="exact"/>
        <w:rPr>
          <w:rFonts w:ascii="Arial" w:cs="Arial" w:eastAsia="Arial" w:hAnsi="Arial"/>
          <w:sz w:val="15"/>
          <w:szCs w:val="15"/>
          <w:color w:val="auto"/>
        </w:rPr>
      </w:pPr>
    </w:p>
    <w:p>
      <w:pPr>
        <w:ind w:left="660" w:right="340" w:hanging="247"/>
        <w:spacing w:after="0" w:line="263" w:lineRule="auto"/>
        <w:tabs>
          <w:tab w:leader="none" w:pos="646" w:val="left"/>
        </w:tabs>
        <w:numPr>
          <w:ilvl w:val="0"/>
          <w:numId w:val="14"/>
        </w:numPr>
        <w:rPr>
          <w:rFonts w:ascii="Arial" w:cs="Arial" w:eastAsia="Arial" w:hAnsi="Arial"/>
          <w:sz w:val="15"/>
          <w:szCs w:val="15"/>
          <w:color w:val="auto"/>
        </w:rPr>
      </w:pPr>
      <w:r>
        <w:rPr>
          <w:rFonts w:ascii="Arial" w:cs="Arial" w:eastAsia="Arial" w:hAnsi="Arial"/>
          <w:sz w:val="15"/>
          <w:szCs w:val="15"/>
          <w:color w:val="auto"/>
        </w:rPr>
        <w:t>For the period from July 1 - August 6, 2025, we recorded a tax benefit of $229 million, primarily reflecting the reversal of valuation allowances on deferred tax assets related to interest deduction limitations as a result of recent U.S. tax legislation. The reported benefit, as well as the adjusted income tax benefit of $123 million, also reflect the tax impact of earnings attributable to noncontrolling interests, the timing of foreign inclusions between the Successor and Predecessor periods, and the tax benefit on the foreign-derived intangible income deduction. The adjusted benefit from income taxes excludes the tax impacts from the items affecting comparability detailed in the table above.</w:t>
      </w:r>
    </w:p>
    <w:p>
      <w:pPr>
        <w:spacing w:after="0" w:line="200" w:lineRule="exact"/>
        <w:rPr>
          <w:sz w:val="20"/>
          <w:szCs w:val="20"/>
          <w:color w:val="auto"/>
        </w:rPr>
      </w:pPr>
    </w:p>
    <w:p>
      <w:pPr>
        <w:spacing w:after="0" w:line="3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097"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22"/>
          <w:szCs w:val="22"/>
          <w:b w:val="1"/>
          <w:bCs w:val="1"/>
          <w:color w:val="auto"/>
        </w:rPr>
        <w:t>SUPPLEMENTAL DISCLOSURES REGARDING NON-GAAP FINANCIAL MEASURES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in millions, except per share amounts)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Three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121920</wp:posOffset>
            </wp:positionV>
            <wp:extent cx="630047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300470" cy="17145"/>
                    </a:xfrm>
                    <a:prstGeom prst="rect">
                      <a:avLst/>
                    </a:prstGeom>
                    <a:noFill/>
                  </pic:spPr>
                </pic:pic>
              </a:graphicData>
            </a:graphic>
          </wp:anchor>
        </w:drawing>
      </w:r>
    </w:p>
    <w:p>
      <w:pPr>
        <w:spacing w:after="0" w:line="207" w:lineRule="exact"/>
        <w:rPr>
          <w:sz w:val="20"/>
          <w:szCs w:val="20"/>
          <w:color w:val="auto"/>
        </w:rPr>
      </w:pPr>
    </w:p>
    <w:p>
      <w:pPr>
        <w:jc w:val="center"/>
        <w:ind w:left="3080"/>
        <w:spacing w:after="0"/>
        <w:rPr>
          <w:sz w:val="20"/>
          <w:szCs w:val="20"/>
          <w:color w:val="auto"/>
        </w:rPr>
      </w:pPr>
      <w:r>
        <w:rPr>
          <w:rFonts w:ascii="Arial" w:cs="Arial" w:eastAsia="Arial" w:hAnsi="Arial"/>
          <w:sz w:val="18"/>
          <w:szCs w:val="18"/>
          <w:b w:val="1"/>
          <w:bCs w:val="1"/>
          <w:color w:val="auto"/>
        </w:rPr>
        <w:t>Predecessor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34925</wp:posOffset>
            </wp:positionV>
            <wp:extent cx="41833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183380" cy="8255"/>
                    </a:xfrm>
                    <a:prstGeom prst="rect">
                      <a:avLst/>
                    </a:prstGeom>
                    <a:noFill/>
                  </pic:spPr>
                </pic:pic>
              </a:graphicData>
            </a:graphic>
          </wp:anchor>
        </w:drawing>
      </w:r>
    </w:p>
    <w:p>
      <w:pPr>
        <w:spacing w:after="0" w:line="61" w:lineRule="exact"/>
        <w:rPr>
          <w:sz w:val="20"/>
          <w:szCs w:val="20"/>
          <w:color w:val="auto"/>
        </w:rPr>
      </w:pPr>
    </w:p>
    <w:p>
      <w:pPr>
        <w:ind w:left="5580"/>
        <w:spacing w:after="0"/>
        <w:rPr>
          <w:sz w:val="20"/>
          <w:szCs w:val="20"/>
          <w:color w:val="auto"/>
        </w:rPr>
      </w:pPr>
      <w:r>
        <w:rPr>
          <w:rFonts w:ascii="Arial" w:cs="Arial" w:eastAsia="Arial" w:hAnsi="Arial"/>
          <w:sz w:val="16"/>
          <w:szCs w:val="16"/>
          <w:b w:val="1"/>
          <w:bCs w:val="1"/>
          <w:color w:val="auto"/>
        </w:rPr>
        <w:t>Three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29210</wp:posOffset>
            </wp:positionV>
            <wp:extent cx="41833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183380" cy="8890"/>
                    </a:xfrm>
                    <a:prstGeom prst="rect">
                      <a:avLst/>
                    </a:prstGeom>
                    <a:noFill/>
                  </pic:spPr>
                </pic:pic>
              </a:graphicData>
            </a:graphic>
          </wp:anchor>
        </w:drawing>
      </w:r>
    </w:p>
    <w:p>
      <w:pPr>
        <w:spacing w:after="0" w:line="48"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2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Net Earnings</w:t>
            </w: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2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(Loss) from</w:t>
            </w: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2900" w:type="dxa"/>
            <w:vAlign w:val="bottom"/>
          </w:tcPr>
          <w:p>
            <w:pPr>
              <w:spacing w:after="0"/>
              <w:rPr>
                <w:sz w:val="18"/>
                <w:szCs w:val="18"/>
                <w:color w:val="auto"/>
              </w:rPr>
            </w:pPr>
          </w:p>
        </w:tc>
        <w:tc>
          <w:tcPr>
            <w:tcW w:w="2160" w:type="dxa"/>
            <w:vAlign w:val="bottom"/>
            <w:gridSpan w:val="2"/>
          </w:tcPr>
          <w:p>
            <w:pPr>
              <w:jc w:val="center"/>
              <w:ind w:left="250"/>
              <w:spacing w:after="0"/>
              <w:rPr>
                <w:sz w:val="20"/>
                <w:szCs w:val="20"/>
                <w:color w:val="auto"/>
              </w:rPr>
            </w:pPr>
            <w:r>
              <w:rPr>
                <w:rFonts w:ascii="Arial" w:cs="Arial" w:eastAsia="Arial" w:hAnsi="Arial"/>
                <w:sz w:val="18"/>
                <w:szCs w:val="18"/>
                <w:b w:val="1"/>
                <w:bCs w:val="1"/>
                <w:color w:val="auto"/>
                <w:w w:val="99"/>
              </w:rPr>
              <w:t>Earnings from</w:t>
            </w: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Continuing</w:t>
            </w: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2900" w:type="dxa"/>
            <w:vAlign w:val="bottom"/>
          </w:tcPr>
          <w:p>
            <w:pPr>
              <w:spacing w:after="0"/>
              <w:rPr>
                <w:sz w:val="18"/>
                <w:szCs w:val="18"/>
                <w:color w:val="auto"/>
              </w:rPr>
            </w:pPr>
          </w:p>
        </w:tc>
        <w:tc>
          <w:tcPr>
            <w:tcW w:w="2160" w:type="dxa"/>
            <w:vAlign w:val="bottom"/>
            <w:gridSpan w:val="2"/>
          </w:tcPr>
          <w:p>
            <w:pPr>
              <w:jc w:val="center"/>
              <w:ind w:left="250"/>
              <w:spacing w:after="0"/>
              <w:rPr>
                <w:sz w:val="20"/>
                <w:szCs w:val="20"/>
                <w:color w:val="auto"/>
              </w:rPr>
            </w:pPr>
            <w:r>
              <w:rPr>
                <w:rFonts w:ascii="Arial" w:cs="Arial" w:eastAsia="Arial" w:hAnsi="Arial"/>
                <w:sz w:val="18"/>
                <w:szCs w:val="18"/>
                <w:b w:val="1"/>
                <w:bCs w:val="1"/>
                <w:color w:val="auto"/>
                <w:w w:val="98"/>
              </w:rPr>
              <w:t>Continuing</w:t>
            </w:r>
          </w:p>
        </w:tc>
        <w:tc>
          <w:tcPr>
            <w:tcW w:w="160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9"/>
              </w:rPr>
              <w:t>Benefit from</w:t>
            </w: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Operations</w:t>
            </w:r>
          </w:p>
        </w:tc>
        <w:tc>
          <w:tcPr>
            <w:tcW w:w="1680" w:type="dxa"/>
            <w:vAlign w:val="bottom"/>
            <w:gridSpan w:val="2"/>
          </w:tcPr>
          <w:p>
            <w:pPr>
              <w:jc w:val="right"/>
              <w:spacing w:after="0"/>
              <w:rPr>
                <w:sz w:val="20"/>
                <w:szCs w:val="20"/>
                <w:color w:val="auto"/>
              </w:rPr>
            </w:pPr>
            <w:r>
              <w:rPr>
                <w:rFonts w:ascii="Arial" w:cs="Arial" w:eastAsia="Arial" w:hAnsi="Arial"/>
                <w:sz w:val="18"/>
                <w:szCs w:val="18"/>
                <w:b w:val="1"/>
                <w:bCs w:val="1"/>
                <w:color w:val="auto"/>
              </w:rPr>
              <w:t>Diluted EPS from</w:t>
            </w:r>
          </w:p>
        </w:tc>
      </w:tr>
      <w:tr>
        <w:trPr>
          <w:trHeight w:val="216"/>
        </w:trPr>
        <w:tc>
          <w:tcPr>
            <w:tcW w:w="2900" w:type="dxa"/>
            <w:vAlign w:val="bottom"/>
          </w:tcPr>
          <w:p>
            <w:pPr>
              <w:spacing w:after="0"/>
              <w:rPr>
                <w:sz w:val="18"/>
                <w:szCs w:val="18"/>
                <w:color w:val="auto"/>
              </w:rPr>
            </w:pPr>
          </w:p>
        </w:tc>
        <w:tc>
          <w:tcPr>
            <w:tcW w:w="2160" w:type="dxa"/>
            <w:vAlign w:val="bottom"/>
            <w:gridSpan w:val="2"/>
          </w:tcPr>
          <w:p>
            <w:pPr>
              <w:jc w:val="center"/>
              <w:ind w:left="250"/>
              <w:spacing w:after="0"/>
              <w:rPr>
                <w:sz w:val="20"/>
                <w:szCs w:val="20"/>
                <w:color w:val="auto"/>
              </w:rPr>
            </w:pPr>
            <w:r>
              <w:rPr>
                <w:rFonts w:ascii="Arial" w:cs="Arial" w:eastAsia="Arial" w:hAnsi="Arial"/>
                <w:sz w:val="18"/>
                <w:szCs w:val="18"/>
                <w:b w:val="1"/>
                <w:bCs w:val="1"/>
                <w:color w:val="auto"/>
              </w:rPr>
              <w:t>Operations Before</w:t>
            </w:r>
          </w:p>
        </w:tc>
        <w:tc>
          <w:tcPr>
            <w:tcW w:w="160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9"/>
              </w:rPr>
              <w:t>(Provision for)</w:t>
            </w: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Attributable to</w:t>
            </w:r>
          </w:p>
        </w:tc>
        <w:tc>
          <w:tcPr>
            <w:tcW w:w="168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Continuing</w:t>
            </w:r>
          </w:p>
        </w:tc>
      </w:tr>
      <w:tr>
        <w:trPr>
          <w:trHeight w:val="255"/>
        </w:trPr>
        <w:tc>
          <w:tcPr>
            <w:tcW w:w="290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gridSpan w:val="2"/>
          </w:tcPr>
          <w:p>
            <w:pPr>
              <w:jc w:val="center"/>
              <w:ind w:left="250"/>
              <w:spacing w:after="0"/>
              <w:rPr>
                <w:sz w:val="20"/>
                <w:szCs w:val="20"/>
                <w:color w:val="auto"/>
              </w:rPr>
            </w:pPr>
            <w:r>
              <w:rPr>
                <w:rFonts w:ascii="Arial" w:cs="Arial" w:eastAsia="Arial" w:hAnsi="Arial"/>
                <w:sz w:val="18"/>
                <w:szCs w:val="18"/>
                <w:b w:val="1"/>
                <w:bCs w:val="1"/>
                <w:color w:val="auto"/>
                <w:w w:val="99"/>
              </w:rPr>
              <w:t>Income Taxes</w:t>
            </w:r>
          </w:p>
        </w:tc>
        <w:tc>
          <w:tcPr>
            <w:tcW w:w="1600" w:type="dxa"/>
            <w:vAlign w:val="bottom"/>
            <w:tcBorders>
              <w:bottom w:val="single" w:sz="8" w:color="auto"/>
            </w:tcBorders>
            <w:gridSpan w:val="2"/>
          </w:tcPr>
          <w:p>
            <w:pPr>
              <w:jc w:val="center"/>
              <w:ind w:right="10"/>
              <w:spacing w:after="0"/>
              <w:rPr>
                <w:sz w:val="20"/>
                <w:szCs w:val="20"/>
                <w:color w:val="auto"/>
              </w:rPr>
            </w:pPr>
            <w:r>
              <w:rPr>
                <w:rFonts w:ascii="Arial" w:cs="Arial" w:eastAsia="Arial" w:hAnsi="Arial"/>
                <w:sz w:val="18"/>
                <w:szCs w:val="18"/>
                <w:b w:val="1"/>
                <w:bCs w:val="1"/>
                <w:color w:val="auto"/>
                <w:w w:val="99"/>
              </w:rPr>
              <w:t>Income Taxes</w:t>
            </w: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b w:val="1"/>
                <w:bCs w:val="1"/>
                <w:color w:val="auto"/>
                <w:w w:val="99"/>
              </w:rPr>
              <w:t>Parent</w:t>
            </w:r>
          </w:p>
        </w:tc>
        <w:tc>
          <w:tcPr>
            <w:tcW w:w="168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Operations</w:t>
            </w:r>
          </w:p>
        </w:tc>
      </w:tr>
      <w:tr>
        <w:trPr>
          <w:trHeight w:val="278"/>
        </w:trPr>
        <w:tc>
          <w:tcPr>
            <w:tcW w:w="2900" w:type="dxa"/>
            <w:vAlign w:val="bottom"/>
          </w:tcPr>
          <w:p>
            <w:pPr>
              <w:ind w:left="20"/>
              <w:spacing w:after="0"/>
              <w:rPr>
                <w:sz w:val="20"/>
                <w:szCs w:val="20"/>
                <w:color w:val="auto"/>
              </w:rPr>
            </w:pPr>
            <w:r>
              <w:rPr>
                <w:rFonts w:ascii="Arial" w:cs="Arial" w:eastAsia="Arial" w:hAnsi="Arial"/>
                <w:sz w:val="18"/>
                <w:szCs w:val="18"/>
                <w:color w:val="auto"/>
              </w:rPr>
              <w:t>Reported (GAAP)</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430"/>
              <w:spacing w:after="0"/>
              <w:rPr>
                <w:sz w:val="20"/>
                <w:szCs w:val="20"/>
                <w:color w:val="auto"/>
              </w:rPr>
            </w:pPr>
            <w:r>
              <w:rPr>
                <w:rFonts w:ascii="Arial" w:cs="Arial" w:eastAsia="Arial" w:hAnsi="Arial"/>
                <w:sz w:val="18"/>
                <w:szCs w:val="18"/>
                <w:color w:val="auto"/>
              </w:rPr>
              <w:t>120</w:t>
            </w: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 xml:space="preserve">(45) </w:t>
            </w:r>
            <w:r>
              <w:rPr>
                <w:rFonts w:ascii="Arial" w:cs="Arial" w:eastAsia="Arial" w:hAnsi="Arial"/>
                <w:sz w:val="23"/>
                <w:szCs w:val="23"/>
                <w:color w:val="auto"/>
                <w:vertAlign w:val="superscript"/>
              </w:rPr>
              <w:t>(d)</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30"/>
              <w:spacing w:after="0"/>
              <w:rPr>
                <w:sz w:val="20"/>
                <w:szCs w:val="20"/>
                <w:color w:val="auto"/>
              </w:rPr>
            </w:pPr>
            <w:r>
              <w:rPr>
                <w:rFonts w:ascii="Arial" w:cs="Arial" w:eastAsia="Arial" w:hAnsi="Arial"/>
                <w:sz w:val="18"/>
                <w:szCs w:val="18"/>
                <w:color w:val="auto"/>
              </w:rPr>
              <w:t>(4)</w:t>
            </w: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(.01)</w:t>
            </w:r>
          </w:p>
        </w:tc>
      </w:tr>
      <w:tr>
        <w:trPr>
          <w:trHeight w:val="239"/>
        </w:trPr>
        <w:tc>
          <w:tcPr>
            <w:tcW w:w="2900" w:type="dxa"/>
            <w:vAlign w:val="bottom"/>
          </w:tcPr>
          <w:p>
            <w:pPr>
              <w:ind w:left="20"/>
              <w:spacing w:after="0"/>
              <w:rPr>
                <w:sz w:val="20"/>
                <w:szCs w:val="20"/>
                <w:color w:val="auto"/>
              </w:rPr>
            </w:pPr>
            <w:r>
              <w:rPr>
                <w:rFonts w:ascii="Arial" w:cs="Arial" w:eastAsia="Arial" w:hAnsi="Arial"/>
                <w:sz w:val="18"/>
                <w:szCs w:val="18"/>
                <w:color w:val="auto"/>
              </w:rPr>
              <w:t>Items affecting comparability:</w:t>
            </w:r>
          </w:p>
        </w:tc>
        <w:tc>
          <w:tcPr>
            <w:tcW w:w="1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01"/>
        </w:trPr>
        <w:tc>
          <w:tcPr>
            <w:tcW w:w="2900" w:type="dxa"/>
            <w:vAlign w:val="bottom"/>
          </w:tcPr>
          <w:p>
            <w:pPr>
              <w:ind w:left="220"/>
              <w:spacing w:after="0"/>
              <w:rPr>
                <w:sz w:val="20"/>
                <w:szCs w:val="20"/>
                <w:color w:val="auto"/>
              </w:rPr>
            </w:pPr>
            <w:r>
              <w:rPr>
                <w:rFonts w:ascii="Arial" w:cs="Arial" w:eastAsia="Arial" w:hAnsi="Arial"/>
                <w:sz w:val="18"/>
                <w:szCs w:val="18"/>
                <w:color w:val="auto"/>
              </w:rPr>
              <w:t xml:space="preserve">Impairment charges </w:t>
            </w:r>
            <w:r>
              <w:rPr>
                <w:rFonts w:ascii="Arial" w:cs="Arial" w:eastAsia="Arial" w:hAnsi="Arial"/>
                <w:sz w:val="23"/>
                <w:szCs w:val="23"/>
                <w:color w:val="auto"/>
                <w:vertAlign w:val="superscript"/>
              </w:rPr>
              <w:t>(a)</w:t>
            </w:r>
          </w:p>
        </w:tc>
        <w:tc>
          <w:tcPr>
            <w:tcW w:w="1120" w:type="dxa"/>
            <w:vAlign w:val="bottom"/>
          </w:tcPr>
          <w:p>
            <w:pPr>
              <w:spacing w:after="0"/>
              <w:rPr>
                <w:sz w:val="24"/>
                <w:szCs w:val="24"/>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color w:val="auto"/>
              </w:rPr>
              <w:t>(26)</w:t>
            </w:r>
          </w:p>
        </w:tc>
        <w:tc>
          <w:tcPr>
            <w:tcW w:w="500" w:type="dxa"/>
            <w:vAlign w:val="bottom"/>
          </w:tcPr>
          <w:p>
            <w:pPr>
              <w:spacing w:after="0"/>
              <w:rPr>
                <w:sz w:val="24"/>
                <w:szCs w:val="24"/>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color w:val="auto"/>
              </w:rPr>
              <w:t>78</w:t>
            </w:r>
          </w:p>
        </w:tc>
        <w:tc>
          <w:tcPr>
            <w:tcW w:w="720" w:type="dxa"/>
            <w:vAlign w:val="bottom"/>
          </w:tcPr>
          <w:p>
            <w:pPr>
              <w:spacing w:after="0"/>
              <w:rPr>
                <w:sz w:val="24"/>
                <w:szCs w:val="24"/>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.12</w:t>
            </w:r>
          </w:p>
        </w:tc>
      </w:tr>
      <w:tr>
        <w:trPr>
          <w:trHeight w:val="270"/>
        </w:trPr>
        <w:tc>
          <w:tcPr>
            <w:tcW w:w="2900" w:type="dxa"/>
            <w:vAlign w:val="bottom"/>
          </w:tcPr>
          <w:p>
            <w:pPr>
              <w:ind w:left="220"/>
              <w:spacing w:after="0"/>
              <w:rPr>
                <w:sz w:val="20"/>
                <w:szCs w:val="20"/>
                <w:color w:val="auto"/>
              </w:rPr>
            </w:pPr>
            <w:r>
              <w:rPr>
                <w:rFonts w:ascii="Arial" w:cs="Arial" w:eastAsia="Arial" w:hAnsi="Arial"/>
                <w:sz w:val="18"/>
                <w:szCs w:val="18"/>
                <w:color w:val="auto"/>
              </w:rPr>
              <w:t xml:space="preserve">Restructuring charges </w:t>
            </w:r>
            <w:r>
              <w:rPr>
                <w:rFonts w:ascii="Arial" w:cs="Arial" w:eastAsia="Arial" w:hAnsi="Arial"/>
                <w:sz w:val="23"/>
                <w:szCs w:val="23"/>
                <w:color w:val="auto"/>
                <w:vertAlign w:val="superscript"/>
              </w:rPr>
              <w:t>(b)</w:t>
            </w:r>
          </w:p>
        </w:tc>
        <w:tc>
          <w:tcPr>
            <w:tcW w:w="1120" w:type="dxa"/>
            <w:vAlign w:val="bottom"/>
          </w:tcPr>
          <w:p>
            <w:pPr>
              <w:spacing w:after="0"/>
              <w:rPr>
                <w:sz w:val="23"/>
                <w:szCs w:val="23"/>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color w:val="auto"/>
              </w:rPr>
              <w:t>288</w:t>
            </w:r>
          </w:p>
        </w:tc>
        <w:tc>
          <w:tcPr>
            <w:tcW w:w="540" w:type="dxa"/>
            <w:vAlign w:val="bottom"/>
          </w:tcPr>
          <w:p>
            <w:pPr>
              <w:spacing w:after="0"/>
              <w:rPr>
                <w:sz w:val="23"/>
                <w:szCs w:val="23"/>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color w:val="auto"/>
              </w:rPr>
              <w:t>(66)</w:t>
            </w:r>
          </w:p>
        </w:tc>
        <w:tc>
          <w:tcPr>
            <w:tcW w:w="500" w:type="dxa"/>
            <w:vAlign w:val="bottom"/>
          </w:tcPr>
          <w:p>
            <w:pPr>
              <w:spacing w:after="0"/>
              <w:rPr>
                <w:sz w:val="23"/>
                <w:szCs w:val="23"/>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color w:val="auto"/>
              </w:rPr>
              <w:t>222</w:t>
            </w:r>
          </w:p>
        </w:tc>
        <w:tc>
          <w:tcPr>
            <w:tcW w:w="720" w:type="dxa"/>
            <w:vAlign w:val="bottom"/>
          </w:tcPr>
          <w:p>
            <w:pPr>
              <w:spacing w:after="0"/>
              <w:rPr>
                <w:sz w:val="23"/>
                <w:szCs w:val="23"/>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.33</w:t>
            </w:r>
          </w:p>
        </w:tc>
      </w:tr>
      <w:tr>
        <w:trPr>
          <w:trHeight w:val="270"/>
        </w:trPr>
        <w:tc>
          <w:tcPr>
            <w:tcW w:w="2900" w:type="dxa"/>
            <w:vAlign w:val="bottom"/>
          </w:tcPr>
          <w:p>
            <w:pPr>
              <w:ind w:left="220"/>
              <w:spacing w:after="0"/>
              <w:rPr>
                <w:sz w:val="20"/>
                <w:szCs w:val="20"/>
                <w:color w:val="auto"/>
              </w:rPr>
            </w:pPr>
            <w:r>
              <w:rPr>
                <w:rFonts w:ascii="Arial" w:cs="Arial" w:eastAsia="Arial" w:hAnsi="Arial"/>
                <w:sz w:val="18"/>
                <w:szCs w:val="18"/>
                <w:color w:val="auto"/>
              </w:rPr>
              <w:t xml:space="preserve">Transaction-related costs </w:t>
            </w:r>
            <w:r>
              <w:rPr>
                <w:rFonts w:ascii="Arial" w:cs="Arial" w:eastAsia="Arial" w:hAnsi="Arial"/>
                <w:sz w:val="23"/>
                <w:szCs w:val="23"/>
                <w:color w:val="auto"/>
                <w:vertAlign w:val="superscript"/>
              </w:rPr>
              <w:t>(c)</w:t>
            </w:r>
          </w:p>
        </w:tc>
        <w:tc>
          <w:tcPr>
            <w:tcW w:w="1120" w:type="dxa"/>
            <w:vAlign w:val="bottom"/>
          </w:tcPr>
          <w:p>
            <w:pPr>
              <w:spacing w:after="0"/>
              <w:rPr>
                <w:sz w:val="23"/>
                <w:szCs w:val="23"/>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color w:val="auto"/>
              </w:rPr>
              <w:t>33</w:t>
            </w:r>
          </w:p>
        </w:tc>
        <w:tc>
          <w:tcPr>
            <w:tcW w:w="540" w:type="dxa"/>
            <w:vAlign w:val="bottom"/>
          </w:tcPr>
          <w:p>
            <w:pPr>
              <w:spacing w:after="0"/>
              <w:rPr>
                <w:sz w:val="23"/>
                <w:szCs w:val="23"/>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color w:val="auto"/>
              </w:rPr>
              <w:t>33</w:t>
            </w:r>
          </w:p>
        </w:tc>
        <w:tc>
          <w:tcPr>
            <w:tcW w:w="720" w:type="dxa"/>
            <w:vAlign w:val="bottom"/>
          </w:tcPr>
          <w:p>
            <w:pPr>
              <w:spacing w:after="0"/>
              <w:rPr>
                <w:sz w:val="23"/>
                <w:szCs w:val="23"/>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.05</w:t>
            </w:r>
          </w:p>
        </w:tc>
      </w:tr>
      <w:tr>
        <w:trPr>
          <w:trHeight w:val="239"/>
        </w:trPr>
        <w:tc>
          <w:tcPr>
            <w:tcW w:w="2900" w:type="dxa"/>
            <w:vAlign w:val="bottom"/>
          </w:tcPr>
          <w:p>
            <w:pPr>
              <w:ind w:left="220"/>
              <w:spacing w:after="0"/>
              <w:rPr>
                <w:sz w:val="20"/>
                <w:szCs w:val="20"/>
                <w:color w:val="auto"/>
              </w:rPr>
            </w:pPr>
            <w:r>
              <w:rPr>
                <w:rFonts w:ascii="Arial" w:cs="Arial" w:eastAsia="Arial" w:hAnsi="Arial"/>
                <w:sz w:val="18"/>
                <w:szCs w:val="18"/>
                <w:color w:val="auto"/>
              </w:rPr>
              <w:t>Discrete tax items</w:t>
            </w:r>
          </w:p>
        </w:tc>
        <w:tc>
          <w:tcPr>
            <w:tcW w:w="112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20"/>
                <w:szCs w:val="20"/>
                <w:color w:val="auto"/>
              </w:rPr>
            </w:pPr>
          </w:p>
        </w:tc>
        <w:tc>
          <w:tcPr>
            <w:tcW w:w="1100" w:type="dxa"/>
            <w:vAlign w:val="bottom"/>
          </w:tcPr>
          <w:p>
            <w:pPr>
              <w:jc w:val="right"/>
              <w:ind w:right="230"/>
              <w:spacing w:after="0"/>
              <w:rPr>
                <w:sz w:val="20"/>
                <w:szCs w:val="20"/>
                <w:color w:val="auto"/>
              </w:rPr>
            </w:pPr>
            <w:r>
              <w:rPr>
                <w:rFonts w:ascii="Arial" w:cs="Arial" w:eastAsia="Arial" w:hAnsi="Arial"/>
                <w:sz w:val="18"/>
                <w:szCs w:val="18"/>
                <w:color w:val="auto"/>
              </w:rPr>
              <w:t>(2)</w:t>
            </w:r>
          </w:p>
        </w:tc>
        <w:tc>
          <w:tcPr>
            <w:tcW w:w="72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w:t>
            </w:r>
          </w:p>
        </w:tc>
      </w:tr>
      <w:tr>
        <w:trPr>
          <w:trHeight w:val="23"/>
        </w:trPr>
        <w:tc>
          <w:tcPr>
            <w:tcW w:w="29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70"/>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Adjusted (Non-GAAP)</w:t>
            </w: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545</w:t>
            </w:r>
          </w:p>
        </w:tc>
        <w:tc>
          <w:tcPr>
            <w:tcW w:w="5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 xml:space="preserve">(139) </w:t>
            </w:r>
            <w:r>
              <w:rPr>
                <w:rFonts w:ascii="Arial" w:cs="Arial" w:eastAsia="Arial" w:hAnsi="Arial"/>
                <w:sz w:val="23"/>
                <w:szCs w:val="23"/>
                <w:color w:val="auto"/>
                <w:vertAlign w:val="superscript"/>
              </w:rPr>
              <w:t>(d)</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327</w:t>
            </w: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.49</w:t>
            </w:r>
          </w:p>
        </w:tc>
      </w:tr>
    </w:tbl>
    <w:p>
      <w:pPr>
        <w:spacing w:after="0" w:line="118" w:lineRule="exact"/>
        <w:rPr>
          <w:sz w:val="20"/>
          <w:szCs w:val="20"/>
          <w:color w:val="auto"/>
        </w:rPr>
      </w:pPr>
    </w:p>
    <w:p>
      <w:pPr>
        <w:ind w:left="640" w:hanging="227"/>
        <w:spacing w:after="0"/>
        <w:tabs>
          <w:tab w:leader="none" w:pos="6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Reflects a charge to reduce the carrying values of FCC licenses in certain markets to their estimated fair values.</w:t>
      </w:r>
    </w:p>
    <w:p>
      <w:pPr>
        <w:spacing w:after="0" w:line="57" w:lineRule="exact"/>
        <w:rPr>
          <w:rFonts w:ascii="Arial" w:cs="Arial" w:eastAsia="Arial" w:hAnsi="Arial"/>
          <w:sz w:val="15"/>
          <w:szCs w:val="15"/>
          <w:color w:val="auto"/>
        </w:rPr>
      </w:pPr>
    </w:p>
    <w:p>
      <w:pPr>
        <w:ind w:left="640" w:hanging="227"/>
        <w:spacing w:after="0"/>
        <w:tabs>
          <w:tab w:leader="none" w:pos="6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Reflects severance charges associated with strategic changes in our global workforce.</w:t>
      </w:r>
    </w:p>
    <w:p>
      <w:pPr>
        <w:spacing w:after="0" w:line="70" w:lineRule="exact"/>
        <w:rPr>
          <w:rFonts w:ascii="Arial" w:cs="Arial" w:eastAsia="Arial" w:hAnsi="Arial"/>
          <w:sz w:val="15"/>
          <w:szCs w:val="15"/>
          <w:color w:val="auto"/>
        </w:rPr>
      </w:pPr>
    </w:p>
    <w:p>
      <w:pPr>
        <w:ind w:left="640" w:hanging="227"/>
        <w:spacing w:after="0"/>
        <w:tabs>
          <w:tab w:leader="none" w:pos="6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Reflects legal and advisory fees relating to the Transactions.</w:t>
      </w:r>
    </w:p>
    <w:p>
      <w:pPr>
        <w:spacing w:after="0" w:line="70" w:lineRule="exact"/>
        <w:rPr>
          <w:rFonts w:ascii="Arial" w:cs="Arial" w:eastAsia="Arial" w:hAnsi="Arial"/>
          <w:sz w:val="15"/>
          <w:szCs w:val="15"/>
          <w:color w:val="auto"/>
        </w:rPr>
      </w:pPr>
    </w:p>
    <w:p>
      <w:pPr>
        <w:ind w:left="660" w:right="420" w:hanging="247"/>
        <w:spacing w:after="0" w:line="273" w:lineRule="auto"/>
        <w:tabs>
          <w:tab w:leader="none" w:pos="646"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reported effective income tax rate for the three months ended September 30, 2024 was 37.5% and the adjusted effective income tax rate, which is calculated as the adjusted provision for income taxes of $139 million divided by adjusted earnings from continuing operations before income taxes of $545 million, was 25.5%. These adjusted measures exclude the items affecting comparability detailed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097"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22"/>
          <w:szCs w:val="22"/>
          <w:b w:val="1"/>
          <w:bCs w:val="1"/>
          <w:color w:val="auto"/>
        </w:rPr>
        <w:t>SUPPLEMENTAL DISCLOSURES REGARDING NON-GAAP FINANCIAL MEASURES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in millions, except per share amounts)</w:t>
      </w:r>
    </w:p>
    <w:p>
      <w:pPr>
        <w:spacing w:after="0" w:line="35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Nine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121920</wp:posOffset>
            </wp:positionV>
            <wp:extent cx="668655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686550" cy="17145"/>
                    </a:xfrm>
                    <a:prstGeom prst="rect">
                      <a:avLst/>
                    </a:prstGeom>
                    <a:noFill/>
                  </pic:spPr>
                </pic:pic>
              </a:graphicData>
            </a:graphic>
          </wp:anchor>
        </w:drawing>
      </w:r>
    </w:p>
    <w:p>
      <w:pPr>
        <w:spacing w:after="0" w:line="207" w:lineRule="exact"/>
        <w:rPr>
          <w:sz w:val="20"/>
          <w:szCs w:val="20"/>
          <w:color w:val="auto"/>
        </w:rPr>
      </w:pPr>
    </w:p>
    <w:tbl>
      <w:tblPr>
        <w:tblLayout w:type="fixed"/>
        <w:tblInd w:w="360" w:type="dxa"/>
        <w:tblCellMar>
          <w:top w:w="0" w:type="dxa"/>
          <w:left w:w="0" w:type="dxa"/>
          <w:bottom w:w="0" w:type="dxa"/>
          <w:right w:w="0" w:type="dxa"/>
        </w:tblCellMar>
      </w:tblPr>
      <w:tr>
        <w:trPr>
          <w:trHeight w:val="255"/>
        </w:trPr>
        <w:tc>
          <w:tcPr>
            <w:tcW w:w="3640" w:type="dxa"/>
            <w:vAlign w:val="bottom"/>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3"/>
          </w:tcPr>
          <w:p>
            <w:pPr>
              <w:jc w:val="center"/>
              <w:ind w:left="373"/>
              <w:spacing w:after="0"/>
              <w:rPr>
                <w:sz w:val="20"/>
                <w:szCs w:val="20"/>
                <w:color w:val="auto"/>
              </w:rPr>
            </w:pPr>
            <w:r>
              <w:rPr>
                <w:rFonts w:ascii="Arial" w:cs="Arial" w:eastAsia="Arial" w:hAnsi="Arial"/>
                <w:sz w:val="18"/>
                <w:szCs w:val="18"/>
                <w:b w:val="1"/>
                <w:bCs w:val="1"/>
                <w:color w:val="auto"/>
              </w:rPr>
              <w:t>Successor</w:t>
            </w:r>
          </w:p>
        </w:tc>
        <w:tc>
          <w:tcPr>
            <w:tcW w:w="13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r>
      <w:tr>
        <w:trPr>
          <w:trHeight w:val="263"/>
        </w:trPr>
        <w:tc>
          <w:tcPr>
            <w:tcW w:w="3640" w:type="dxa"/>
            <w:vAlign w:val="bottom"/>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4700" w:type="dxa"/>
            <w:vAlign w:val="bottom"/>
            <w:tcBorders>
              <w:bottom w:val="single" w:sz="8" w:color="auto"/>
            </w:tcBorders>
            <w:gridSpan w:val="6"/>
          </w:tcPr>
          <w:p>
            <w:pPr>
              <w:jc w:val="center"/>
              <w:ind w:left="810"/>
              <w:spacing w:after="0"/>
              <w:rPr>
                <w:sz w:val="20"/>
                <w:szCs w:val="20"/>
                <w:color w:val="auto"/>
              </w:rPr>
            </w:pPr>
            <w:r>
              <w:rPr>
                <w:rFonts w:ascii="Arial" w:cs="Arial" w:eastAsia="Arial" w:hAnsi="Arial"/>
                <w:sz w:val="18"/>
                <w:szCs w:val="18"/>
                <w:b w:val="1"/>
                <w:bCs w:val="1"/>
                <w:color w:val="auto"/>
                <w:w w:val="99"/>
              </w:rPr>
              <w:t>Period From August 7 - September 30, 2025</w:t>
            </w:r>
          </w:p>
        </w:tc>
        <w:tc>
          <w:tcPr>
            <w:tcW w:w="5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r>
      <w:tr>
        <w:trPr>
          <w:trHeight w:val="224"/>
        </w:trPr>
        <w:tc>
          <w:tcPr>
            <w:tcW w:w="3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Net Earnings from</w:t>
            </w: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6"/>
        </w:trPr>
        <w:tc>
          <w:tcPr>
            <w:tcW w:w="364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Earnings from</w:t>
            </w: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gridSpan w:val="2"/>
          </w:tcPr>
          <w:p>
            <w:pPr>
              <w:jc w:val="center"/>
              <w:spacing w:after="0"/>
              <w:rPr>
                <w:sz w:val="20"/>
                <w:szCs w:val="20"/>
                <w:color w:val="auto"/>
              </w:rPr>
            </w:pPr>
            <w:r>
              <w:rPr>
                <w:rFonts w:ascii="Arial" w:cs="Arial" w:eastAsia="Arial" w:hAnsi="Arial"/>
                <w:sz w:val="18"/>
                <w:szCs w:val="18"/>
                <w:b w:val="1"/>
                <w:bCs w:val="1"/>
                <w:color w:val="auto"/>
              </w:rPr>
              <w:t>Continuing</w:t>
            </w: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364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Continuing</w:t>
            </w:r>
          </w:p>
        </w:tc>
        <w:tc>
          <w:tcPr>
            <w:tcW w:w="1700" w:type="dxa"/>
            <w:vAlign w:val="bottom"/>
            <w:gridSpan w:val="3"/>
          </w:tcPr>
          <w:p>
            <w:pPr>
              <w:ind w:left="360"/>
              <w:spacing w:after="0"/>
              <w:rPr>
                <w:sz w:val="20"/>
                <w:szCs w:val="20"/>
                <w:color w:val="auto"/>
              </w:rPr>
            </w:pPr>
            <w:r>
              <w:rPr>
                <w:rFonts w:ascii="Arial" w:cs="Arial" w:eastAsia="Arial" w:hAnsi="Arial"/>
                <w:sz w:val="18"/>
                <w:szCs w:val="18"/>
                <w:b w:val="1"/>
                <w:bCs w:val="1"/>
                <w:color w:val="auto"/>
              </w:rPr>
              <w:t>Benefit from</w:t>
            </w:r>
          </w:p>
        </w:tc>
        <w:tc>
          <w:tcPr>
            <w:tcW w:w="1940" w:type="dxa"/>
            <w:vAlign w:val="bottom"/>
            <w:gridSpan w:val="2"/>
          </w:tcPr>
          <w:p>
            <w:pPr>
              <w:jc w:val="center"/>
              <w:spacing w:after="0"/>
              <w:rPr>
                <w:sz w:val="20"/>
                <w:szCs w:val="20"/>
                <w:color w:val="auto"/>
              </w:rPr>
            </w:pPr>
            <w:r>
              <w:rPr>
                <w:rFonts w:ascii="Arial" w:cs="Arial" w:eastAsia="Arial" w:hAnsi="Arial"/>
                <w:sz w:val="18"/>
                <w:szCs w:val="18"/>
                <w:b w:val="1"/>
                <w:bCs w:val="1"/>
                <w:color w:val="auto"/>
              </w:rPr>
              <w:t>Operations</w:t>
            </w:r>
          </w:p>
        </w:tc>
        <w:tc>
          <w:tcPr>
            <w:tcW w:w="1540" w:type="dxa"/>
            <w:vAlign w:val="bottom"/>
            <w:gridSpan w:val="2"/>
          </w:tcPr>
          <w:p>
            <w:pPr>
              <w:jc w:val="center"/>
              <w:spacing w:after="0"/>
              <w:rPr>
                <w:sz w:val="20"/>
                <w:szCs w:val="20"/>
                <w:color w:val="auto"/>
              </w:rPr>
            </w:pPr>
            <w:r>
              <w:rPr>
                <w:rFonts w:ascii="Arial" w:cs="Arial" w:eastAsia="Arial" w:hAnsi="Arial"/>
                <w:sz w:val="18"/>
                <w:szCs w:val="18"/>
                <w:b w:val="1"/>
                <w:bCs w:val="1"/>
                <w:color w:val="auto"/>
              </w:rPr>
              <w:t>Diluted EPS from</w:t>
            </w:r>
          </w:p>
        </w:tc>
      </w:tr>
      <w:tr>
        <w:trPr>
          <w:trHeight w:val="216"/>
        </w:trPr>
        <w:tc>
          <w:tcPr>
            <w:tcW w:w="364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b w:val="1"/>
                <w:bCs w:val="1"/>
                <w:color w:val="auto"/>
              </w:rPr>
              <w:t>Operations Before</w:t>
            </w:r>
          </w:p>
        </w:tc>
        <w:tc>
          <w:tcPr>
            <w:tcW w:w="170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rPr>
              <w:t>(Provision for)</w:t>
            </w:r>
          </w:p>
        </w:tc>
        <w:tc>
          <w:tcPr>
            <w:tcW w:w="1940" w:type="dxa"/>
            <w:vAlign w:val="bottom"/>
            <w:gridSpan w:val="2"/>
          </w:tcPr>
          <w:p>
            <w:pPr>
              <w:jc w:val="center"/>
              <w:spacing w:after="0"/>
              <w:rPr>
                <w:sz w:val="20"/>
                <w:szCs w:val="20"/>
                <w:color w:val="auto"/>
              </w:rPr>
            </w:pPr>
            <w:r>
              <w:rPr>
                <w:rFonts w:ascii="Arial" w:cs="Arial" w:eastAsia="Arial" w:hAnsi="Arial"/>
                <w:sz w:val="18"/>
                <w:szCs w:val="18"/>
                <w:b w:val="1"/>
                <w:bCs w:val="1"/>
                <w:color w:val="auto"/>
              </w:rPr>
              <w:t>Attributable to</w:t>
            </w:r>
          </w:p>
        </w:tc>
        <w:tc>
          <w:tcPr>
            <w:tcW w:w="1540" w:type="dxa"/>
            <w:vAlign w:val="bottom"/>
            <w:gridSpan w:val="2"/>
          </w:tcPr>
          <w:p>
            <w:pPr>
              <w:jc w:val="center"/>
              <w:spacing w:after="0"/>
              <w:rPr>
                <w:sz w:val="20"/>
                <w:szCs w:val="20"/>
                <w:color w:val="auto"/>
              </w:rPr>
            </w:pPr>
            <w:r>
              <w:rPr>
                <w:rFonts w:ascii="Arial" w:cs="Arial" w:eastAsia="Arial" w:hAnsi="Arial"/>
                <w:sz w:val="18"/>
                <w:szCs w:val="18"/>
                <w:b w:val="1"/>
                <w:bCs w:val="1"/>
                <w:color w:val="auto"/>
              </w:rPr>
              <w:t>Continuing</w:t>
            </w:r>
          </w:p>
        </w:tc>
      </w:tr>
      <w:tr>
        <w:trPr>
          <w:trHeight w:val="255"/>
        </w:trPr>
        <w:tc>
          <w:tcPr>
            <w:tcW w:w="36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Income Taxes</w:t>
            </w:r>
          </w:p>
        </w:tc>
        <w:tc>
          <w:tcPr>
            <w:tcW w:w="17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9"/>
              </w:rPr>
              <w:t>Income Taxes</w:t>
            </w:r>
          </w:p>
        </w:tc>
        <w:tc>
          <w:tcPr>
            <w:tcW w:w="6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590"/>
              <w:spacing w:after="0"/>
              <w:rPr>
                <w:sz w:val="20"/>
                <w:szCs w:val="20"/>
                <w:color w:val="auto"/>
              </w:rPr>
            </w:pPr>
            <w:r>
              <w:rPr>
                <w:rFonts w:ascii="Arial" w:cs="Arial" w:eastAsia="Arial" w:hAnsi="Arial"/>
                <w:sz w:val="18"/>
                <w:szCs w:val="18"/>
                <w:b w:val="1"/>
                <w:bCs w:val="1"/>
                <w:color w:val="auto"/>
                <w:w w:val="99"/>
              </w:rPr>
              <w:t>Parent</w:t>
            </w: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Operations</w:t>
            </w:r>
          </w:p>
        </w:tc>
      </w:tr>
      <w:tr>
        <w:trPr>
          <w:trHeight w:val="247"/>
        </w:trPr>
        <w:tc>
          <w:tcPr>
            <w:tcW w:w="3640" w:type="dxa"/>
            <w:vAlign w:val="bottom"/>
          </w:tcPr>
          <w:p>
            <w:pPr>
              <w:ind w:left="20"/>
              <w:spacing w:after="0"/>
              <w:rPr>
                <w:sz w:val="20"/>
                <w:szCs w:val="20"/>
                <w:color w:val="auto"/>
              </w:rPr>
            </w:pPr>
            <w:r>
              <w:rPr>
                <w:rFonts w:ascii="Arial" w:cs="Arial" w:eastAsia="Arial" w:hAnsi="Arial"/>
                <w:sz w:val="18"/>
                <w:szCs w:val="18"/>
                <w:color w:val="auto"/>
              </w:rPr>
              <w:t>Reported (GAAP)</w:t>
            </w: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122</w:t>
            </w:r>
          </w:p>
        </w:tc>
        <w:tc>
          <w:tcPr>
            <w:tcW w:w="700" w:type="dxa"/>
            <w:vAlign w:val="bottom"/>
          </w:tcPr>
          <w:p>
            <w:pPr>
              <w:ind w:left="3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(85)</w:t>
            </w:r>
          </w:p>
        </w:tc>
        <w:tc>
          <w:tcPr>
            <w:tcW w:w="340" w:type="dxa"/>
            <w:vAlign w:val="bottom"/>
          </w:tcPr>
          <w:p>
            <w:pPr>
              <w:ind w:left="20"/>
              <w:spacing w:after="0"/>
              <w:rPr>
                <w:sz w:val="20"/>
                <w:szCs w:val="20"/>
                <w:color w:val="auto"/>
              </w:rPr>
            </w:pPr>
            <w:r>
              <w:rPr>
                <w:rFonts w:ascii="Arial" w:cs="Arial" w:eastAsia="Arial" w:hAnsi="Arial"/>
                <w:sz w:val="12"/>
                <w:szCs w:val="12"/>
                <w:color w:val="auto"/>
              </w:rPr>
              <w:t>(e)</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430"/>
              <w:spacing w:after="0"/>
              <w:rPr>
                <w:sz w:val="20"/>
                <w:szCs w:val="20"/>
                <w:color w:val="auto"/>
              </w:rPr>
            </w:pPr>
            <w:r>
              <w:rPr>
                <w:rFonts w:ascii="Arial" w:cs="Arial" w:eastAsia="Arial" w:hAnsi="Arial"/>
                <w:sz w:val="18"/>
                <w:szCs w:val="18"/>
                <w:color w:val="auto"/>
              </w:rPr>
              <w:t>(13)</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(.01)</w:t>
            </w:r>
          </w:p>
        </w:tc>
      </w:tr>
      <w:tr>
        <w:trPr>
          <w:trHeight w:val="270"/>
        </w:trPr>
        <w:tc>
          <w:tcPr>
            <w:tcW w:w="3640" w:type="dxa"/>
            <w:vAlign w:val="bottom"/>
          </w:tcPr>
          <w:p>
            <w:pPr>
              <w:ind w:left="20"/>
              <w:spacing w:after="0"/>
              <w:rPr>
                <w:sz w:val="20"/>
                <w:szCs w:val="20"/>
                <w:color w:val="auto"/>
              </w:rPr>
            </w:pPr>
            <w:r>
              <w:rPr>
                <w:rFonts w:ascii="Arial" w:cs="Arial" w:eastAsia="Arial" w:hAnsi="Arial"/>
                <w:sz w:val="18"/>
                <w:szCs w:val="18"/>
                <w:color w:val="auto"/>
              </w:rPr>
              <w:t>Items affecting comparability:</w:t>
            </w:r>
          </w:p>
        </w:tc>
        <w:tc>
          <w:tcPr>
            <w:tcW w:w="6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301"/>
        </w:trPr>
        <w:tc>
          <w:tcPr>
            <w:tcW w:w="3640" w:type="dxa"/>
            <w:vAlign w:val="bottom"/>
          </w:tcPr>
          <w:p>
            <w:pPr>
              <w:ind w:left="220"/>
              <w:spacing w:after="0"/>
              <w:rPr>
                <w:sz w:val="20"/>
                <w:szCs w:val="20"/>
                <w:color w:val="auto"/>
              </w:rPr>
            </w:pPr>
            <w:r>
              <w:rPr>
                <w:rFonts w:ascii="Arial" w:cs="Arial" w:eastAsia="Arial" w:hAnsi="Arial"/>
                <w:sz w:val="18"/>
                <w:szCs w:val="18"/>
                <w:color w:val="auto"/>
              </w:rPr>
              <w:t xml:space="preserve">Restructuring charges </w:t>
            </w:r>
            <w:r>
              <w:rPr>
                <w:rFonts w:ascii="Arial" w:cs="Arial" w:eastAsia="Arial" w:hAnsi="Arial"/>
                <w:sz w:val="23"/>
                <w:szCs w:val="23"/>
                <w:color w:val="auto"/>
                <w:vertAlign w:val="superscript"/>
              </w:rPr>
              <w:t>(a)</w:t>
            </w:r>
          </w:p>
        </w:tc>
        <w:tc>
          <w:tcPr>
            <w:tcW w:w="640" w:type="dxa"/>
            <w:vAlign w:val="bottom"/>
          </w:tcPr>
          <w:p>
            <w:pPr>
              <w:spacing w:after="0"/>
              <w:rPr>
                <w:sz w:val="24"/>
                <w:szCs w:val="24"/>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185</w:t>
            </w:r>
          </w:p>
        </w:tc>
        <w:tc>
          <w:tcPr>
            <w:tcW w:w="7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color w:val="auto"/>
              </w:rPr>
              <w:t>155</w:t>
            </w:r>
          </w:p>
        </w:tc>
        <w:tc>
          <w:tcPr>
            <w:tcW w:w="580" w:type="dxa"/>
            <w:vAlign w:val="bottom"/>
          </w:tcPr>
          <w:p>
            <w:pPr>
              <w:spacing w:after="0"/>
              <w:rPr>
                <w:sz w:val="24"/>
                <w:szCs w:val="24"/>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.13</w:t>
            </w:r>
          </w:p>
        </w:tc>
      </w:tr>
      <w:tr>
        <w:trPr>
          <w:trHeight w:val="239"/>
        </w:trPr>
        <w:tc>
          <w:tcPr>
            <w:tcW w:w="3640" w:type="dxa"/>
            <w:vAlign w:val="bottom"/>
          </w:tcPr>
          <w:p>
            <w:pPr>
              <w:ind w:left="220"/>
              <w:spacing w:after="0"/>
              <w:rPr>
                <w:sz w:val="20"/>
                <w:szCs w:val="20"/>
                <w:color w:val="auto"/>
              </w:rPr>
            </w:pPr>
            <w:r>
              <w:rPr>
                <w:rFonts w:ascii="Arial" w:cs="Arial" w:eastAsia="Arial" w:hAnsi="Arial"/>
                <w:sz w:val="18"/>
                <w:szCs w:val="18"/>
                <w:color w:val="auto"/>
              </w:rPr>
              <w:t>Discrete tax items</w:t>
            </w:r>
          </w:p>
        </w:tc>
        <w:tc>
          <w:tcPr>
            <w:tcW w:w="640" w:type="dxa"/>
            <w:vAlign w:val="bottom"/>
          </w:tcPr>
          <w:p>
            <w:pPr>
              <w:spacing w:after="0"/>
              <w:rPr>
                <w:sz w:val="20"/>
                <w:szCs w:val="20"/>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20" w:type="dxa"/>
            <w:vAlign w:val="bottom"/>
          </w:tcPr>
          <w:p>
            <w:pPr>
              <w:jc w:val="right"/>
              <w:ind w:right="430"/>
              <w:spacing w:after="0"/>
              <w:rPr>
                <w:sz w:val="20"/>
                <w:szCs w:val="20"/>
                <w:color w:val="auto"/>
              </w:rPr>
            </w:pPr>
            <w:r>
              <w:rPr>
                <w:rFonts w:ascii="Arial" w:cs="Arial" w:eastAsia="Arial" w:hAnsi="Arial"/>
                <w:sz w:val="18"/>
                <w:szCs w:val="18"/>
                <w:color w:val="auto"/>
              </w:rPr>
              <w:t>(4)</w:t>
            </w:r>
          </w:p>
        </w:tc>
        <w:tc>
          <w:tcPr>
            <w:tcW w:w="58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w:t>
            </w:r>
          </w:p>
        </w:tc>
      </w:tr>
      <w:tr>
        <w:trPr>
          <w:trHeight w:val="23"/>
        </w:trPr>
        <w:tc>
          <w:tcPr>
            <w:tcW w:w="36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1"/>
        </w:trPr>
        <w:tc>
          <w:tcPr>
            <w:tcW w:w="3640" w:type="dxa"/>
            <w:vAlign w:val="bottom"/>
          </w:tcPr>
          <w:p>
            <w:pPr>
              <w:ind w:left="20"/>
              <w:spacing w:after="0"/>
              <w:rPr>
                <w:sz w:val="20"/>
                <w:szCs w:val="20"/>
                <w:color w:val="auto"/>
              </w:rPr>
            </w:pPr>
            <w:r>
              <w:rPr>
                <w:rFonts w:ascii="Arial" w:cs="Arial" w:eastAsia="Arial" w:hAnsi="Arial"/>
                <w:sz w:val="18"/>
                <w:szCs w:val="18"/>
                <w:color w:val="auto"/>
              </w:rPr>
              <w:t>Adjusted (Non-GAAP)</w:t>
            </w: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307</w:t>
            </w:r>
          </w:p>
        </w:tc>
        <w:tc>
          <w:tcPr>
            <w:tcW w:w="700" w:type="dxa"/>
            <w:vAlign w:val="bottom"/>
          </w:tcPr>
          <w:p>
            <w:pPr>
              <w:ind w:left="3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(119)</w:t>
            </w:r>
          </w:p>
        </w:tc>
        <w:tc>
          <w:tcPr>
            <w:tcW w:w="340" w:type="dxa"/>
            <w:vAlign w:val="bottom"/>
          </w:tcPr>
          <w:p>
            <w:pPr>
              <w:ind w:left="20"/>
              <w:spacing w:after="0"/>
              <w:rPr>
                <w:sz w:val="20"/>
                <w:szCs w:val="20"/>
                <w:color w:val="auto"/>
              </w:rPr>
            </w:pPr>
            <w:r>
              <w:rPr>
                <w:rFonts w:ascii="Arial" w:cs="Arial" w:eastAsia="Arial" w:hAnsi="Arial"/>
                <w:sz w:val="12"/>
                <w:szCs w:val="12"/>
                <w:color w:val="auto"/>
              </w:rPr>
              <w:t>(e)</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470"/>
              <w:spacing w:after="0"/>
              <w:rPr>
                <w:sz w:val="20"/>
                <w:szCs w:val="20"/>
                <w:color w:val="auto"/>
              </w:rPr>
            </w:pPr>
            <w:r>
              <w:rPr>
                <w:rFonts w:ascii="Arial" w:cs="Arial" w:eastAsia="Arial" w:hAnsi="Arial"/>
                <w:sz w:val="18"/>
                <w:szCs w:val="18"/>
                <w:color w:val="auto"/>
              </w:rPr>
              <w:t>138</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.12</w:t>
            </w:r>
          </w:p>
        </w:tc>
      </w:tr>
      <w:tr>
        <w:trPr>
          <w:trHeight w:val="30"/>
        </w:trPr>
        <w:tc>
          <w:tcPr>
            <w:tcW w:w="36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3"/>
        </w:trPr>
        <w:tc>
          <w:tcPr>
            <w:tcW w:w="36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63"/>
        </w:trPr>
        <w:tc>
          <w:tcPr>
            <w:tcW w:w="3640" w:type="dxa"/>
            <w:vAlign w:val="bottom"/>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3"/>
          </w:tcPr>
          <w:p>
            <w:pPr>
              <w:jc w:val="center"/>
              <w:ind w:left="373"/>
              <w:spacing w:after="0"/>
              <w:rPr>
                <w:sz w:val="20"/>
                <w:szCs w:val="20"/>
                <w:color w:val="auto"/>
              </w:rPr>
            </w:pPr>
            <w:r>
              <w:rPr>
                <w:rFonts w:ascii="Arial" w:cs="Arial" w:eastAsia="Arial" w:hAnsi="Arial"/>
                <w:sz w:val="18"/>
                <w:szCs w:val="18"/>
                <w:b w:val="1"/>
                <w:bCs w:val="1"/>
                <w:color w:val="auto"/>
                <w:w w:val="99"/>
              </w:rPr>
              <w:t>Predecessor</w:t>
            </w:r>
          </w:p>
        </w:tc>
        <w:tc>
          <w:tcPr>
            <w:tcW w:w="13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r>
      <w:tr>
        <w:trPr>
          <w:trHeight w:val="263"/>
        </w:trPr>
        <w:tc>
          <w:tcPr>
            <w:tcW w:w="3640" w:type="dxa"/>
            <w:vAlign w:val="bottom"/>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3640" w:type="dxa"/>
            <w:vAlign w:val="bottom"/>
            <w:tcBorders>
              <w:bottom w:val="single" w:sz="8" w:color="auto"/>
            </w:tcBorders>
            <w:gridSpan w:val="5"/>
          </w:tcPr>
          <w:p>
            <w:pPr>
              <w:jc w:val="center"/>
              <w:ind w:right="70"/>
              <w:spacing w:after="0"/>
              <w:rPr>
                <w:sz w:val="20"/>
                <w:szCs w:val="20"/>
                <w:color w:val="auto"/>
              </w:rPr>
            </w:pPr>
            <w:r>
              <w:rPr>
                <w:rFonts w:ascii="Arial" w:cs="Arial" w:eastAsia="Arial" w:hAnsi="Arial"/>
                <w:sz w:val="18"/>
                <w:szCs w:val="18"/>
                <w:b w:val="1"/>
                <w:bCs w:val="1"/>
                <w:color w:val="auto"/>
                <w:w w:val="99"/>
              </w:rPr>
              <w:t>Period From January 1 - August 6, 2025</w:t>
            </w:r>
          </w:p>
        </w:tc>
        <w:tc>
          <w:tcPr>
            <w:tcW w:w="5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r>
      <w:tr>
        <w:trPr>
          <w:trHeight w:val="224"/>
        </w:trPr>
        <w:tc>
          <w:tcPr>
            <w:tcW w:w="3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40" w:type="dxa"/>
            <w:vAlign w:val="bottom"/>
            <w:gridSpan w:val="2"/>
          </w:tcPr>
          <w:p>
            <w:pPr>
              <w:jc w:val="center"/>
              <w:spacing w:after="0"/>
              <w:rPr>
                <w:sz w:val="20"/>
                <w:szCs w:val="20"/>
                <w:color w:val="auto"/>
              </w:rPr>
            </w:pPr>
            <w:r>
              <w:rPr>
                <w:rFonts w:ascii="Arial" w:cs="Arial" w:eastAsia="Arial" w:hAnsi="Arial"/>
                <w:sz w:val="18"/>
                <w:szCs w:val="18"/>
                <w:b w:val="1"/>
                <w:bCs w:val="1"/>
                <w:color w:val="auto"/>
              </w:rPr>
              <w:t>Net Earnings</w:t>
            </w: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6"/>
        </w:trPr>
        <w:tc>
          <w:tcPr>
            <w:tcW w:w="3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gridSpan w:val="2"/>
          </w:tcPr>
          <w:p>
            <w:pPr>
              <w:jc w:val="center"/>
              <w:spacing w:after="0"/>
              <w:rPr>
                <w:sz w:val="20"/>
                <w:szCs w:val="20"/>
                <w:color w:val="auto"/>
              </w:rPr>
            </w:pPr>
            <w:r>
              <w:rPr>
                <w:rFonts w:ascii="Arial" w:cs="Arial" w:eastAsia="Arial" w:hAnsi="Arial"/>
                <w:sz w:val="18"/>
                <w:szCs w:val="18"/>
                <w:b w:val="1"/>
                <w:bCs w:val="1"/>
                <w:color w:val="auto"/>
              </w:rPr>
              <w:t>(Loss) from</w:t>
            </w: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364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Earnings from</w:t>
            </w: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gridSpan w:val="2"/>
          </w:tcPr>
          <w:p>
            <w:pPr>
              <w:jc w:val="center"/>
              <w:spacing w:after="0"/>
              <w:rPr>
                <w:sz w:val="20"/>
                <w:szCs w:val="20"/>
                <w:color w:val="auto"/>
              </w:rPr>
            </w:pPr>
            <w:r>
              <w:rPr>
                <w:rFonts w:ascii="Arial" w:cs="Arial" w:eastAsia="Arial" w:hAnsi="Arial"/>
                <w:sz w:val="18"/>
                <w:szCs w:val="18"/>
                <w:b w:val="1"/>
                <w:bCs w:val="1"/>
                <w:color w:val="auto"/>
              </w:rPr>
              <w:t>Continuing</w:t>
            </w: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364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Continuing</w:t>
            </w:r>
          </w:p>
        </w:tc>
        <w:tc>
          <w:tcPr>
            <w:tcW w:w="1700" w:type="dxa"/>
            <w:vAlign w:val="bottom"/>
            <w:gridSpan w:val="3"/>
          </w:tcPr>
          <w:p>
            <w:pPr>
              <w:ind w:left="360"/>
              <w:spacing w:after="0"/>
              <w:rPr>
                <w:sz w:val="20"/>
                <w:szCs w:val="20"/>
                <w:color w:val="auto"/>
              </w:rPr>
            </w:pPr>
            <w:r>
              <w:rPr>
                <w:rFonts w:ascii="Arial" w:cs="Arial" w:eastAsia="Arial" w:hAnsi="Arial"/>
                <w:sz w:val="18"/>
                <w:szCs w:val="18"/>
                <w:b w:val="1"/>
                <w:bCs w:val="1"/>
                <w:color w:val="auto"/>
              </w:rPr>
              <w:t>Benefit from</w:t>
            </w:r>
          </w:p>
        </w:tc>
        <w:tc>
          <w:tcPr>
            <w:tcW w:w="1940" w:type="dxa"/>
            <w:vAlign w:val="bottom"/>
            <w:gridSpan w:val="2"/>
          </w:tcPr>
          <w:p>
            <w:pPr>
              <w:jc w:val="center"/>
              <w:spacing w:after="0"/>
              <w:rPr>
                <w:sz w:val="20"/>
                <w:szCs w:val="20"/>
                <w:color w:val="auto"/>
              </w:rPr>
            </w:pPr>
            <w:r>
              <w:rPr>
                <w:rFonts w:ascii="Arial" w:cs="Arial" w:eastAsia="Arial" w:hAnsi="Arial"/>
                <w:sz w:val="18"/>
                <w:szCs w:val="18"/>
                <w:b w:val="1"/>
                <w:bCs w:val="1"/>
                <w:color w:val="auto"/>
              </w:rPr>
              <w:t>Operations</w:t>
            </w:r>
          </w:p>
        </w:tc>
        <w:tc>
          <w:tcPr>
            <w:tcW w:w="1540" w:type="dxa"/>
            <w:vAlign w:val="bottom"/>
            <w:gridSpan w:val="2"/>
          </w:tcPr>
          <w:p>
            <w:pPr>
              <w:jc w:val="center"/>
              <w:spacing w:after="0"/>
              <w:rPr>
                <w:sz w:val="20"/>
                <w:szCs w:val="20"/>
                <w:color w:val="auto"/>
              </w:rPr>
            </w:pPr>
            <w:r>
              <w:rPr>
                <w:rFonts w:ascii="Arial" w:cs="Arial" w:eastAsia="Arial" w:hAnsi="Arial"/>
                <w:sz w:val="18"/>
                <w:szCs w:val="18"/>
                <w:b w:val="1"/>
                <w:bCs w:val="1"/>
                <w:color w:val="auto"/>
              </w:rPr>
              <w:t>Diluted EPS from</w:t>
            </w:r>
          </w:p>
        </w:tc>
      </w:tr>
      <w:tr>
        <w:trPr>
          <w:trHeight w:val="216"/>
        </w:trPr>
        <w:tc>
          <w:tcPr>
            <w:tcW w:w="364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b w:val="1"/>
                <w:bCs w:val="1"/>
                <w:color w:val="auto"/>
              </w:rPr>
              <w:t>Operations Before</w:t>
            </w:r>
          </w:p>
        </w:tc>
        <w:tc>
          <w:tcPr>
            <w:tcW w:w="170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rPr>
              <w:t>(Provision for)</w:t>
            </w:r>
          </w:p>
        </w:tc>
        <w:tc>
          <w:tcPr>
            <w:tcW w:w="1940" w:type="dxa"/>
            <w:vAlign w:val="bottom"/>
            <w:gridSpan w:val="2"/>
          </w:tcPr>
          <w:p>
            <w:pPr>
              <w:jc w:val="center"/>
              <w:spacing w:after="0"/>
              <w:rPr>
                <w:sz w:val="20"/>
                <w:szCs w:val="20"/>
                <w:color w:val="auto"/>
              </w:rPr>
            </w:pPr>
            <w:r>
              <w:rPr>
                <w:rFonts w:ascii="Arial" w:cs="Arial" w:eastAsia="Arial" w:hAnsi="Arial"/>
                <w:sz w:val="18"/>
                <w:szCs w:val="18"/>
                <w:b w:val="1"/>
                <w:bCs w:val="1"/>
                <w:color w:val="auto"/>
              </w:rPr>
              <w:t>Attributable to</w:t>
            </w:r>
          </w:p>
        </w:tc>
        <w:tc>
          <w:tcPr>
            <w:tcW w:w="1540" w:type="dxa"/>
            <w:vAlign w:val="bottom"/>
            <w:gridSpan w:val="2"/>
          </w:tcPr>
          <w:p>
            <w:pPr>
              <w:jc w:val="center"/>
              <w:spacing w:after="0"/>
              <w:rPr>
                <w:sz w:val="20"/>
                <w:szCs w:val="20"/>
                <w:color w:val="auto"/>
              </w:rPr>
            </w:pPr>
            <w:r>
              <w:rPr>
                <w:rFonts w:ascii="Arial" w:cs="Arial" w:eastAsia="Arial" w:hAnsi="Arial"/>
                <w:sz w:val="18"/>
                <w:szCs w:val="18"/>
                <w:b w:val="1"/>
                <w:bCs w:val="1"/>
                <w:color w:val="auto"/>
              </w:rPr>
              <w:t>Continuing</w:t>
            </w:r>
          </w:p>
        </w:tc>
      </w:tr>
      <w:tr>
        <w:trPr>
          <w:trHeight w:val="255"/>
        </w:trPr>
        <w:tc>
          <w:tcPr>
            <w:tcW w:w="36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Income Taxes</w:t>
            </w:r>
          </w:p>
        </w:tc>
        <w:tc>
          <w:tcPr>
            <w:tcW w:w="17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9"/>
              </w:rPr>
              <w:t>Income Taxes</w:t>
            </w:r>
          </w:p>
        </w:tc>
        <w:tc>
          <w:tcPr>
            <w:tcW w:w="6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590"/>
              <w:spacing w:after="0"/>
              <w:rPr>
                <w:sz w:val="20"/>
                <w:szCs w:val="20"/>
                <w:color w:val="auto"/>
              </w:rPr>
            </w:pPr>
            <w:r>
              <w:rPr>
                <w:rFonts w:ascii="Arial" w:cs="Arial" w:eastAsia="Arial" w:hAnsi="Arial"/>
                <w:sz w:val="18"/>
                <w:szCs w:val="18"/>
                <w:b w:val="1"/>
                <w:bCs w:val="1"/>
                <w:color w:val="auto"/>
                <w:w w:val="99"/>
              </w:rPr>
              <w:t>Parent</w:t>
            </w: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Operations</w:t>
            </w:r>
          </w:p>
        </w:tc>
      </w:tr>
      <w:tr>
        <w:trPr>
          <w:trHeight w:val="278"/>
        </w:trPr>
        <w:tc>
          <w:tcPr>
            <w:tcW w:w="3640" w:type="dxa"/>
            <w:vAlign w:val="bottom"/>
          </w:tcPr>
          <w:p>
            <w:pPr>
              <w:ind w:left="20"/>
              <w:spacing w:after="0"/>
              <w:rPr>
                <w:sz w:val="20"/>
                <w:szCs w:val="20"/>
                <w:color w:val="auto"/>
              </w:rPr>
            </w:pPr>
            <w:r>
              <w:rPr>
                <w:rFonts w:ascii="Arial" w:cs="Arial" w:eastAsia="Arial" w:hAnsi="Arial"/>
                <w:sz w:val="18"/>
                <w:szCs w:val="18"/>
                <w:color w:val="auto"/>
              </w:rPr>
              <w:t>Reported (GAAP)</w:t>
            </w: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504</w:t>
            </w:r>
          </w:p>
        </w:tc>
        <w:tc>
          <w:tcPr>
            <w:tcW w:w="700" w:type="dxa"/>
            <w:vAlign w:val="bottom"/>
          </w:tcPr>
          <w:p>
            <w:pPr>
              <w:ind w:left="3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400"/>
              <w:spacing w:after="0" w:line="278" w:lineRule="exact"/>
              <w:rPr>
                <w:sz w:val="20"/>
                <w:szCs w:val="20"/>
                <w:color w:val="auto"/>
              </w:rPr>
            </w:pPr>
            <w:r>
              <w:rPr>
                <w:rFonts w:ascii="Arial" w:cs="Arial" w:eastAsia="Arial" w:hAnsi="Arial"/>
                <w:sz w:val="32"/>
                <w:szCs w:val="32"/>
                <w:color w:val="auto"/>
                <w:vertAlign w:val="subscript"/>
              </w:rPr>
              <w:t>79</w:t>
            </w:r>
            <w:r>
              <w:rPr>
                <w:rFonts w:ascii="Arial" w:cs="Arial" w:eastAsia="Arial" w:hAnsi="Arial"/>
                <w:sz w:val="11"/>
                <w:szCs w:val="11"/>
                <w:color w:val="auto"/>
              </w:rPr>
              <w:t xml:space="preserve"> (f)</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430"/>
              <w:spacing w:after="0"/>
              <w:rPr>
                <w:sz w:val="20"/>
                <w:szCs w:val="20"/>
                <w:color w:val="auto"/>
              </w:rPr>
            </w:pPr>
            <w:r>
              <w:rPr>
                <w:rFonts w:ascii="Arial" w:cs="Arial" w:eastAsia="Arial" w:hAnsi="Arial"/>
                <w:sz w:val="18"/>
                <w:szCs w:val="18"/>
                <w:color w:val="auto"/>
              </w:rPr>
              <w:t>(35)</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(.05)</w:t>
            </w:r>
          </w:p>
        </w:tc>
      </w:tr>
      <w:tr>
        <w:trPr>
          <w:trHeight w:val="239"/>
        </w:trPr>
        <w:tc>
          <w:tcPr>
            <w:tcW w:w="3640" w:type="dxa"/>
            <w:vAlign w:val="bottom"/>
          </w:tcPr>
          <w:p>
            <w:pPr>
              <w:ind w:left="20"/>
              <w:spacing w:after="0"/>
              <w:rPr>
                <w:sz w:val="20"/>
                <w:szCs w:val="20"/>
                <w:color w:val="auto"/>
              </w:rPr>
            </w:pPr>
            <w:r>
              <w:rPr>
                <w:rFonts w:ascii="Arial" w:cs="Arial" w:eastAsia="Arial" w:hAnsi="Arial"/>
                <w:sz w:val="18"/>
                <w:szCs w:val="18"/>
                <w:color w:val="auto"/>
              </w:rPr>
              <w:t>Items affecting comparability:</w:t>
            </w:r>
          </w:p>
        </w:tc>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99"/>
        </w:trPr>
        <w:tc>
          <w:tcPr>
            <w:tcW w:w="3640" w:type="dxa"/>
            <w:vAlign w:val="bottom"/>
          </w:tcPr>
          <w:p>
            <w:pPr>
              <w:ind w:left="220"/>
              <w:spacing w:after="0"/>
              <w:rPr>
                <w:sz w:val="20"/>
                <w:szCs w:val="20"/>
                <w:color w:val="auto"/>
              </w:rPr>
            </w:pPr>
            <w:r>
              <w:rPr>
                <w:rFonts w:ascii="Arial" w:cs="Arial" w:eastAsia="Arial" w:hAnsi="Arial"/>
                <w:sz w:val="18"/>
                <w:szCs w:val="18"/>
                <w:color w:val="auto"/>
              </w:rPr>
              <w:t xml:space="preserve">Impairment charges </w:t>
            </w:r>
            <w:r>
              <w:rPr>
                <w:rFonts w:ascii="Arial" w:cs="Arial" w:eastAsia="Arial" w:hAnsi="Arial"/>
                <w:sz w:val="23"/>
                <w:szCs w:val="23"/>
                <w:color w:val="auto"/>
                <w:vertAlign w:val="superscript"/>
              </w:rPr>
              <w:t>(b)</w:t>
            </w:r>
          </w:p>
        </w:tc>
        <w:tc>
          <w:tcPr>
            <w:tcW w:w="640" w:type="dxa"/>
            <w:vAlign w:val="bottom"/>
          </w:tcPr>
          <w:p>
            <w:pPr>
              <w:spacing w:after="0"/>
              <w:rPr>
                <w:sz w:val="24"/>
                <w:szCs w:val="24"/>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157</w:t>
            </w:r>
          </w:p>
        </w:tc>
        <w:tc>
          <w:tcPr>
            <w:tcW w:w="7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w:t>
            </w: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color w:val="auto"/>
              </w:rPr>
              <w:t>118</w:t>
            </w:r>
          </w:p>
        </w:tc>
        <w:tc>
          <w:tcPr>
            <w:tcW w:w="580" w:type="dxa"/>
            <w:vAlign w:val="bottom"/>
          </w:tcPr>
          <w:p>
            <w:pPr>
              <w:spacing w:after="0"/>
              <w:rPr>
                <w:sz w:val="24"/>
                <w:szCs w:val="24"/>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.17</w:t>
            </w:r>
          </w:p>
        </w:tc>
      </w:tr>
      <w:tr>
        <w:trPr>
          <w:trHeight w:val="270"/>
        </w:trPr>
        <w:tc>
          <w:tcPr>
            <w:tcW w:w="3640" w:type="dxa"/>
            <w:vAlign w:val="bottom"/>
          </w:tcPr>
          <w:p>
            <w:pPr>
              <w:ind w:left="220"/>
              <w:spacing w:after="0"/>
              <w:rPr>
                <w:sz w:val="20"/>
                <w:szCs w:val="20"/>
                <w:color w:val="auto"/>
              </w:rPr>
            </w:pPr>
            <w:r>
              <w:rPr>
                <w:rFonts w:ascii="Arial" w:cs="Arial" w:eastAsia="Arial" w:hAnsi="Arial"/>
                <w:sz w:val="18"/>
                <w:szCs w:val="18"/>
                <w:color w:val="auto"/>
              </w:rPr>
              <w:t xml:space="preserve">Restructuring charges </w:t>
            </w:r>
            <w:r>
              <w:rPr>
                <w:rFonts w:ascii="Arial" w:cs="Arial" w:eastAsia="Arial" w:hAnsi="Arial"/>
                <w:sz w:val="23"/>
                <w:szCs w:val="23"/>
                <w:color w:val="auto"/>
                <w:vertAlign w:val="superscript"/>
              </w:rPr>
              <w:t>(a)</w:t>
            </w:r>
          </w:p>
        </w:tc>
        <w:tc>
          <w:tcPr>
            <w:tcW w:w="640" w:type="dxa"/>
            <w:vAlign w:val="bottom"/>
          </w:tcPr>
          <w:p>
            <w:pPr>
              <w:spacing w:after="0"/>
              <w:rPr>
                <w:sz w:val="23"/>
                <w:szCs w:val="23"/>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255</w:t>
            </w:r>
          </w:p>
        </w:tc>
        <w:tc>
          <w:tcPr>
            <w:tcW w:w="7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w:t>
            </w:r>
          </w:p>
        </w:tc>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color w:val="auto"/>
              </w:rPr>
              <w:t>194</w:t>
            </w:r>
          </w:p>
        </w:tc>
        <w:tc>
          <w:tcPr>
            <w:tcW w:w="580" w:type="dxa"/>
            <w:vAlign w:val="bottom"/>
          </w:tcPr>
          <w:p>
            <w:pPr>
              <w:spacing w:after="0"/>
              <w:rPr>
                <w:sz w:val="23"/>
                <w:szCs w:val="23"/>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.29</w:t>
            </w:r>
          </w:p>
        </w:tc>
      </w:tr>
      <w:tr>
        <w:trPr>
          <w:trHeight w:val="270"/>
        </w:trPr>
        <w:tc>
          <w:tcPr>
            <w:tcW w:w="3640" w:type="dxa"/>
            <w:vAlign w:val="bottom"/>
          </w:tcPr>
          <w:p>
            <w:pPr>
              <w:ind w:left="220"/>
              <w:spacing w:after="0"/>
              <w:rPr>
                <w:sz w:val="20"/>
                <w:szCs w:val="20"/>
                <w:color w:val="auto"/>
              </w:rPr>
            </w:pPr>
            <w:r>
              <w:rPr>
                <w:rFonts w:ascii="Arial" w:cs="Arial" w:eastAsia="Arial" w:hAnsi="Arial"/>
                <w:sz w:val="18"/>
                <w:szCs w:val="18"/>
                <w:color w:val="auto"/>
              </w:rPr>
              <w:t xml:space="preserve">Transaction-related items </w:t>
            </w:r>
            <w:r>
              <w:rPr>
                <w:rFonts w:ascii="Arial" w:cs="Arial" w:eastAsia="Arial" w:hAnsi="Arial"/>
                <w:sz w:val="23"/>
                <w:szCs w:val="23"/>
                <w:color w:val="auto"/>
                <w:vertAlign w:val="superscript"/>
              </w:rPr>
              <w:t>(c)</w:t>
            </w:r>
          </w:p>
        </w:tc>
        <w:tc>
          <w:tcPr>
            <w:tcW w:w="640" w:type="dxa"/>
            <w:vAlign w:val="bottom"/>
          </w:tcPr>
          <w:p>
            <w:pPr>
              <w:spacing w:after="0"/>
              <w:rPr>
                <w:sz w:val="23"/>
                <w:szCs w:val="23"/>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199</w:t>
            </w:r>
          </w:p>
        </w:tc>
        <w:tc>
          <w:tcPr>
            <w:tcW w:w="7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color w:val="auto"/>
              </w:rPr>
              <w:t>168</w:t>
            </w:r>
          </w:p>
        </w:tc>
        <w:tc>
          <w:tcPr>
            <w:tcW w:w="580" w:type="dxa"/>
            <w:vAlign w:val="bottom"/>
          </w:tcPr>
          <w:p>
            <w:pPr>
              <w:spacing w:after="0"/>
              <w:rPr>
                <w:sz w:val="23"/>
                <w:szCs w:val="23"/>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.25</w:t>
            </w:r>
          </w:p>
        </w:tc>
      </w:tr>
      <w:tr>
        <w:trPr>
          <w:trHeight w:val="272"/>
        </w:trPr>
        <w:tc>
          <w:tcPr>
            <w:tcW w:w="3640" w:type="dxa"/>
            <w:vAlign w:val="bottom"/>
          </w:tcPr>
          <w:p>
            <w:pPr>
              <w:ind w:left="220"/>
              <w:spacing w:after="0"/>
              <w:rPr>
                <w:sz w:val="20"/>
                <w:szCs w:val="20"/>
                <w:color w:val="auto"/>
              </w:rPr>
            </w:pPr>
            <w:r>
              <w:rPr>
                <w:rFonts w:ascii="Arial" w:cs="Arial" w:eastAsia="Arial" w:hAnsi="Arial"/>
                <w:sz w:val="18"/>
                <w:szCs w:val="18"/>
                <w:color w:val="auto"/>
              </w:rPr>
              <w:t xml:space="preserve">Gain on dispositions </w:t>
            </w:r>
            <w:r>
              <w:rPr>
                <w:rFonts w:ascii="Arial" w:cs="Arial" w:eastAsia="Arial" w:hAnsi="Arial"/>
                <w:sz w:val="23"/>
                <w:szCs w:val="23"/>
                <w:color w:val="auto"/>
                <w:vertAlign w:val="superscript"/>
              </w:rPr>
              <w:t>(d)</w:t>
            </w:r>
          </w:p>
        </w:tc>
        <w:tc>
          <w:tcPr>
            <w:tcW w:w="640" w:type="dxa"/>
            <w:vAlign w:val="bottom"/>
          </w:tcPr>
          <w:p>
            <w:pPr>
              <w:spacing w:after="0"/>
              <w:rPr>
                <w:sz w:val="23"/>
                <w:szCs w:val="23"/>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(35)</w:t>
            </w:r>
          </w:p>
        </w:tc>
        <w:tc>
          <w:tcPr>
            <w:tcW w:w="7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320" w:type="dxa"/>
            <w:vAlign w:val="bottom"/>
          </w:tcPr>
          <w:p>
            <w:pPr>
              <w:jc w:val="right"/>
              <w:ind w:right="430"/>
              <w:spacing w:after="0"/>
              <w:rPr>
                <w:sz w:val="20"/>
                <w:szCs w:val="20"/>
                <w:color w:val="auto"/>
              </w:rPr>
            </w:pPr>
            <w:r>
              <w:rPr>
                <w:rFonts w:ascii="Arial" w:cs="Arial" w:eastAsia="Arial" w:hAnsi="Arial"/>
                <w:sz w:val="18"/>
                <w:szCs w:val="18"/>
                <w:color w:val="auto"/>
              </w:rPr>
              <w:t>(33)</w:t>
            </w:r>
          </w:p>
        </w:tc>
        <w:tc>
          <w:tcPr>
            <w:tcW w:w="580" w:type="dxa"/>
            <w:vAlign w:val="bottom"/>
          </w:tcPr>
          <w:p>
            <w:pPr>
              <w:spacing w:after="0"/>
              <w:rPr>
                <w:sz w:val="23"/>
                <w:szCs w:val="23"/>
                <w:color w:val="auto"/>
              </w:rPr>
            </w:pP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(.05)</w:t>
            </w:r>
          </w:p>
        </w:tc>
      </w:tr>
      <w:tr>
        <w:trPr>
          <w:trHeight w:val="239"/>
        </w:trPr>
        <w:tc>
          <w:tcPr>
            <w:tcW w:w="3640" w:type="dxa"/>
            <w:vAlign w:val="bottom"/>
          </w:tcPr>
          <w:p>
            <w:pPr>
              <w:ind w:left="220"/>
              <w:spacing w:after="0"/>
              <w:rPr>
                <w:sz w:val="20"/>
                <w:szCs w:val="20"/>
                <w:color w:val="auto"/>
              </w:rPr>
            </w:pPr>
            <w:r>
              <w:rPr>
                <w:rFonts w:ascii="Arial" w:cs="Arial" w:eastAsia="Arial" w:hAnsi="Arial"/>
                <w:sz w:val="18"/>
                <w:szCs w:val="18"/>
                <w:color w:val="auto"/>
              </w:rPr>
              <w:t>Discrete tax items</w:t>
            </w:r>
          </w:p>
        </w:tc>
        <w:tc>
          <w:tcPr>
            <w:tcW w:w="640" w:type="dxa"/>
            <w:vAlign w:val="bottom"/>
          </w:tcPr>
          <w:p>
            <w:pPr>
              <w:spacing w:after="0"/>
              <w:rPr>
                <w:sz w:val="20"/>
                <w:szCs w:val="20"/>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w:t>
            </w: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20" w:type="dxa"/>
            <w:vAlign w:val="bottom"/>
          </w:tcPr>
          <w:p>
            <w:pPr>
              <w:jc w:val="right"/>
              <w:ind w:right="430"/>
              <w:spacing w:after="0"/>
              <w:rPr>
                <w:sz w:val="20"/>
                <w:szCs w:val="20"/>
                <w:color w:val="auto"/>
              </w:rPr>
            </w:pPr>
            <w:r>
              <w:rPr>
                <w:rFonts w:ascii="Arial" w:cs="Arial" w:eastAsia="Arial" w:hAnsi="Arial"/>
                <w:sz w:val="18"/>
                <w:szCs w:val="18"/>
                <w:color w:val="auto"/>
              </w:rPr>
              <w:t>(64)</w:t>
            </w:r>
          </w:p>
        </w:tc>
        <w:tc>
          <w:tcPr>
            <w:tcW w:w="580" w:type="dxa"/>
            <w:vAlign w:val="bottom"/>
          </w:tcPr>
          <w:p>
            <w:pPr>
              <w:spacing w:after="0"/>
              <w:rPr>
                <w:sz w:val="20"/>
                <w:szCs w:val="20"/>
                <w:color w:val="auto"/>
              </w:rPr>
            </w:pP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(.10)</w:t>
            </w:r>
          </w:p>
        </w:tc>
      </w:tr>
      <w:tr>
        <w:trPr>
          <w:trHeight w:val="23"/>
        </w:trPr>
        <w:tc>
          <w:tcPr>
            <w:tcW w:w="36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0"/>
        </w:trPr>
        <w:tc>
          <w:tcPr>
            <w:tcW w:w="3640" w:type="dxa"/>
            <w:vAlign w:val="bottom"/>
          </w:tcPr>
          <w:p>
            <w:pPr>
              <w:ind w:left="20"/>
              <w:spacing w:after="0"/>
              <w:rPr>
                <w:sz w:val="20"/>
                <w:szCs w:val="20"/>
                <w:color w:val="auto"/>
              </w:rPr>
            </w:pPr>
            <w:r>
              <w:rPr>
                <w:rFonts w:ascii="Arial" w:cs="Arial" w:eastAsia="Arial" w:hAnsi="Arial"/>
                <w:sz w:val="18"/>
                <w:szCs w:val="18"/>
                <w:color w:val="auto"/>
              </w:rPr>
              <w:t>Adjusted (Non-GAAP)</w:t>
            </w: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1,080</w:t>
            </w:r>
          </w:p>
        </w:tc>
        <w:tc>
          <w:tcPr>
            <w:tcW w:w="700" w:type="dxa"/>
            <w:vAlign w:val="bottom"/>
          </w:tcPr>
          <w:p>
            <w:pPr>
              <w:ind w:left="3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(114)</w:t>
            </w:r>
          </w:p>
        </w:tc>
        <w:tc>
          <w:tcPr>
            <w:tcW w:w="340" w:type="dxa"/>
            <w:vAlign w:val="bottom"/>
          </w:tcPr>
          <w:p>
            <w:pPr>
              <w:ind w:left="20"/>
              <w:spacing w:after="0"/>
              <w:rPr>
                <w:sz w:val="20"/>
                <w:szCs w:val="20"/>
                <w:color w:val="auto"/>
              </w:rPr>
            </w:pPr>
            <w:r>
              <w:rPr>
                <w:rFonts w:ascii="Arial" w:cs="Arial" w:eastAsia="Arial" w:hAnsi="Arial"/>
                <w:sz w:val="12"/>
                <w:szCs w:val="12"/>
                <w:color w:val="auto"/>
              </w:rPr>
              <w:t>(f)</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470"/>
              <w:spacing w:after="0"/>
              <w:rPr>
                <w:sz w:val="20"/>
                <w:szCs w:val="20"/>
                <w:color w:val="auto"/>
              </w:rPr>
            </w:pPr>
            <w:r>
              <w:rPr>
                <w:rFonts w:ascii="Arial" w:cs="Arial" w:eastAsia="Arial" w:hAnsi="Arial"/>
                <w:sz w:val="18"/>
                <w:szCs w:val="18"/>
                <w:color w:val="auto"/>
              </w:rPr>
              <w:t>348</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.51</w:t>
            </w:r>
          </w:p>
        </w:tc>
      </w:tr>
      <w:tr>
        <w:trPr>
          <w:trHeight w:val="30"/>
        </w:trPr>
        <w:tc>
          <w:tcPr>
            <w:tcW w:w="36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185" w:lineRule="exact"/>
        <w:rPr>
          <w:sz w:val="20"/>
          <w:szCs w:val="20"/>
          <w:color w:val="auto"/>
        </w:rPr>
      </w:pPr>
    </w:p>
    <w:p>
      <w:pPr>
        <w:ind w:left="660" w:hanging="247"/>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5"/>
          <w:szCs w:val="15"/>
          <w:color w:val="auto"/>
        </w:rPr>
        <w:t>Both periods reflect severance charges and also included in the period from January 1 - August 6, 2025 are charges for the impairment of lease assets.</w:t>
      </w:r>
    </w:p>
    <w:p>
      <w:pPr>
        <w:spacing w:after="0" w:line="45" w:lineRule="exact"/>
        <w:rPr>
          <w:rFonts w:ascii="Arial" w:cs="Arial" w:eastAsia="Arial" w:hAnsi="Arial"/>
          <w:sz w:val="16"/>
          <w:szCs w:val="16"/>
          <w:color w:val="auto"/>
        </w:rPr>
      </w:pPr>
    </w:p>
    <w:p>
      <w:pPr>
        <w:ind w:left="640" w:hanging="227"/>
        <w:spacing w:after="0"/>
        <w:tabs>
          <w:tab w:leader="none" w:pos="6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Reflects a charge to reduce the carrying values of FCC licenses in certain markets to their estimated fair values.</w:t>
      </w:r>
    </w:p>
    <w:p>
      <w:pPr>
        <w:spacing w:after="0" w:line="70" w:lineRule="exact"/>
        <w:rPr>
          <w:rFonts w:ascii="Arial" w:cs="Arial" w:eastAsia="Arial" w:hAnsi="Arial"/>
          <w:sz w:val="15"/>
          <w:szCs w:val="15"/>
          <w:color w:val="auto"/>
        </w:rPr>
      </w:pPr>
    </w:p>
    <w:p>
      <w:pPr>
        <w:ind w:left="660" w:right="800" w:hanging="247"/>
        <w:spacing w:after="0" w:line="283" w:lineRule="auto"/>
        <w:tabs>
          <w:tab w:leader="none" w:pos="638" w:val="left"/>
        </w:tabs>
        <w:numPr>
          <w:ilvl w:val="0"/>
          <w:numId w:val="16"/>
        </w:numPr>
        <w:rPr>
          <w:rFonts w:ascii="Arial" w:cs="Arial" w:eastAsia="Arial" w:hAnsi="Arial"/>
          <w:sz w:val="15"/>
          <w:szCs w:val="15"/>
          <w:color w:val="auto"/>
        </w:rPr>
      </w:pPr>
      <w:r>
        <w:rPr>
          <w:rFonts w:ascii="Arial" w:cs="Arial" w:eastAsia="Arial" w:hAnsi="Arial"/>
          <w:sz w:val="15"/>
          <w:szCs w:val="15"/>
          <w:color w:val="auto"/>
        </w:rPr>
        <w:t>Reflects banking, legal, advisory, and other professional fees relating to the Transactions, and transaction awards that became payable to eligible employees upon closing of the Transactions.</w:t>
      </w:r>
    </w:p>
    <w:p>
      <w:pPr>
        <w:spacing w:after="0" w:line="11" w:lineRule="exact"/>
        <w:rPr>
          <w:rFonts w:ascii="Arial" w:cs="Arial" w:eastAsia="Arial" w:hAnsi="Arial"/>
          <w:sz w:val="15"/>
          <w:szCs w:val="15"/>
          <w:color w:val="auto"/>
        </w:rPr>
      </w:pPr>
    </w:p>
    <w:p>
      <w:pPr>
        <w:ind w:left="640" w:hanging="227"/>
        <w:spacing w:after="0"/>
        <w:tabs>
          <w:tab w:leader="none" w:pos="6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Principally reflects a gain associated with the disposition of a noncore business.</w:t>
      </w:r>
    </w:p>
    <w:p>
      <w:pPr>
        <w:spacing w:after="0" w:line="70" w:lineRule="exact"/>
        <w:rPr>
          <w:rFonts w:ascii="Arial" w:cs="Arial" w:eastAsia="Arial" w:hAnsi="Arial"/>
          <w:sz w:val="15"/>
          <w:szCs w:val="15"/>
          <w:color w:val="auto"/>
        </w:rPr>
      </w:pPr>
    </w:p>
    <w:p>
      <w:pPr>
        <w:ind w:left="640" w:hanging="227"/>
        <w:spacing w:after="0"/>
        <w:tabs>
          <w:tab w:leader="none" w:pos="6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Refer to the table above for a discussion of the reported and adjusted tax rates for the period from August 7 - September 30, 2025.</w:t>
      </w:r>
    </w:p>
    <w:p>
      <w:pPr>
        <w:spacing w:after="0" w:line="57" w:lineRule="exact"/>
        <w:rPr>
          <w:rFonts w:ascii="Arial" w:cs="Arial" w:eastAsia="Arial" w:hAnsi="Arial"/>
          <w:sz w:val="15"/>
          <w:szCs w:val="15"/>
          <w:color w:val="auto"/>
        </w:rPr>
      </w:pPr>
    </w:p>
    <w:p>
      <w:pPr>
        <w:ind w:left="660" w:right="440" w:hanging="247"/>
        <w:spacing w:after="0" w:line="263" w:lineRule="auto"/>
        <w:tabs>
          <w:tab w:leader="none" w:pos="604"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reported effective income tax rate for the period from January 1 - August 6, 2025 was 15.7%, which primarily reflects the reversal of valuation allowances on deferred tax assets related to interest deduction limitations as a result of recent U.S. tax legislation. The reported effective income tax rate also reflects the tax impact of earnings attributable to noncontrolling interests, the timing of foreign inclusions between the Successor and Predecessor periods, and the tax benefit on the foreign-derived intangible income deduction. The adjusted provision for income taxes of $114 million divided by adjusted earnings from continuing operations before income taxes of $1.08 billion, was 10.6%. These adjusted measures exclude the items affecting comparability detailed above.</w:t>
      </w: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097" w:right="339" w:bottom="1440" w:gutter="0" w:footer="0" w:header="0"/>
        </w:sectPr>
      </w:pPr>
    </w:p>
    <w:bookmarkStart w:id="29" w:name="page30"/>
    <w:bookmarkEnd w:id="29"/>
    <w:p>
      <w:pPr>
        <w:ind w:left="3020" w:right="1500" w:hanging="1768"/>
        <w:spacing w:after="0" w:line="388" w:lineRule="auto"/>
        <w:rPr>
          <w:sz w:val="20"/>
          <w:szCs w:val="20"/>
          <w:color w:val="auto"/>
        </w:rPr>
      </w:pPr>
      <w:r>
        <w:rPr>
          <w:rFonts w:ascii="Arial" w:cs="Arial" w:eastAsia="Arial" w:hAnsi="Arial"/>
          <w:sz w:val="22"/>
          <w:szCs w:val="22"/>
          <w:b w:val="1"/>
          <w:bCs w:val="1"/>
          <w:color w:val="auto"/>
        </w:rPr>
        <w:t>SUPPLEMENTAL DISCLOSURES REGARDING NON-GAAP FINANCIAL MEASURES (Unaudited; in millions, except per share amounts)</w:t>
      </w:r>
    </w:p>
    <w:p>
      <w:pPr>
        <w:spacing w:after="0" w:line="4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Nine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121920</wp:posOffset>
            </wp:positionV>
            <wp:extent cx="663511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635115" cy="17145"/>
                    </a:xfrm>
                    <a:prstGeom prst="rect">
                      <a:avLst/>
                    </a:prstGeom>
                    <a:noFill/>
                  </pic:spPr>
                </pic:pic>
              </a:graphicData>
            </a:graphic>
          </wp:anchor>
        </w:drawing>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Predecessor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34925</wp:posOffset>
            </wp:positionV>
            <wp:extent cx="437197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371975" cy="8890"/>
                    </a:xfrm>
                    <a:prstGeom prst="rect">
                      <a:avLst/>
                    </a:prstGeom>
                    <a:noFill/>
                  </pic:spPr>
                </pic:pic>
              </a:graphicData>
            </a:graphic>
          </wp:anchor>
        </w:drawing>
      </w:r>
    </w:p>
    <w:p>
      <w:pPr>
        <w:spacing w:after="0" w:line="61" w:lineRule="exact"/>
        <w:rPr>
          <w:sz w:val="20"/>
          <w:szCs w:val="20"/>
          <w:color w:val="auto"/>
        </w:rPr>
      </w:pPr>
    </w:p>
    <w:tbl>
      <w:tblPr>
        <w:tblLayout w:type="fixed"/>
        <w:tblInd w:w="400" w:type="dxa"/>
        <w:tblCellMar>
          <w:top w:w="0" w:type="dxa"/>
          <w:left w:w="0" w:type="dxa"/>
          <w:bottom w:w="0" w:type="dxa"/>
          <w:right w:w="0" w:type="dxa"/>
        </w:tblCellMar>
      </w:tblPr>
      <w:tr>
        <w:trPr>
          <w:trHeight w:val="226"/>
        </w:trPr>
        <w:tc>
          <w:tcPr>
            <w:tcW w:w="356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6"/>
                <w:szCs w:val="16"/>
                <w:b w:val="1"/>
                <w:bCs w:val="1"/>
                <w:color w:val="auto"/>
              </w:rPr>
              <w:t>Nine Months Ended September 30, 2024</w:t>
            </w:r>
          </w:p>
        </w:tc>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r>
      <w:tr>
        <w:trPr>
          <w:trHeight w:val="221"/>
        </w:trPr>
        <w:tc>
          <w:tcPr>
            <w:tcW w:w="3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b w:val="1"/>
                <w:bCs w:val="1"/>
                <w:color w:val="auto"/>
              </w:rPr>
              <w:t>Net Earnings</w:t>
            </w:r>
          </w:p>
        </w:tc>
        <w:tc>
          <w:tcPr>
            <w:tcW w:w="7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6"/>
        </w:trPr>
        <w:tc>
          <w:tcPr>
            <w:tcW w:w="3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b w:val="1"/>
                <w:bCs w:val="1"/>
                <w:color w:val="auto"/>
              </w:rPr>
              <w:t>(Loss) from</w:t>
            </w: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17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Earnings (Loss)</w:t>
            </w: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b w:val="1"/>
                <w:bCs w:val="1"/>
                <w:color w:val="auto"/>
              </w:rPr>
              <w:t>Continuing</w:t>
            </w: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17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from Continuing</w:t>
            </w:r>
          </w:p>
        </w:tc>
        <w:tc>
          <w:tcPr>
            <w:tcW w:w="1700" w:type="dxa"/>
            <w:vAlign w:val="bottom"/>
            <w:gridSpan w:val="2"/>
          </w:tcPr>
          <w:p>
            <w:pPr>
              <w:ind w:left="300"/>
              <w:spacing w:after="0"/>
              <w:rPr>
                <w:sz w:val="20"/>
                <w:szCs w:val="20"/>
                <w:color w:val="auto"/>
              </w:rPr>
            </w:pPr>
            <w:r>
              <w:rPr>
                <w:rFonts w:ascii="Arial" w:cs="Arial" w:eastAsia="Arial" w:hAnsi="Arial"/>
                <w:sz w:val="18"/>
                <w:szCs w:val="18"/>
                <w:b w:val="1"/>
                <w:bCs w:val="1"/>
                <w:color w:val="auto"/>
              </w:rPr>
              <w:t>Benefit from</w:t>
            </w:r>
          </w:p>
        </w:tc>
        <w:tc>
          <w:tcPr>
            <w:tcW w:w="1700" w:type="dxa"/>
            <w:vAlign w:val="bottom"/>
            <w:gridSpan w:val="2"/>
          </w:tcPr>
          <w:p>
            <w:pPr>
              <w:jc w:val="center"/>
              <w:spacing w:after="0"/>
              <w:rPr>
                <w:sz w:val="20"/>
                <w:szCs w:val="20"/>
                <w:color w:val="auto"/>
              </w:rPr>
            </w:pPr>
            <w:r>
              <w:rPr>
                <w:rFonts w:ascii="Arial" w:cs="Arial" w:eastAsia="Arial" w:hAnsi="Arial"/>
                <w:sz w:val="18"/>
                <w:szCs w:val="18"/>
                <w:b w:val="1"/>
                <w:bCs w:val="1"/>
                <w:color w:val="auto"/>
              </w:rPr>
              <w:t>Operations</w:t>
            </w:r>
          </w:p>
        </w:tc>
        <w:tc>
          <w:tcPr>
            <w:tcW w:w="1700" w:type="dxa"/>
            <w:vAlign w:val="bottom"/>
            <w:gridSpan w:val="2"/>
          </w:tcPr>
          <w:p>
            <w:pPr>
              <w:jc w:val="right"/>
              <w:spacing w:after="0"/>
              <w:rPr>
                <w:sz w:val="20"/>
                <w:szCs w:val="20"/>
                <w:color w:val="auto"/>
              </w:rPr>
            </w:pPr>
            <w:r>
              <w:rPr>
                <w:rFonts w:ascii="Arial" w:cs="Arial" w:eastAsia="Arial" w:hAnsi="Arial"/>
                <w:sz w:val="18"/>
                <w:szCs w:val="18"/>
                <w:b w:val="1"/>
                <w:bCs w:val="1"/>
                <w:color w:val="auto"/>
              </w:rPr>
              <w:t>Diluted EPS from</w:t>
            </w:r>
          </w:p>
        </w:tc>
      </w:tr>
      <w:tr>
        <w:trPr>
          <w:trHeight w:val="216"/>
        </w:trPr>
        <w:tc>
          <w:tcPr>
            <w:tcW w:w="3560" w:type="dxa"/>
            <w:vAlign w:val="bottom"/>
          </w:tcPr>
          <w:p>
            <w:pPr>
              <w:spacing w:after="0"/>
              <w:rPr>
                <w:sz w:val="18"/>
                <w:szCs w:val="18"/>
                <w:color w:val="auto"/>
              </w:rPr>
            </w:pPr>
          </w:p>
        </w:tc>
        <w:tc>
          <w:tcPr>
            <w:tcW w:w="17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Operations Before</w:t>
            </w:r>
          </w:p>
        </w:tc>
        <w:tc>
          <w:tcPr>
            <w:tcW w:w="170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(Provision for)</w:t>
            </w:r>
          </w:p>
        </w:tc>
        <w:tc>
          <w:tcPr>
            <w:tcW w:w="1700" w:type="dxa"/>
            <w:vAlign w:val="bottom"/>
            <w:gridSpan w:val="2"/>
          </w:tcPr>
          <w:p>
            <w:pPr>
              <w:jc w:val="center"/>
              <w:spacing w:after="0"/>
              <w:rPr>
                <w:sz w:val="20"/>
                <w:szCs w:val="20"/>
                <w:color w:val="auto"/>
              </w:rPr>
            </w:pPr>
            <w:r>
              <w:rPr>
                <w:rFonts w:ascii="Arial" w:cs="Arial" w:eastAsia="Arial" w:hAnsi="Arial"/>
                <w:sz w:val="18"/>
                <w:szCs w:val="18"/>
                <w:b w:val="1"/>
                <w:bCs w:val="1"/>
                <w:color w:val="auto"/>
              </w:rPr>
              <w:t>Attributable to</w:t>
            </w:r>
          </w:p>
        </w:tc>
        <w:tc>
          <w:tcPr>
            <w:tcW w:w="170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Continuing</w:t>
            </w:r>
          </w:p>
        </w:tc>
      </w:tr>
      <w:tr>
        <w:trPr>
          <w:trHeight w:val="255"/>
        </w:trPr>
        <w:tc>
          <w:tcPr>
            <w:tcW w:w="35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7"/>
              </w:rPr>
              <w:t>Income Taxes</w:t>
            </w:r>
          </w:p>
        </w:tc>
        <w:tc>
          <w:tcPr>
            <w:tcW w:w="170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rPr>
              <w:t>Income Taxes</w:t>
            </w: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390"/>
              <w:spacing w:after="0"/>
              <w:rPr>
                <w:sz w:val="20"/>
                <w:szCs w:val="20"/>
                <w:color w:val="auto"/>
              </w:rPr>
            </w:pPr>
            <w:r>
              <w:rPr>
                <w:rFonts w:ascii="Arial" w:cs="Arial" w:eastAsia="Arial" w:hAnsi="Arial"/>
                <w:sz w:val="18"/>
                <w:szCs w:val="18"/>
                <w:b w:val="1"/>
                <w:bCs w:val="1"/>
                <w:color w:val="auto"/>
                <w:w w:val="99"/>
              </w:rPr>
              <w:t>Parent</w:t>
            </w:r>
          </w:p>
        </w:tc>
        <w:tc>
          <w:tcPr>
            <w:tcW w:w="170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Operations</w:t>
            </w:r>
          </w:p>
        </w:tc>
      </w:tr>
      <w:tr>
        <w:trPr>
          <w:trHeight w:val="278"/>
        </w:trPr>
        <w:tc>
          <w:tcPr>
            <w:tcW w:w="3560" w:type="dxa"/>
            <w:vAlign w:val="bottom"/>
          </w:tcPr>
          <w:p>
            <w:pPr>
              <w:ind w:left="20"/>
              <w:spacing w:after="0"/>
              <w:rPr>
                <w:sz w:val="20"/>
                <w:szCs w:val="20"/>
                <w:color w:val="auto"/>
              </w:rPr>
            </w:pPr>
            <w:r>
              <w:rPr>
                <w:rFonts w:ascii="Arial" w:cs="Arial" w:eastAsia="Arial" w:hAnsi="Arial"/>
                <w:sz w:val="18"/>
                <w:szCs w:val="18"/>
                <w:color w:val="auto"/>
              </w:rPr>
              <w:t>Reported (GAAP)</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(6,062)</w:t>
            </w:r>
          </w:p>
        </w:tc>
        <w:tc>
          <w:tcPr>
            <w:tcW w:w="640" w:type="dxa"/>
            <w:vAlign w:val="bottom"/>
          </w:tcPr>
          <w:p>
            <w:pPr>
              <w:ind w:left="3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 xml:space="preserve">342 </w:t>
            </w:r>
            <w:r>
              <w:rPr>
                <w:rFonts w:ascii="Arial" w:cs="Arial" w:eastAsia="Arial" w:hAnsi="Arial"/>
                <w:sz w:val="23"/>
                <w:szCs w:val="23"/>
                <w:color w:val="auto"/>
                <w:vertAlign w:val="superscript"/>
              </w:rPr>
              <w:t>(f)</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50"/>
              <w:spacing w:after="0"/>
              <w:rPr>
                <w:sz w:val="20"/>
                <w:szCs w:val="20"/>
                <w:color w:val="auto"/>
              </w:rPr>
            </w:pPr>
            <w:r>
              <w:rPr>
                <w:rFonts w:ascii="Arial" w:cs="Arial" w:eastAsia="Arial" w:hAnsi="Arial"/>
                <w:sz w:val="18"/>
                <w:szCs w:val="18"/>
                <w:color w:val="auto"/>
              </w:rPr>
              <w:t>(5,980)</w:t>
            </w: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 xml:space="preserve">(9.04) </w:t>
            </w:r>
            <w:r>
              <w:rPr>
                <w:rFonts w:ascii="Arial" w:cs="Arial" w:eastAsia="Arial" w:hAnsi="Arial"/>
                <w:sz w:val="23"/>
                <w:szCs w:val="23"/>
                <w:color w:val="auto"/>
                <w:vertAlign w:val="superscript"/>
              </w:rPr>
              <w:t>(g)</w:t>
            </w:r>
          </w:p>
        </w:tc>
      </w:tr>
      <w:tr>
        <w:trPr>
          <w:trHeight w:val="239"/>
        </w:trPr>
        <w:tc>
          <w:tcPr>
            <w:tcW w:w="3560" w:type="dxa"/>
            <w:vAlign w:val="bottom"/>
          </w:tcPr>
          <w:p>
            <w:pPr>
              <w:ind w:left="20"/>
              <w:spacing w:after="0"/>
              <w:rPr>
                <w:sz w:val="20"/>
                <w:szCs w:val="20"/>
                <w:color w:val="auto"/>
              </w:rPr>
            </w:pPr>
            <w:r>
              <w:rPr>
                <w:rFonts w:ascii="Arial" w:cs="Arial" w:eastAsia="Arial" w:hAnsi="Arial"/>
                <w:sz w:val="18"/>
                <w:szCs w:val="18"/>
                <w:color w:val="auto"/>
              </w:rPr>
              <w:t>Items affecting comparability:</w:t>
            </w:r>
          </w:p>
        </w:tc>
        <w:tc>
          <w:tcPr>
            <w:tcW w:w="6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01"/>
        </w:trPr>
        <w:tc>
          <w:tcPr>
            <w:tcW w:w="3560" w:type="dxa"/>
            <w:vAlign w:val="bottom"/>
          </w:tcPr>
          <w:p>
            <w:pPr>
              <w:ind w:left="220"/>
              <w:spacing w:after="0"/>
              <w:rPr>
                <w:sz w:val="20"/>
                <w:szCs w:val="20"/>
                <w:color w:val="auto"/>
              </w:rPr>
            </w:pPr>
            <w:r>
              <w:rPr>
                <w:rFonts w:ascii="Arial" w:cs="Arial" w:eastAsia="Arial" w:hAnsi="Arial"/>
                <w:sz w:val="18"/>
                <w:szCs w:val="18"/>
                <w:color w:val="auto"/>
              </w:rPr>
              <w:t xml:space="preserve">Programming charges </w:t>
            </w:r>
            <w:r>
              <w:rPr>
                <w:rFonts w:ascii="Arial" w:cs="Arial" w:eastAsia="Arial" w:hAnsi="Arial"/>
                <w:sz w:val="23"/>
                <w:szCs w:val="23"/>
                <w:color w:val="auto"/>
                <w:vertAlign w:val="superscript"/>
              </w:rPr>
              <w:t>(a)</w:t>
            </w:r>
          </w:p>
        </w:tc>
        <w:tc>
          <w:tcPr>
            <w:tcW w:w="620" w:type="dxa"/>
            <w:vAlign w:val="bottom"/>
          </w:tcPr>
          <w:p>
            <w:pPr>
              <w:spacing w:after="0"/>
              <w:rPr>
                <w:sz w:val="24"/>
                <w:szCs w:val="24"/>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color w:val="auto"/>
              </w:rPr>
              <w:t>1,118</w:t>
            </w:r>
          </w:p>
        </w:tc>
        <w:tc>
          <w:tcPr>
            <w:tcW w:w="640" w:type="dxa"/>
            <w:vAlign w:val="bottom"/>
          </w:tcPr>
          <w:p>
            <w:pPr>
              <w:spacing w:after="0"/>
              <w:rPr>
                <w:sz w:val="24"/>
                <w:szCs w:val="24"/>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(275)</w:t>
            </w:r>
          </w:p>
        </w:tc>
        <w:tc>
          <w:tcPr>
            <w:tcW w:w="540" w:type="dxa"/>
            <w:vAlign w:val="bottom"/>
          </w:tcPr>
          <w:p>
            <w:pPr>
              <w:spacing w:after="0"/>
              <w:rPr>
                <w:sz w:val="24"/>
                <w:szCs w:val="24"/>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843</w:t>
            </w:r>
          </w:p>
        </w:tc>
        <w:tc>
          <w:tcPr>
            <w:tcW w:w="700" w:type="dxa"/>
            <w:vAlign w:val="bottom"/>
          </w:tcPr>
          <w:p>
            <w:pPr>
              <w:spacing w:after="0"/>
              <w:rPr>
                <w:sz w:val="24"/>
                <w:szCs w:val="24"/>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color w:val="auto"/>
              </w:rPr>
              <w:t>1.27</w:t>
            </w:r>
          </w:p>
        </w:tc>
      </w:tr>
      <w:tr>
        <w:trPr>
          <w:trHeight w:val="270"/>
        </w:trPr>
        <w:tc>
          <w:tcPr>
            <w:tcW w:w="3560" w:type="dxa"/>
            <w:vAlign w:val="bottom"/>
          </w:tcPr>
          <w:p>
            <w:pPr>
              <w:ind w:left="220"/>
              <w:spacing w:after="0"/>
              <w:rPr>
                <w:sz w:val="20"/>
                <w:szCs w:val="20"/>
                <w:color w:val="auto"/>
              </w:rPr>
            </w:pPr>
            <w:r>
              <w:rPr>
                <w:rFonts w:ascii="Arial" w:cs="Arial" w:eastAsia="Arial" w:hAnsi="Arial"/>
                <w:sz w:val="18"/>
                <w:szCs w:val="18"/>
                <w:color w:val="auto"/>
              </w:rPr>
              <w:t xml:space="preserve">Impairment charges </w:t>
            </w:r>
            <w:r>
              <w:rPr>
                <w:rFonts w:ascii="Arial" w:cs="Arial" w:eastAsia="Arial" w:hAnsi="Arial"/>
                <w:sz w:val="23"/>
                <w:szCs w:val="23"/>
                <w:color w:val="auto"/>
                <w:vertAlign w:val="superscript"/>
              </w:rPr>
              <w:t>(b)</w:t>
            </w:r>
          </w:p>
        </w:tc>
        <w:tc>
          <w:tcPr>
            <w:tcW w:w="620" w:type="dxa"/>
            <w:vAlign w:val="bottom"/>
          </w:tcPr>
          <w:p>
            <w:pPr>
              <w:spacing w:after="0"/>
              <w:rPr>
                <w:sz w:val="23"/>
                <w:szCs w:val="23"/>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color w:val="auto"/>
              </w:rPr>
              <w:t>6,100</w:t>
            </w:r>
          </w:p>
        </w:tc>
        <w:tc>
          <w:tcPr>
            <w:tcW w:w="640" w:type="dxa"/>
            <w:vAlign w:val="bottom"/>
          </w:tcPr>
          <w:p>
            <w:pPr>
              <w:spacing w:after="0"/>
              <w:rPr>
                <w:sz w:val="23"/>
                <w:szCs w:val="23"/>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(375)</w:t>
            </w:r>
          </w:p>
        </w:tc>
        <w:tc>
          <w:tcPr>
            <w:tcW w:w="540" w:type="dxa"/>
            <w:vAlign w:val="bottom"/>
          </w:tcPr>
          <w:p>
            <w:pPr>
              <w:spacing w:after="0"/>
              <w:rPr>
                <w:sz w:val="23"/>
                <w:szCs w:val="23"/>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5,725</w:t>
            </w:r>
          </w:p>
        </w:tc>
        <w:tc>
          <w:tcPr>
            <w:tcW w:w="700" w:type="dxa"/>
            <w:vAlign w:val="bottom"/>
          </w:tcPr>
          <w:p>
            <w:pPr>
              <w:spacing w:after="0"/>
              <w:rPr>
                <w:sz w:val="23"/>
                <w:szCs w:val="23"/>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color w:val="auto"/>
              </w:rPr>
              <w:t>8.61</w:t>
            </w:r>
          </w:p>
        </w:tc>
      </w:tr>
      <w:tr>
        <w:trPr>
          <w:trHeight w:val="270"/>
        </w:trPr>
        <w:tc>
          <w:tcPr>
            <w:tcW w:w="3560" w:type="dxa"/>
            <w:vAlign w:val="bottom"/>
          </w:tcPr>
          <w:p>
            <w:pPr>
              <w:ind w:left="220"/>
              <w:spacing w:after="0"/>
              <w:rPr>
                <w:sz w:val="20"/>
                <w:szCs w:val="20"/>
                <w:color w:val="auto"/>
              </w:rPr>
            </w:pPr>
            <w:r>
              <w:rPr>
                <w:rFonts w:ascii="Arial" w:cs="Arial" w:eastAsia="Arial" w:hAnsi="Arial"/>
                <w:sz w:val="18"/>
                <w:szCs w:val="18"/>
                <w:color w:val="auto"/>
              </w:rPr>
              <w:t xml:space="preserve">Restructuring charges </w:t>
            </w:r>
            <w:r>
              <w:rPr>
                <w:rFonts w:ascii="Arial" w:cs="Arial" w:eastAsia="Arial" w:hAnsi="Arial"/>
                <w:sz w:val="23"/>
                <w:szCs w:val="23"/>
                <w:color w:val="auto"/>
                <w:vertAlign w:val="superscript"/>
              </w:rPr>
              <w:t>(c)</w:t>
            </w:r>
          </w:p>
        </w:tc>
        <w:tc>
          <w:tcPr>
            <w:tcW w:w="620" w:type="dxa"/>
            <w:vAlign w:val="bottom"/>
          </w:tcPr>
          <w:p>
            <w:pPr>
              <w:spacing w:after="0"/>
              <w:rPr>
                <w:sz w:val="23"/>
                <w:szCs w:val="23"/>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color w:val="auto"/>
              </w:rPr>
              <w:t>544</w:t>
            </w:r>
          </w:p>
        </w:tc>
        <w:tc>
          <w:tcPr>
            <w:tcW w:w="640" w:type="dxa"/>
            <w:vAlign w:val="bottom"/>
          </w:tcPr>
          <w:p>
            <w:pPr>
              <w:spacing w:after="0"/>
              <w:rPr>
                <w:sz w:val="23"/>
                <w:szCs w:val="23"/>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(118)</w:t>
            </w:r>
          </w:p>
        </w:tc>
        <w:tc>
          <w:tcPr>
            <w:tcW w:w="540" w:type="dxa"/>
            <w:vAlign w:val="bottom"/>
          </w:tcPr>
          <w:p>
            <w:pPr>
              <w:spacing w:after="0"/>
              <w:rPr>
                <w:sz w:val="23"/>
                <w:szCs w:val="23"/>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426</w:t>
            </w:r>
          </w:p>
        </w:tc>
        <w:tc>
          <w:tcPr>
            <w:tcW w:w="700" w:type="dxa"/>
            <w:vAlign w:val="bottom"/>
          </w:tcPr>
          <w:p>
            <w:pPr>
              <w:spacing w:after="0"/>
              <w:rPr>
                <w:sz w:val="23"/>
                <w:szCs w:val="23"/>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color w:val="auto"/>
              </w:rPr>
              <w:t>.64</w:t>
            </w:r>
          </w:p>
        </w:tc>
      </w:tr>
      <w:tr>
        <w:trPr>
          <w:trHeight w:val="270"/>
        </w:trPr>
        <w:tc>
          <w:tcPr>
            <w:tcW w:w="3560" w:type="dxa"/>
            <w:vAlign w:val="bottom"/>
          </w:tcPr>
          <w:p>
            <w:pPr>
              <w:ind w:left="220"/>
              <w:spacing w:after="0"/>
              <w:rPr>
                <w:sz w:val="20"/>
                <w:szCs w:val="20"/>
                <w:color w:val="auto"/>
              </w:rPr>
            </w:pPr>
            <w:r>
              <w:rPr>
                <w:rFonts w:ascii="Arial" w:cs="Arial" w:eastAsia="Arial" w:hAnsi="Arial"/>
                <w:sz w:val="18"/>
                <w:szCs w:val="18"/>
                <w:color w:val="auto"/>
              </w:rPr>
              <w:t xml:space="preserve">Transaction-related items </w:t>
            </w:r>
            <w:r>
              <w:rPr>
                <w:rFonts w:ascii="Arial" w:cs="Arial" w:eastAsia="Arial" w:hAnsi="Arial"/>
                <w:sz w:val="23"/>
                <w:szCs w:val="23"/>
                <w:color w:val="auto"/>
                <w:vertAlign w:val="superscript"/>
              </w:rPr>
              <w:t>(d)</w:t>
            </w:r>
          </w:p>
        </w:tc>
        <w:tc>
          <w:tcPr>
            <w:tcW w:w="620" w:type="dxa"/>
            <w:vAlign w:val="bottom"/>
          </w:tcPr>
          <w:p>
            <w:pPr>
              <w:spacing w:after="0"/>
              <w:rPr>
                <w:sz w:val="23"/>
                <w:szCs w:val="23"/>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color w:val="auto"/>
              </w:rPr>
              <w:t>51</w:t>
            </w:r>
          </w:p>
        </w:tc>
        <w:tc>
          <w:tcPr>
            <w:tcW w:w="640" w:type="dxa"/>
            <w:vAlign w:val="bottom"/>
          </w:tcPr>
          <w:p>
            <w:pPr>
              <w:spacing w:after="0"/>
              <w:rPr>
                <w:sz w:val="23"/>
                <w:szCs w:val="23"/>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(3)</w:t>
            </w:r>
          </w:p>
        </w:tc>
        <w:tc>
          <w:tcPr>
            <w:tcW w:w="540" w:type="dxa"/>
            <w:vAlign w:val="bottom"/>
          </w:tcPr>
          <w:p>
            <w:pPr>
              <w:spacing w:after="0"/>
              <w:rPr>
                <w:sz w:val="23"/>
                <w:szCs w:val="23"/>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48</w:t>
            </w:r>
          </w:p>
        </w:tc>
        <w:tc>
          <w:tcPr>
            <w:tcW w:w="700" w:type="dxa"/>
            <w:vAlign w:val="bottom"/>
          </w:tcPr>
          <w:p>
            <w:pPr>
              <w:spacing w:after="0"/>
              <w:rPr>
                <w:sz w:val="23"/>
                <w:szCs w:val="23"/>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color w:val="auto"/>
              </w:rPr>
              <w:t>.07</w:t>
            </w:r>
          </w:p>
        </w:tc>
      </w:tr>
      <w:tr>
        <w:trPr>
          <w:trHeight w:val="239"/>
        </w:trPr>
        <w:tc>
          <w:tcPr>
            <w:tcW w:w="3560" w:type="dxa"/>
            <w:vAlign w:val="bottom"/>
          </w:tcPr>
          <w:p>
            <w:pPr>
              <w:ind w:left="220"/>
              <w:spacing w:after="0"/>
              <w:rPr>
                <w:sz w:val="20"/>
                <w:szCs w:val="20"/>
                <w:color w:val="auto"/>
              </w:rPr>
            </w:pPr>
            <w:r>
              <w:rPr>
                <w:rFonts w:ascii="Arial" w:cs="Arial" w:eastAsia="Arial" w:hAnsi="Arial"/>
                <w:sz w:val="18"/>
                <w:szCs w:val="18"/>
                <w:color w:val="auto"/>
              </w:rPr>
              <w:t>Loss from investment</w:t>
            </w:r>
          </w:p>
        </w:tc>
        <w:tc>
          <w:tcPr>
            <w:tcW w:w="620" w:type="dxa"/>
            <w:vAlign w:val="bottom"/>
          </w:tcPr>
          <w:p>
            <w:pPr>
              <w:spacing w:after="0"/>
              <w:rPr>
                <w:sz w:val="20"/>
                <w:szCs w:val="20"/>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color w:val="auto"/>
              </w:rPr>
              <w:t>4</w:t>
            </w:r>
          </w:p>
        </w:tc>
        <w:tc>
          <w:tcPr>
            <w:tcW w:w="640" w:type="dxa"/>
            <w:vAlign w:val="bottom"/>
          </w:tcPr>
          <w:p>
            <w:pPr>
              <w:spacing w:after="0"/>
              <w:rPr>
                <w:sz w:val="20"/>
                <w:szCs w:val="20"/>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3</w:t>
            </w:r>
          </w:p>
        </w:tc>
        <w:tc>
          <w:tcPr>
            <w:tcW w:w="70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color w:val="auto"/>
              </w:rPr>
              <w:t>—</w:t>
            </w:r>
          </w:p>
        </w:tc>
      </w:tr>
      <w:tr>
        <w:trPr>
          <w:trHeight w:val="301"/>
        </w:trPr>
        <w:tc>
          <w:tcPr>
            <w:tcW w:w="3560" w:type="dxa"/>
            <w:vAlign w:val="bottom"/>
          </w:tcPr>
          <w:p>
            <w:pPr>
              <w:ind w:left="220"/>
              <w:spacing w:after="0"/>
              <w:rPr>
                <w:sz w:val="20"/>
                <w:szCs w:val="20"/>
                <w:color w:val="auto"/>
              </w:rPr>
            </w:pPr>
            <w:r>
              <w:rPr>
                <w:rFonts w:ascii="Arial" w:cs="Arial" w:eastAsia="Arial" w:hAnsi="Arial"/>
                <w:sz w:val="18"/>
                <w:szCs w:val="18"/>
                <w:color w:val="auto"/>
              </w:rPr>
              <w:t xml:space="preserve">Discrete tax items </w:t>
            </w:r>
            <w:r>
              <w:rPr>
                <w:rFonts w:ascii="Arial" w:cs="Arial" w:eastAsia="Arial" w:hAnsi="Arial"/>
                <w:sz w:val="23"/>
                <w:szCs w:val="23"/>
                <w:color w:val="auto"/>
                <w:vertAlign w:val="superscript"/>
              </w:rPr>
              <w:t>(e)</w:t>
            </w:r>
          </w:p>
        </w:tc>
        <w:tc>
          <w:tcPr>
            <w:tcW w:w="620" w:type="dxa"/>
            <w:vAlign w:val="bottom"/>
          </w:tcPr>
          <w:p>
            <w:pPr>
              <w:spacing w:after="0"/>
              <w:rPr>
                <w:sz w:val="24"/>
                <w:szCs w:val="24"/>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color w:val="auto"/>
              </w:rPr>
              <w:t>47</w:t>
            </w:r>
          </w:p>
        </w:tc>
        <w:tc>
          <w:tcPr>
            <w:tcW w:w="540" w:type="dxa"/>
            <w:vAlign w:val="bottom"/>
          </w:tcPr>
          <w:p>
            <w:pPr>
              <w:spacing w:after="0"/>
              <w:rPr>
                <w:sz w:val="24"/>
                <w:szCs w:val="24"/>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47</w:t>
            </w:r>
          </w:p>
        </w:tc>
        <w:tc>
          <w:tcPr>
            <w:tcW w:w="700" w:type="dxa"/>
            <w:vAlign w:val="bottom"/>
          </w:tcPr>
          <w:p>
            <w:pPr>
              <w:spacing w:after="0"/>
              <w:rPr>
                <w:sz w:val="24"/>
                <w:szCs w:val="24"/>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color w:val="auto"/>
              </w:rPr>
              <w:t>.07</w:t>
            </w:r>
          </w:p>
        </w:tc>
      </w:tr>
      <w:tr>
        <w:trPr>
          <w:trHeight w:val="239"/>
        </w:trPr>
        <w:tc>
          <w:tcPr>
            <w:tcW w:w="3560" w:type="dxa"/>
            <w:vAlign w:val="bottom"/>
          </w:tcPr>
          <w:p>
            <w:pPr>
              <w:ind w:left="220"/>
              <w:spacing w:after="0"/>
              <w:rPr>
                <w:sz w:val="20"/>
                <w:szCs w:val="20"/>
                <w:color w:val="auto"/>
              </w:rPr>
            </w:pPr>
            <w:r>
              <w:rPr>
                <w:rFonts w:ascii="Arial" w:cs="Arial" w:eastAsia="Arial" w:hAnsi="Arial"/>
                <w:sz w:val="18"/>
                <w:szCs w:val="18"/>
                <w:color w:val="auto"/>
              </w:rPr>
              <w:t>Impact of antidilution</w:t>
            </w:r>
          </w:p>
        </w:tc>
        <w:tc>
          <w:tcPr>
            <w:tcW w:w="620" w:type="dxa"/>
            <w:vAlign w:val="bottom"/>
          </w:tcPr>
          <w:p>
            <w:pPr>
              <w:spacing w:after="0"/>
              <w:rPr>
                <w:sz w:val="20"/>
                <w:szCs w:val="20"/>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color w:val="auto"/>
              </w:rPr>
              <w:t>.03</w:t>
            </w:r>
          </w:p>
        </w:tc>
      </w:tr>
      <w:tr>
        <w:trPr>
          <w:trHeight w:val="23"/>
        </w:trPr>
        <w:tc>
          <w:tcPr>
            <w:tcW w:w="35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0"/>
        </w:trPr>
        <w:tc>
          <w:tcPr>
            <w:tcW w:w="3560" w:type="dxa"/>
            <w:vAlign w:val="bottom"/>
          </w:tcPr>
          <w:p>
            <w:pPr>
              <w:ind w:left="20"/>
              <w:spacing w:after="0"/>
              <w:rPr>
                <w:sz w:val="20"/>
                <w:szCs w:val="20"/>
                <w:color w:val="auto"/>
              </w:rPr>
            </w:pPr>
            <w:r>
              <w:rPr>
                <w:rFonts w:ascii="Arial" w:cs="Arial" w:eastAsia="Arial" w:hAnsi="Arial"/>
                <w:sz w:val="18"/>
                <w:szCs w:val="18"/>
                <w:color w:val="auto"/>
              </w:rPr>
              <w:t>Adjusted (Non-GAAP)</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90"/>
              <w:spacing w:after="0"/>
              <w:rPr>
                <w:sz w:val="20"/>
                <w:szCs w:val="20"/>
                <w:color w:val="auto"/>
              </w:rPr>
            </w:pPr>
            <w:r>
              <w:rPr>
                <w:rFonts w:ascii="Arial" w:cs="Arial" w:eastAsia="Arial" w:hAnsi="Arial"/>
                <w:sz w:val="18"/>
                <w:szCs w:val="18"/>
                <w:color w:val="auto"/>
              </w:rPr>
              <w:t>1,755</w:t>
            </w:r>
          </w:p>
        </w:tc>
        <w:tc>
          <w:tcPr>
            <w:tcW w:w="640" w:type="dxa"/>
            <w:vAlign w:val="bottom"/>
          </w:tcPr>
          <w:p>
            <w:pPr>
              <w:ind w:left="3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 xml:space="preserve">(383) </w:t>
            </w:r>
            <w:r>
              <w:rPr>
                <w:rFonts w:ascii="Arial" w:cs="Arial" w:eastAsia="Arial" w:hAnsi="Arial"/>
                <w:sz w:val="11"/>
                <w:szCs w:val="11"/>
                <w:color w:val="auto"/>
              </w:rPr>
              <w:t>(f)</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1,112</w:t>
            </w: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 xml:space="preserve">1.65 </w:t>
            </w:r>
            <w:r>
              <w:rPr>
                <w:rFonts w:ascii="Arial" w:cs="Arial" w:eastAsia="Arial" w:hAnsi="Arial"/>
                <w:sz w:val="11"/>
                <w:szCs w:val="11"/>
                <w:color w:val="auto"/>
              </w:rPr>
              <w:t>(g)</w:t>
            </w:r>
          </w:p>
        </w:tc>
      </w:tr>
      <w:tr>
        <w:trPr>
          <w:trHeight w:val="30"/>
        </w:trPr>
        <w:tc>
          <w:tcPr>
            <w:tcW w:w="35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118" w:lineRule="exact"/>
        <w:rPr>
          <w:sz w:val="20"/>
          <w:szCs w:val="20"/>
          <w:color w:val="auto"/>
        </w:rPr>
      </w:pPr>
    </w:p>
    <w:p>
      <w:pPr>
        <w:ind w:left="660" w:right="560" w:hanging="247"/>
        <w:spacing w:after="0" w:line="283" w:lineRule="auto"/>
        <w:tabs>
          <w:tab w:leader="none" w:pos="646" w:val="left"/>
        </w:tabs>
        <w:numPr>
          <w:ilvl w:val="0"/>
          <w:numId w:val="17"/>
        </w:numPr>
        <w:rPr>
          <w:rFonts w:ascii="Arial" w:cs="Arial" w:eastAsia="Arial" w:hAnsi="Arial"/>
          <w:sz w:val="15"/>
          <w:szCs w:val="15"/>
          <w:color w:val="auto"/>
        </w:rPr>
      </w:pPr>
      <w:r>
        <w:rPr>
          <w:rFonts w:ascii="Arial" w:cs="Arial" w:eastAsia="Arial" w:hAnsi="Arial"/>
          <w:sz w:val="15"/>
          <w:szCs w:val="15"/>
          <w:color w:val="auto"/>
        </w:rPr>
        <w:t>Reflects programming charges associated with major changes in content strategy that resulted in the removal of significant levels of content from our platforms, abandonment of development projects and termination of certain programming agreements.</w:t>
      </w:r>
    </w:p>
    <w:p>
      <w:pPr>
        <w:spacing w:after="0" w:line="25" w:lineRule="exact"/>
        <w:rPr>
          <w:rFonts w:ascii="Arial" w:cs="Arial" w:eastAsia="Arial" w:hAnsi="Arial"/>
          <w:sz w:val="15"/>
          <w:szCs w:val="15"/>
          <w:color w:val="auto"/>
        </w:rPr>
      </w:pPr>
    </w:p>
    <w:p>
      <w:pPr>
        <w:ind w:left="660" w:right="780" w:hanging="247"/>
        <w:spacing w:after="0" w:line="300" w:lineRule="auto"/>
        <w:tabs>
          <w:tab w:leader="none" w:pos="646" w:val="left"/>
        </w:tabs>
        <w:numPr>
          <w:ilvl w:val="0"/>
          <w:numId w:val="17"/>
        </w:numPr>
        <w:rPr>
          <w:rFonts w:ascii="Arial" w:cs="Arial" w:eastAsia="Arial" w:hAnsi="Arial"/>
          <w:sz w:val="15"/>
          <w:szCs w:val="15"/>
          <w:color w:val="auto"/>
        </w:rPr>
      </w:pPr>
      <w:r>
        <w:rPr>
          <w:rFonts w:ascii="Arial" w:cs="Arial" w:eastAsia="Arial" w:hAnsi="Arial"/>
          <w:sz w:val="15"/>
          <w:szCs w:val="15"/>
          <w:color w:val="auto"/>
        </w:rPr>
        <w:t>Reflects a goodwill impairment charge for our Cable Networks reporting unit of $5.98 billion, as well as charges totaling $119 million to reduce the carrying values of FCC licenses to their estimated fair values.</w:t>
      </w:r>
    </w:p>
    <w:p>
      <w:pPr>
        <w:ind w:left="660" w:right="960" w:hanging="247"/>
        <w:spacing w:after="0" w:line="283" w:lineRule="auto"/>
        <w:tabs>
          <w:tab w:leader="none" w:pos="638" w:val="left"/>
        </w:tabs>
        <w:numPr>
          <w:ilvl w:val="0"/>
          <w:numId w:val="17"/>
        </w:numPr>
        <w:rPr>
          <w:rFonts w:ascii="Arial" w:cs="Arial" w:eastAsia="Arial" w:hAnsi="Arial"/>
          <w:sz w:val="15"/>
          <w:szCs w:val="15"/>
          <w:color w:val="auto"/>
        </w:rPr>
      </w:pPr>
      <w:r>
        <w:rPr>
          <w:rFonts w:ascii="Arial" w:cs="Arial" w:eastAsia="Arial" w:hAnsi="Arial"/>
          <w:sz w:val="15"/>
          <w:szCs w:val="15"/>
          <w:color w:val="auto"/>
        </w:rPr>
        <w:t>Consists of severance costs associated with strategic changes in our global workforce and the exit of Paramount Global’s former CEO, and the impairment of lease assets.</w:t>
      </w:r>
    </w:p>
    <w:p>
      <w:pPr>
        <w:spacing w:after="0" w:line="11" w:lineRule="exact"/>
        <w:rPr>
          <w:rFonts w:ascii="Arial" w:cs="Arial" w:eastAsia="Arial" w:hAnsi="Arial"/>
          <w:sz w:val="15"/>
          <w:szCs w:val="15"/>
          <w:color w:val="auto"/>
        </w:rPr>
      </w:pPr>
    </w:p>
    <w:p>
      <w:pPr>
        <w:ind w:left="640" w:hanging="227"/>
        <w:spacing w:after="0"/>
        <w:tabs>
          <w:tab w:leader="none" w:pos="6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Reflects legal and advisory fees relating to the Transactions.</w:t>
      </w:r>
    </w:p>
    <w:p>
      <w:pPr>
        <w:spacing w:after="0" w:line="57" w:lineRule="exact"/>
        <w:rPr>
          <w:rFonts w:ascii="Arial" w:cs="Arial" w:eastAsia="Arial" w:hAnsi="Arial"/>
          <w:sz w:val="15"/>
          <w:szCs w:val="15"/>
          <w:color w:val="auto"/>
        </w:rPr>
      </w:pPr>
    </w:p>
    <w:p>
      <w:pPr>
        <w:ind w:left="660" w:right="440" w:hanging="247"/>
        <w:spacing w:after="0" w:line="281" w:lineRule="auto"/>
        <w:tabs>
          <w:tab w:leader="none" w:pos="646" w:val="left"/>
        </w:tabs>
        <w:numPr>
          <w:ilvl w:val="0"/>
          <w:numId w:val="17"/>
        </w:numPr>
        <w:rPr>
          <w:rFonts w:ascii="Arial" w:cs="Arial" w:eastAsia="Arial" w:hAnsi="Arial"/>
          <w:sz w:val="15"/>
          <w:szCs w:val="15"/>
          <w:color w:val="auto"/>
        </w:rPr>
      </w:pPr>
      <w:r>
        <w:rPr>
          <w:rFonts w:ascii="Arial" w:cs="Arial" w:eastAsia="Arial" w:hAnsi="Arial"/>
          <w:sz w:val="15"/>
          <w:szCs w:val="15"/>
          <w:color w:val="auto"/>
        </w:rPr>
        <w:t>Primarily attributable to the establishment of a valuation allowance on a deferred tax asset that was not expected to be realized because of a reduction in our deferred tax liabilities caused by the goodwill impairment charge in the second quarter of 2024. This impact was partially offset by amounts realized in connection with the filing of our tax returns in certain international jurisdictions.</w:t>
      </w:r>
    </w:p>
    <w:p>
      <w:pPr>
        <w:spacing w:after="0" w:line="1" w:lineRule="exact"/>
        <w:rPr>
          <w:rFonts w:ascii="Arial" w:cs="Arial" w:eastAsia="Arial" w:hAnsi="Arial"/>
          <w:sz w:val="15"/>
          <w:szCs w:val="15"/>
          <w:color w:val="auto"/>
        </w:rPr>
      </w:pPr>
    </w:p>
    <w:p>
      <w:pPr>
        <w:ind w:left="660" w:right="560" w:hanging="247"/>
        <w:spacing w:after="0" w:line="273" w:lineRule="auto"/>
        <w:tabs>
          <w:tab w:leader="none" w:pos="604"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reported effective income tax rate for the nine months ended September 30, 2024 was 5.6% and the adjusted effective income tax rate, which is calculated as the adjusted provision for income taxes of $383 million divided by adjusted earnings from continuing operations before income taxes of $1.76 billion, was 21.8%. These adjusted measures exclude the items affecting comparability detailed above.</w:t>
      </w:r>
    </w:p>
    <w:p>
      <w:pPr>
        <w:spacing w:after="0" w:line="18" w:lineRule="exact"/>
        <w:rPr>
          <w:rFonts w:ascii="Arial" w:cs="Arial" w:eastAsia="Arial" w:hAnsi="Arial"/>
          <w:sz w:val="15"/>
          <w:szCs w:val="15"/>
          <w:color w:val="auto"/>
        </w:rPr>
      </w:pPr>
    </w:p>
    <w:p>
      <w:pPr>
        <w:ind w:left="660" w:right="660" w:hanging="247"/>
        <w:spacing w:after="0" w:line="269" w:lineRule="auto"/>
        <w:tabs>
          <w:tab w:leader="none" w:pos="646" w:val="left"/>
        </w:tabs>
        <w:numPr>
          <w:ilvl w:val="0"/>
          <w:numId w:val="17"/>
        </w:numPr>
        <w:rPr>
          <w:rFonts w:ascii="Arial" w:cs="Arial" w:eastAsia="Arial" w:hAnsi="Arial"/>
          <w:sz w:val="15"/>
          <w:szCs w:val="15"/>
          <w:color w:val="auto"/>
        </w:rPr>
      </w:pPr>
      <w:r>
        <w:rPr>
          <w:rFonts w:ascii="Arial" w:cs="Arial" w:eastAsia="Arial" w:hAnsi="Arial"/>
          <w:sz w:val="15"/>
          <w:szCs w:val="15"/>
          <w:color w:val="auto"/>
        </w:rPr>
        <w:t>For the nine months ended September 30, 2024, the weighted average number of common shares outstanding used in the calculation of reported diluted EPS from continuing operations is 663 million and in the calculation of adjusted diluted EPS from continuing operations is 665 million. The dilutive impact was excluded in the calculation of reported diluted EPS from continuing operations because it would have been antidilutive since we reported a net loss from continuing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205" w:right="339" w:bottom="1440" w:gutter="0" w:footer="0" w:header="0"/>
        </w:sectPr>
      </w:pPr>
    </w:p>
    <w:bookmarkStart w:id="30" w:name="page31"/>
    <w:bookmarkEnd w:id="30"/>
    <w:p>
      <w:pPr>
        <w:jc w:val="center"/>
        <w:ind w:right="240"/>
        <w:spacing w:after="0"/>
        <w:rPr>
          <w:sz w:val="20"/>
          <w:szCs w:val="20"/>
          <w:color w:val="auto"/>
        </w:rPr>
      </w:pPr>
      <w:r>
        <w:rPr>
          <w:rFonts w:ascii="Arial" w:cs="Arial" w:eastAsia="Arial" w:hAnsi="Arial"/>
          <w:sz w:val="22"/>
          <w:szCs w:val="22"/>
          <w:b w:val="1"/>
          <w:bCs w:val="1"/>
          <w:color w:val="auto"/>
        </w:rPr>
        <w:t>SUPPLEMENTAL DISCLOSURES REGARDING NON-GAAP FINANCIAL MEASURES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in millions)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Free Cash Flow</w:t>
      </w:r>
    </w:p>
    <w:p>
      <w:pPr>
        <w:spacing w:after="0" w:line="152" w:lineRule="exact"/>
        <w:rPr>
          <w:sz w:val="20"/>
          <w:szCs w:val="20"/>
          <w:color w:val="auto"/>
        </w:rPr>
      </w:pPr>
    </w:p>
    <w:p>
      <w:pPr>
        <w:ind w:right="400"/>
        <w:spacing w:after="0" w:line="273" w:lineRule="auto"/>
        <w:rPr>
          <w:sz w:val="20"/>
          <w:szCs w:val="20"/>
          <w:color w:val="auto"/>
        </w:rPr>
      </w:pPr>
      <w:r>
        <w:rPr>
          <w:rFonts w:ascii="Arial" w:cs="Arial" w:eastAsia="Arial" w:hAnsi="Arial"/>
          <w:sz w:val="21"/>
          <w:szCs w:val="21"/>
          <w:color w:val="auto"/>
        </w:rPr>
        <w:t>Free cash flow is a non-GAAP financial measure. Free cash flow reflects our net cash flow provided by (used for) operating activities less capital expenditures. We deduct capital expenditures when we calculate free cash flow because investment in capital expenditures is a use of cash that is directly related to our operations. Our net cash flow provided by (used for) operating activities is the most directly comparable U.S. GAAP financial measure.</w:t>
      </w:r>
    </w:p>
    <w:p>
      <w:pPr>
        <w:spacing w:after="0" w:line="238" w:lineRule="exact"/>
        <w:rPr>
          <w:sz w:val="20"/>
          <w:szCs w:val="20"/>
          <w:color w:val="auto"/>
        </w:rPr>
      </w:pPr>
    </w:p>
    <w:p>
      <w:pPr>
        <w:ind w:right="200"/>
        <w:spacing w:after="0" w:line="249" w:lineRule="auto"/>
        <w:rPr>
          <w:sz w:val="20"/>
          <w:szCs w:val="20"/>
          <w:color w:val="auto"/>
        </w:rPr>
      </w:pPr>
      <w:r>
        <w:rPr>
          <w:rFonts w:ascii="Arial" w:cs="Arial" w:eastAsia="Arial" w:hAnsi="Arial"/>
          <w:sz w:val="22"/>
          <w:szCs w:val="22"/>
          <w:color w:val="auto"/>
        </w:rPr>
        <w:t>Management believes free cash flow provides investors with an important perspective on the cash available to us to service debt, pay dividends, make strategic acquisitions and investments, maintain our capital assets, satisfy our tax obligations, and fund ongoing operations and working capital needs. We believe the presentation of free cash flow is relevant and useful for investors because it allows investors to evaluate the cash generated from our underlying operations in a manner similar to the method used by management. Free cash flow is one of the quantitative performance metrics used in determining our annual incentive compensation awards. In addition, free cash flow is a primary measure used externally by our investors, analysts and industry peers for purposes of valuation and comparison of our operating performance to other companies in our industry.</w:t>
      </w:r>
    </w:p>
    <w:p>
      <w:pPr>
        <w:spacing w:after="0" w:line="209" w:lineRule="exact"/>
        <w:rPr>
          <w:sz w:val="20"/>
          <w:szCs w:val="20"/>
          <w:color w:val="auto"/>
        </w:rPr>
      </w:pPr>
    </w:p>
    <w:p>
      <w:pPr>
        <w:ind w:right="20"/>
        <w:spacing w:after="0" w:line="257" w:lineRule="auto"/>
        <w:rPr>
          <w:sz w:val="20"/>
          <w:szCs w:val="20"/>
          <w:color w:val="auto"/>
        </w:rPr>
      </w:pPr>
      <w:r>
        <w:rPr>
          <w:rFonts w:ascii="Arial" w:cs="Arial" w:eastAsia="Arial" w:hAnsi="Arial"/>
          <w:sz w:val="22"/>
          <w:szCs w:val="22"/>
          <w:color w:val="auto"/>
        </w:rPr>
        <w:t>As free cash flow is not a measure calculated in accordance with U.S. GAAP, free cash flow should not be considered in isolation of, or as a substitute for, either net cash flow provided by (used for) operating activities as a measure of liquidity or net earnings (loss) as a measure of operating performance. Free cash flow, as we calculate it, may not be comparable to similarly titled measures employed by other companies.</w:t>
      </w:r>
    </w:p>
    <w:p>
      <w:pPr>
        <w:spacing w:after="0" w:line="199" w:lineRule="exact"/>
        <w:rPr>
          <w:sz w:val="20"/>
          <w:szCs w:val="20"/>
          <w:color w:val="auto"/>
        </w:rPr>
      </w:pPr>
    </w:p>
    <w:p>
      <w:pPr>
        <w:ind w:right="420"/>
        <w:spacing w:after="0" w:line="272" w:lineRule="auto"/>
        <w:rPr>
          <w:sz w:val="20"/>
          <w:szCs w:val="20"/>
          <w:color w:val="auto"/>
        </w:rPr>
      </w:pPr>
      <w:r>
        <w:rPr>
          <w:rFonts w:ascii="Arial" w:cs="Arial" w:eastAsia="Arial" w:hAnsi="Arial"/>
          <w:sz w:val="22"/>
          <w:szCs w:val="22"/>
          <w:color w:val="auto"/>
        </w:rPr>
        <w:t>The following table presents a reconciliation of our net cash flow provided by (used for) operating activities to free cash flow.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2640" w:type="dxa"/>
            <w:vAlign w:val="bottom"/>
            <w:tcBorders>
              <w:top w:val="single" w:sz="8" w:color="auto"/>
            </w:tcBorders>
          </w:tcPr>
          <w:p>
            <w:pPr>
              <w:spacing w:after="0"/>
              <w:rPr>
                <w:sz w:val="23"/>
                <w:szCs w:val="23"/>
                <w:color w:val="auto"/>
              </w:rPr>
            </w:pPr>
          </w:p>
        </w:tc>
        <w:tc>
          <w:tcPr>
            <w:tcW w:w="120" w:type="dxa"/>
            <w:vAlign w:val="bottom"/>
            <w:tcBorders>
              <w:top w:val="single" w:sz="8" w:color="auto"/>
              <w:bottom w:val="single" w:sz="8" w:color="auto"/>
            </w:tcBorders>
          </w:tcPr>
          <w:p>
            <w:pPr>
              <w:spacing w:after="0"/>
              <w:rPr>
                <w:sz w:val="23"/>
                <w:szCs w:val="23"/>
                <w:color w:val="auto"/>
              </w:rPr>
            </w:pPr>
          </w:p>
        </w:tc>
        <w:tc>
          <w:tcPr>
            <w:tcW w:w="1360" w:type="dxa"/>
            <w:vAlign w:val="bottom"/>
            <w:tcBorders>
              <w:top w:val="single" w:sz="8" w:color="auto"/>
              <w:bottom w:val="single" w:sz="8" w:color="auto"/>
              <w:right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Successor</w:t>
            </w:r>
          </w:p>
        </w:tc>
        <w:tc>
          <w:tcPr>
            <w:tcW w:w="260" w:type="dxa"/>
            <w:vAlign w:val="bottom"/>
            <w:tcBorders>
              <w:top w:val="single" w:sz="8" w:color="auto"/>
              <w:bottom w:val="single" w:sz="8" w:color="auto"/>
            </w:tcBorders>
          </w:tcPr>
          <w:p>
            <w:pPr>
              <w:spacing w:after="0"/>
              <w:rPr>
                <w:sz w:val="23"/>
                <w:szCs w:val="23"/>
                <w:color w:val="auto"/>
              </w:rPr>
            </w:pPr>
          </w:p>
        </w:tc>
        <w:tc>
          <w:tcPr>
            <w:tcW w:w="2440" w:type="dxa"/>
            <w:vAlign w:val="bottom"/>
            <w:tcBorders>
              <w:top w:val="single" w:sz="8" w:color="auto"/>
              <w:bottom w:val="single" w:sz="8" w:color="auto"/>
            </w:tcBorders>
            <w:gridSpan w:val="3"/>
          </w:tcPr>
          <w:p>
            <w:pPr>
              <w:jc w:val="right"/>
              <w:ind w:right="779"/>
              <w:spacing w:after="0"/>
              <w:rPr>
                <w:sz w:val="20"/>
                <w:szCs w:val="20"/>
                <w:color w:val="auto"/>
              </w:rPr>
            </w:pPr>
            <w:r>
              <w:rPr>
                <w:rFonts w:ascii="Arial" w:cs="Arial" w:eastAsia="Arial" w:hAnsi="Arial"/>
                <w:sz w:val="16"/>
                <w:szCs w:val="16"/>
                <w:b w:val="1"/>
                <w:bCs w:val="1"/>
                <w:color w:val="auto"/>
              </w:rPr>
              <w:t>Predecessor</w:t>
            </w:r>
          </w:p>
        </w:tc>
        <w:tc>
          <w:tcPr>
            <w:tcW w:w="120" w:type="dxa"/>
            <w:vAlign w:val="bottom"/>
            <w:tcBorders>
              <w:top w:val="single" w:sz="8" w:color="auto"/>
            </w:tcBorders>
          </w:tcPr>
          <w:p>
            <w:pPr>
              <w:spacing w:after="0"/>
              <w:rPr>
                <w:sz w:val="23"/>
                <w:szCs w:val="23"/>
                <w:color w:val="auto"/>
              </w:rPr>
            </w:pPr>
          </w:p>
        </w:tc>
        <w:tc>
          <w:tcPr>
            <w:tcW w:w="120" w:type="dxa"/>
            <w:vAlign w:val="bottom"/>
            <w:tcBorders>
              <w:top w:val="single" w:sz="8" w:color="auto"/>
              <w:bottom w:val="single" w:sz="8" w:color="auto"/>
            </w:tcBorders>
          </w:tcPr>
          <w:p>
            <w:pPr>
              <w:spacing w:after="0"/>
              <w:rPr>
                <w:sz w:val="23"/>
                <w:szCs w:val="23"/>
                <w:color w:val="auto"/>
              </w:rPr>
            </w:pPr>
          </w:p>
        </w:tc>
        <w:tc>
          <w:tcPr>
            <w:tcW w:w="1380" w:type="dxa"/>
            <w:vAlign w:val="bottom"/>
            <w:tcBorders>
              <w:top w:val="single" w:sz="8" w:color="auto"/>
              <w:bottom w:val="single" w:sz="8" w:color="auto"/>
              <w:right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Successor</w:t>
            </w:r>
          </w:p>
        </w:tc>
        <w:tc>
          <w:tcPr>
            <w:tcW w:w="220" w:type="dxa"/>
            <w:vAlign w:val="bottom"/>
            <w:tcBorders>
              <w:top w:val="single" w:sz="8" w:color="auto"/>
              <w:bottom w:val="single" w:sz="8" w:color="auto"/>
            </w:tcBorders>
          </w:tcPr>
          <w:p>
            <w:pPr>
              <w:spacing w:after="0"/>
              <w:rPr>
                <w:sz w:val="23"/>
                <w:szCs w:val="23"/>
                <w:color w:val="auto"/>
              </w:rPr>
            </w:pPr>
          </w:p>
        </w:tc>
        <w:tc>
          <w:tcPr>
            <w:tcW w:w="2580" w:type="dxa"/>
            <w:vAlign w:val="bottom"/>
            <w:tcBorders>
              <w:top w:val="single" w:sz="8" w:color="auto"/>
              <w:bottom w:val="single" w:sz="8" w:color="auto"/>
            </w:tcBorders>
            <w:gridSpan w:val="3"/>
          </w:tcPr>
          <w:p>
            <w:pPr>
              <w:ind w:left="700"/>
              <w:spacing w:after="0"/>
              <w:rPr>
                <w:sz w:val="20"/>
                <w:szCs w:val="20"/>
                <w:color w:val="auto"/>
              </w:rPr>
            </w:pPr>
            <w:r>
              <w:rPr>
                <w:rFonts w:ascii="Arial" w:cs="Arial" w:eastAsia="Arial" w:hAnsi="Arial"/>
                <w:sz w:val="16"/>
                <w:szCs w:val="16"/>
                <w:b w:val="1"/>
                <w:bCs w:val="1"/>
                <w:color w:val="auto"/>
              </w:rPr>
              <w:t>Predecessor</w:t>
            </w:r>
          </w:p>
        </w:tc>
      </w:tr>
      <w:tr>
        <w:trPr>
          <w:trHeight w:val="199"/>
        </w:trPr>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Borders>
              <w:right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Period From</w:t>
            </w:r>
          </w:p>
        </w:tc>
        <w:tc>
          <w:tcPr>
            <w:tcW w:w="1260" w:type="dxa"/>
            <w:vAlign w:val="bottom"/>
            <w:gridSpan w:val="2"/>
          </w:tcPr>
          <w:p>
            <w:pPr>
              <w:jc w:val="center"/>
              <w:spacing w:after="0"/>
              <w:rPr>
                <w:sz w:val="20"/>
                <w:szCs w:val="20"/>
                <w:color w:val="auto"/>
              </w:rPr>
            </w:pPr>
            <w:r>
              <w:rPr>
                <w:rFonts w:ascii="Arial" w:cs="Arial" w:eastAsia="Arial" w:hAnsi="Arial"/>
                <w:sz w:val="16"/>
                <w:szCs w:val="16"/>
                <w:b w:val="1"/>
                <w:bCs w:val="1"/>
                <w:color w:val="auto"/>
              </w:rPr>
              <w:t>Period From</w:t>
            </w:r>
          </w:p>
        </w:tc>
        <w:tc>
          <w:tcPr>
            <w:tcW w:w="18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Three Months</w:t>
            </w:r>
          </w:p>
        </w:tc>
        <w:tc>
          <w:tcPr>
            <w:tcW w:w="120" w:type="dxa"/>
            <w:vAlign w:val="bottom"/>
          </w:tcPr>
          <w:p>
            <w:pPr>
              <w:spacing w:after="0"/>
              <w:rPr>
                <w:sz w:val="17"/>
                <w:szCs w:val="17"/>
                <w:color w:val="auto"/>
              </w:rPr>
            </w:pPr>
          </w:p>
        </w:tc>
        <w:tc>
          <w:tcPr>
            <w:tcW w:w="1380" w:type="dxa"/>
            <w:vAlign w:val="bottom"/>
            <w:tcBorders>
              <w:right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99"/>
              </w:rPr>
              <w:t>Period From</w:t>
            </w:r>
          </w:p>
        </w:tc>
        <w:tc>
          <w:tcPr>
            <w:tcW w:w="1300" w:type="dxa"/>
            <w:vAlign w:val="bottom"/>
            <w:gridSpan w:val="2"/>
          </w:tcPr>
          <w:p>
            <w:pPr>
              <w:jc w:val="center"/>
              <w:spacing w:after="0"/>
              <w:rPr>
                <w:sz w:val="20"/>
                <w:szCs w:val="20"/>
                <w:color w:val="auto"/>
              </w:rPr>
            </w:pPr>
            <w:r>
              <w:rPr>
                <w:rFonts w:ascii="Arial" w:cs="Arial" w:eastAsia="Arial" w:hAnsi="Arial"/>
                <w:sz w:val="16"/>
                <w:szCs w:val="16"/>
                <w:b w:val="1"/>
                <w:bCs w:val="1"/>
                <w:color w:val="auto"/>
              </w:rPr>
              <w:t>Period From</w:t>
            </w:r>
          </w:p>
        </w:tc>
        <w:tc>
          <w:tcPr>
            <w:tcW w:w="220" w:type="dxa"/>
            <w:vAlign w:val="bottom"/>
          </w:tcPr>
          <w:p>
            <w:pPr>
              <w:spacing w:after="0"/>
              <w:rPr>
                <w:sz w:val="17"/>
                <w:szCs w:val="17"/>
                <w:color w:val="auto"/>
              </w:rPr>
            </w:pPr>
          </w:p>
        </w:tc>
        <w:tc>
          <w:tcPr>
            <w:tcW w:w="1280" w:type="dxa"/>
            <w:vAlign w:val="bottom"/>
          </w:tcPr>
          <w:p>
            <w:pPr>
              <w:jc w:val="center"/>
              <w:ind w:right="39"/>
              <w:spacing w:after="0"/>
              <w:rPr>
                <w:sz w:val="20"/>
                <w:szCs w:val="20"/>
                <w:color w:val="auto"/>
              </w:rPr>
            </w:pPr>
            <w:r>
              <w:rPr>
                <w:rFonts w:ascii="Arial" w:cs="Arial" w:eastAsia="Arial" w:hAnsi="Arial"/>
                <w:sz w:val="16"/>
                <w:szCs w:val="16"/>
                <w:b w:val="1"/>
                <w:bCs w:val="1"/>
                <w:color w:val="auto"/>
                <w:w w:val="99"/>
              </w:rPr>
              <w:t>Nine Months</w:t>
            </w:r>
          </w:p>
        </w:tc>
      </w:tr>
      <w:tr>
        <w:trPr>
          <w:trHeight w:val="189"/>
        </w:trPr>
        <w:tc>
          <w:tcPr>
            <w:tcW w:w="2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Borders>
              <w:right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August 7 -</w:t>
            </w:r>
          </w:p>
        </w:tc>
        <w:tc>
          <w:tcPr>
            <w:tcW w:w="260" w:type="dxa"/>
            <w:vAlign w:val="bottom"/>
          </w:tcPr>
          <w:p>
            <w:pPr>
              <w:spacing w:after="0"/>
              <w:rPr>
                <w:sz w:val="16"/>
                <w:szCs w:val="16"/>
                <w:color w:val="auto"/>
              </w:rPr>
            </w:pPr>
          </w:p>
        </w:tc>
        <w:tc>
          <w:tcPr>
            <w:tcW w:w="1000" w:type="dxa"/>
            <w:vAlign w:val="bottom"/>
          </w:tcPr>
          <w:p>
            <w:pPr>
              <w:jc w:val="center"/>
              <w:ind w:right="119"/>
              <w:spacing w:after="0"/>
              <w:rPr>
                <w:sz w:val="20"/>
                <w:szCs w:val="20"/>
                <w:color w:val="auto"/>
              </w:rPr>
            </w:pPr>
            <w:r>
              <w:rPr>
                <w:rFonts w:ascii="Arial" w:cs="Arial" w:eastAsia="Arial" w:hAnsi="Arial"/>
                <w:sz w:val="16"/>
                <w:szCs w:val="16"/>
                <w:b w:val="1"/>
                <w:bCs w:val="1"/>
                <w:color w:val="auto"/>
              </w:rPr>
              <w:t>July 1 -</w:t>
            </w:r>
          </w:p>
        </w:tc>
        <w:tc>
          <w:tcPr>
            <w:tcW w:w="18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Ended</w:t>
            </w:r>
          </w:p>
        </w:tc>
        <w:tc>
          <w:tcPr>
            <w:tcW w:w="120" w:type="dxa"/>
            <w:vAlign w:val="bottom"/>
          </w:tcPr>
          <w:p>
            <w:pPr>
              <w:spacing w:after="0"/>
              <w:rPr>
                <w:sz w:val="16"/>
                <w:szCs w:val="16"/>
                <w:color w:val="auto"/>
              </w:rPr>
            </w:pPr>
          </w:p>
        </w:tc>
        <w:tc>
          <w:tcPr>
            <w:tcW w:w="1380" w:type="dxa"/>
            <w:vAlign w:val="bottom"/>
            <w:tcBorders>
              <w:right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99"/>
              </w:rPr>
              <w:t>August 7 -</w:t>
            </w:r>
          </w:p>
        </w:tc>
        <w:tc>
          <w:tcPr>
            <w:tcW w:w="220" w:type="dxa"/>
            <w:vAlign w:val="bottom"/>
          </w:tcPr>
          <w:p>
            <w:pPr>
              <w:spacing w:after="0"/>
              <w:rPr>
                <w:sz w:val="16"/>
                <w:szCs w:val="16"/>
                <w:color w:val="auto"/>
              </w:rPr>
            </w:pPr>
          </w:p>
        </w:tc>
        <w:tc>
          <w:tcPr>
            <w:tcW w:w="108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January 1 -</w:t>
            </w:r>
          </w:p>
        </w:tc>
        <w:tc>
          <w:tcPr>
            <w:tcW w:w="220" w:type="dxa"/>
            <w:vAlign w:val="bottom"/>
          </w:tcPr>
          <w:p>
            <w:pPr>
              <w:spacing w:after="0"/>
              <w:rPr>
                <w:sz w:val="16"/>
                <w:szCs w:val="16"/>
                <w:color w:val="auto"/>
              </w:rPr>
            </w:pPr>
          </w:p>
        </w:tc>
        <w:tc>
          <w:tcPr>
            <w:tcW w:w="1280" w:type="dxa"/>
            <w:vAlign w:val="bottom"/>
          </w:tcPr>
          <w:p>
            <w:pPr>
              <w:jc w:val="center"/>
              <w:ind w:right="39"/>
              <w:spacing w:after="0"/>
              <w:rPr>
                <w:sz w:val="20"/>
                <w:szCs w:val="20"/>
                <w:color w:val="auto"/>
              </w:rPr>
            </w:pPr>
            <w:r>
              <w:rPr>
                <w:rFonts w:ascii="Arial" w:cs="Arial" w:eastAsia="Arial" w:hAnsi="Arial"/>
                <w:sz w:val="16"/>
                <w:szCs w:val="16"/>
                <w:b w:val="1"/>
                <w:bCs w:val="1"/>
                <w:color w:val="auto"/>
                <w:w w:val="98"/>
              </w:rPr>
              <w:t>Ended</w:t>
            </w:r>
          </w:p>
        </w:tc>
      </w:tr>
      <w:tr>
        <w:trPr>
          <w:trHeight w:val="223"/>
        </w:trPr>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Borders>
              <w:right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19"/>
                <w:szCs w:val="19"/>
                <w:color w:val="auto"/>
              </w:rPr>
            </w:pPr>
          </w:p>
        </w:tc>
        <w:tc>
          <w:tcPr>
            <w:tcW w:w="1000" w:type="dxa"/>
            <w:vAlign w:val="bottom"/>
          </w:tcPr>
          <w:p>
            <w:pPr>
              <w:jc w:val="center"/>
              <w:ind w:right="99"/>
              <w:spacing w:after="0"/>
              <w:rPr>
                <w:sz w:val="20"/>
                <w:szCs w:val="20"/>
                <w:color w:val="auto"/>
              </w:rPr>
            </w:pPr>
            <w:r>
              <w:rPr>
                <w:rFonts w:ascii="Arial" w:cs="Arial" w:eastAsia="Arial" w:hAnsi="Arial"/>
                <w:sz w:val="16"/>
                <w:szCs w:val="16"/>
                <w:b w:val="1"/>
                <w:bCs w:val="1"/>
                <w:color w:val="auto"/>
              </w:rPr>
              <w:t>August 6,</w:t>
            </w:r>
          </w:p>
        </w:tc>
        <w:tc>
          <w:tcPr>
            <w:tcW w:w="18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9"/>
                <w:szCs w:val="19"/>
                <w:color w:val="auto"/>
              </w:rPr>
            </w:pPr>
          </w:p>
        </w:tc>
        <w:tc>
          <w:tcPr>
            <w:tcW w:w="1380" w:type="dxa"/>
            <w:vAlign w:val="bottom"/>
            <w:tcBorders>
              <w:right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9"/>
                <w:szCs w:val="19"/>
                <w:color w:val="auto"/>
              </w:rPr>
            </w:pPr>
          </w:p>
        </w:tc>
        <w:tc>
          <w:tcPr>
            <w:tcW w:w="1080" w:type="dxa"/>
            <w:vAlign w:val="bottom"/>
          </w:tcPr>
          <w:p>
            <w:pPr>
              <w:jc w:val="center"/>
              <w:ind w:right="119"/>
              <w:spacing w:after="0"/>
              <w:rPr>
                <w:sz w:val="20"/>
                <w:szCs w:val="20"/>
                <w:color w:val="auto"/>
              </w:rPr>
            </w:pPr>
            <w:r>
              <w:rPr>
                <w:rFonts w:ascii="Arial" w:cs="Arial" w:eastAsia="Arial" w:hAnsi="Arial"/>
                <w:sz w:val="16"/>
                <w:szCs w:val="16"/>
                <w:b w:val="1"/>
                <w:bCs w:val="1"/>
                <w:color w:val="auto"/>
                <w:w w:val="98"/>
              </w:rPr>
              <w:t>August 6,</w:t>
            </w:r>
          </w:p>
        </w:tc>
        <w:tc>
          <w:tcPr>
            <w:tcW w:w="220" w:type="dxa"/>
            <w:vAlign w:val="bottom"/>
          </w:tcPr>
          <w:p>
            <w:pPr>
              <w:spacing w:after="0"/>
              <w:rPr>
                <w:sz w:val="19"/>
                <w:szCs w:val="19"/>
                <w:color w:val="auto"/>
              </w:rPr>
            </w:pPr>
          </w:p>
        </w:tc>
        <w:tc>
          <w:tcPr>
            <w:tcW w:w="1280" w:type="dxa"/>
            <w:vAlign w:val="bottom"/>
          </w:tcPr>
          <w:p>
            <w:pPr>
              <w:jc w:val="center"/>
              <w:ind w:right="39"/>
              <w:spacing w:after="0"/>
              <w:rPr>
                <w:sz w:val="20"/>
                <w:szCs w:val="20"/>
                <w:color w:val="auto"/>
              </w:rPr>
            </w:pPr>
            <w:r>
              <w:rPr>
                <w:rFonts w:ascii="Arial" w:cs="Arial" w:eastAsia="Arial" w:hAnsi="Arial"/>
                <w:sz w:val="16"/>
                <w:szCs w:val="16"/>
                <w:b w:val="1"/>
                <w:bCs w:val="1"/>
                <w:color w:val="auto"/>
              </w:rPr>
              <w:t>September 30,</w:t>
            </w:r>
          </w:p>
        </w:tc>
      </w:tr>
      <w:tr>
        <w:trPr>
          <w:trHeight w:val="21"/>
        </w:trPr>
        <w:tc>
          <w:tcPr>
            <w:tcW w:w="2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3"/>
        </w:trPr>
        <w:tc>
          <w:tcPr>
            <w:tcW w:w="26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2025</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2025</w:t>
            </w: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2025</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2025</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2024</w:t>
            </w:r>
          </w:p>
        </w:tc>
      </w:tr>
      <w:tr>
        <w:trPr>
          <w:trHeight w:val="199"/>
        </w:trPr>
        <w:tc>
          <w:tcPr>
            <w:tcW w:w="2640" w:type="dxa"/>
            <w:vAlign w:val="bottom"/>
          </w:tcPr>
          <w:p>
            <w:pPr>
              <w:ind w:left="20"/>
              <w:spacing w:after="0"/>
              <w:rPr>
                <w:sz w:val="20"/>
                <w:szCs w:val="20"/>
                <w:color w:val="auto"/>
              </w:rPr>
            </w:pPr>
            <w:r>
              <w:rPr>
                <w:rFonts w:ascii="Arial" w:cs="Arial" w:eastAsia="Arial" w:hAnsi="Arial"/>
                <w:sz w:val="16"/>
                <w:szCs w:val="16"/>
                <w:color w:val="auto"/>
              </w:rPr>
              <w:t>Net cash flow provided by</w:t>
            </w:r>
          </w:p>
        </w:tc>
        <w:tc>
          <w:tcPr>
            <w:tcW w:w="120" w:type="dxa"/>
            <w:vAlign w:val="bottom"/>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28"/>
        </w:trPr>
        <w:tc>
          <w:tcPr>
            <w:tcW w:w="2640" w:type="dxa"/>
            <w:vAlign w:val="bottom"/>
          </w:tcPr>
          <w:p>
            <w:pPr>
              <w:ind w:left="200"/>
              <w:spacing w:after="0"/>
              <w:rPr>
                <w:sz w:val="20"/>
                <w:szCs w:val="20"/>
                <w:color w:val="auto"/>
              </w:rPr>
            </w:pPr>
            <w:r>
              <w:rPr>
                <w:rFonts w:ascii="Arial" w:cs="Arial" w:eastAsia="Arial" w:hAnsi="Arial"/>
                <w:sz w:val="16"/>
                <w:szCs w:val="16"/>
                <w:color w:val="auto"/>
              </w:rPr>
              <w:t>(used for) operating activities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right w:val="single" w:sz="8" w:color="auto"/>
            </w:tcBorders>
          </w:tcPr>
          <w:p>
            <w:pPr>
              <w:jc w:val="right"/>
              <w:ind w:right="119"/>
              <w:spacing w:after="0"/>
              <w:rPr>
                <w:sz w:val="20"/>
                <w:szCs w:val="20"/>
                <w:color w:val="auto"/>
              </w:rPr>
            </w:pPr>
            <w:r>
              <w:rPr>
                <w:rFonts w:ascii="Arial" w:cs="Arial" w:eastAsia="Arial" w:hAnsi="Arial"/>
                <w:sz w:val="16"/>
                <w:szCs w:val="16"/>
                <w:color w:val="auto"/>
              </w:rPr>
              <w:t>268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(175)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265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right w:val="single" w:sz="8" w:color="auto"/>
            </w:tcBorders>
          </w:tcPr>
          <w:p>
            <w:pPr>
              <w:jc w:val="right"/>
              <w:ind w:right="99"/>
              <w:spacing w:after="0"/>
              <w:rPr>
                <w:sz w:val="20"/>
                <w:szCs w:val="20"/>
                <w:color w:val="auto"/>
              </w:rPr>
            </w:pPr>
            <w:r>
              <w:rPr>
                <w:rFonts w:ascii="Arial" w:cs="Arial" w:eastAsia="Arial" w:hAnsi="Arial"/>
                <w:sz w:val="16"/>
                <w:szCs w:val="16"/>
                <w:color w:val="auto"/>
              </w:rPr>
              <w:t>268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164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center"/>
              <w:ind w:left="779"/>
              <w:spacing w:after="0"/>
              <w:rPr>
                <w:sz w:val="20"/>
                <w:szCs w:val="20"/>
                <w:color w:val="auto"/>
              </w:rPr>
            </w:pPr>
            <w:r>
              <w:rPr>
                <w:rFonts w:ascii="Arial" w:cs="Arial" w:eastAsia="Arial" w:hAnsi="Arial"/>
                <w:sz w:val="16"/>
                <w:szCs w:val="16"/>
                <w:color w:val="auto"/>
                <w:w w:val="97"/>
              </w:rPr>
              <w:t>584</w:t>
            </w:r>
          </w:p>
        </w:tc>
      </w:tr>
      <w:tr>
        <w:trPr>
          <w:trHeight w:val="252"/>
        </w:trPr>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Capital expenditures</w:t>
            </w: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(46)</w:t>
            </w: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(46)</w:t>
            </w: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(134)</w:t>
            </w: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left="779"/>
              <w:spacing w:after="0"/>
              <w:rPr>
                <w:sz w:val="20"/>
                <w:szCs w:val="20"/>
                <w:color w:val="auto"/>
              </w:rPr>
            </w:pPr>
            <w:r>
              <w:rPr>
                <w:rFonts w:ascii="Arial" w:cs="Arial" w:eastAsia="Arial" w:hAnsi="Arial"/>
                <w:sz w:val="16"/>
                <w:szCs w:val="16"/>
                <w:color w:val="auto"/>
              </w:rPr>
              <w:t>(151)</w:t>
            </w:r>
          </w:p>
        </w:tc>
      </w:tr>
      <w:tr>
        <w:trPr>
          <w:trHeight w:val="250"/>
        </w:trPr>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Free cash flow (Non GAAP)</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right w:val="single" w:sz="8" w:color="auto"/>
            </w:tcBorders>
          </w:tcPr>
          <w:p>
            <w:pPr>
              <w:jc w:val="right"/>
              <w:ind w:right="119"/>
              <w:spacing w:after="0"/>
              <w:rPr>
                <w:sz w:val="20"/>
                <w:szCs w:val="20"/>
                <w:color w:val="auto"/>
              </w:rPr>
            </w:pPr>
            <w:r>
              <w:rPr>
                <w:rFonts w:ascii="Arial" w:cs="Arial" w:eastAsia="Arial" w:hAnsi="Arial"/>
                <w:sz w:val="16"/>
                <w:szCs w:val="16"/>
                <w:color w:val="auto"/>
              </w:rPr>
              <w:t>222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w:t>
            </w: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right w:val="single" w:sz="8" w:color="auto"/>
            </w:tcBorders>
          </w:tcPr>
          <w:p>
            <w:pPr>
              <w:jc w:val="right"/>
              <w:ind w:right="99"/>
              <w:spacing w:after="0"/>
              <w:rPr>
                <w:sz w:val="20"/>
                <w:szCs w:val="20"/>
                <w:color w:val="auto"/>
              </w:rPr>
            </w:pPr>
            <w:r>
              <w:rPr>
                <w:rFonts w:ascii="Arial" w:cs="Arial" w:eastAsia="Arial" w:hAnsi="Arial"/>
                <w:sz w:val="16"/>
                <w:szCs w:val="16"/>
                <w:color w:val="auto"/>
              </w:rPr>
              <w:t>222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center"/>
              <w:ind w:left="779"/>
              <w:spacing w:after="0"/>
              <w:rPr>
                <w:sz w:val="20"/>
                <w:szCs w:val="20"/>
                <w:color w:val="auto"/>
              </w:rPr>
            </w:pPr>
            <w:r>
              <w:rPr>
                <w:rFonts w:ascii="Arial" w:cs="Arial" w:eastAsia="Arial" w:hAnsi="Arial"/>
                <w:sz w:val="16"/>
                <w:szCs w:val="16"/>
                <w:color w:val="auto"/>
                <w:w w:val="97"/>
              </w:rPr>
              <w:t>433</w:t>
            </w:r>
          </w:p>
        </w:tc>
      </w:tr>
    </w:tbl>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sectPr>
      <w:pgSz w:w="11900" w:h="16838" w:orient="portrait"/>
      <w:cols w:equalWidth="0" w:num="1">
        <w:col w:w="11240"/>
      </w:cols>
      <w:pgMar w:left="320" w:top="120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2"/>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3"/>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jpe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2025-11-10T15:20:59Z</dcterms:created>
  <dcterms:modified xsi:type="dcterms:W3CDTF">2025-11-10T15:20:59Z</dcterms:modified>
</cp:coreProperties>
</file>