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Cinelli Dennis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Skydance Corp</w:t>
              </w:r>
            </w:hyperlink>
            <w:r>
              <w:rPr/>
              <w:t xml:space="preserve"> [ </w:t>
            </w:r>
            <w:r>
              <w:rPr>
                <w:rFonts w:ascii="Times;serif" w:hAnsi="Times;serif"/>
                <w:color w:val="0000FF"/>
                <w:sz w:val="24"/>
                <w:shd w:fill="FFFFFF" w:val="clear"/>
              </w:rPr>
              <w:t>SKYD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2"/>
        <w:gridCol w:w="771"/>
        <w:gridCol w:w="599"/>
        <w:gridCol w:w="347"/>
        <w:gridCol w:w="1055"/>
        <w:gridCol w:w="452"/>
        <w:gridCol w:w="667"/>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187,500</w:t>
            </w:r>
            <w:r>
              <w:rPr>
                <w:rFonts w:ascii="Times;serif" w:hAnsi="Times;serif"/>
                <w:color w:val="008000"/>
                <w:position w:val="7"/>
                <w:sz w:val="16"/>
                <w:sz w:val="20"/>
                <w:shd w:fill="FFFFFF" w:val="clear"/>
              </w:rPr>
              <w:t>(1)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385,758</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95,401</w:t>
            </w:r>
            <w:r>
              <w:rPr>
                <w:rFonts w:ascii="Times;serif" w:hAnsi="Times;serif"/>
                <w:color w:val="008000"/>
                <w:position w:val="7"/>
                <w:sz w:val="16"/>
                <w:sz w:val="20"/>
                <w:shd w:fill="FFFFFF" w:val="clear"/>
              </w:rPr>
              <w:t>(3)</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7.26</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290,357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28,112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bl>
    <w:tbl>
      <w:tblPr>
        <w:tblW w:w="124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46"/>
        <w:gridCol w:w="921"/>
        <w:gridCol w:w="801"/>
        <w:gridCol w:w="96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October 15, 2026, upon vesting of an installment of Restricted Stock Units ("RSUs") identified in Table II, which were initially granted on January 15, 2026 and generally vest in equal quarterly installments over a five-year period. On October 15, 2026, the closing price of the Class B common stock on the New York Stock Exchange was $7.26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periodically pursuant to a dividend reinvestment program meeting the requirements of Rule 16a-11.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by the Issuer to satisfy tax liability incident to the vesting of, and delivery of shares underlying, the RSUs, and were not actually sold or otherwise disposed of in an open-market transaction.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868"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3879</Characters>
  <CharactersWithSpaces>4508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