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10616d13_8k.htm"/>
      <w:bookmarkStart w:id="1" w:name="kstm2610616d13_8k"/>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928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September 28,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2_edei--EntityRegistrantName_c2026"/>
      <w:bookmarkEnd w:id="4"/>
      <w:r>
        <w:rPr>
          <w:rFonts w:ascii="Times New Roman;Times;Serif" w:hAnsi="Times New Roman;Times;Serif"/>
          <w:b/>
          <w:i w:val="false"/>
          <w:caps w:val="false"/>
          <w:smallCaps w:val="false"/>
          <w:sz w:val="48"/>
        </w:rPr>
        <w:t>Paramount Skydance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tbl>
      <w:tblPr>
        <w:tblW w:w="8370" w:type="dxa"/>
        <w:jc w:val="left"/>
        <w:tblInd w:w="0" w:type="dxa"/>
        <w:tblLayout w:type="fixed"/>
        <w:tblCellMar>
          <w:top w:w="0" w:type="dxa"/>
          <w:left w:w="0" w:type="dxa"/>
          <w:bottom w:w="0" w:type="dxa"/>
          <w:right w:w="0" w:type="dxa"/>
        </w:tblCellMar>
      </w:tblPr>
      <w:tblGrid>
        <w:gridCol w:w="2795"/>
        <w:gridCol w:w="60"/>
        <w:gridCol w:w="2615"/>
        <w:gridCol w:w="60"/>
        <w:gridCol w:w="2840"/>
      </w:tblGrid>
      <w:tr>
        <w:trPr/>
        <w:tc>
          <w:tcPr>
            <w:tcW w:w="2795" w:type="dxa"/>
            <w:tcBorders/>
            <w:vAlign w:val="center"/>
          </w:tcPr>
          <w:p>
            <w:pPr>
              <w:pStyle w:val="TableContents"/>
              <w:bidi w:val="0"/>
              <w:spacing w:before="0" w:after="283"/>
              <w:jc w:val="center"/>
              <w:rPr>
                <w:rFonts w:ascii="Times New Roman;Times;Serif" w:hAnsi="Times New Roman;Times;Serif"/>
                <w:b/>
                <w:sz w:val="20"/>
              </w:rPr>
            </w:pPr>
            <w:bookmarkStart w:id="5" w:name="xdx_90C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rFonts w:ascii="Times New Roman;Times;Serif" w:hAnsi="Times New Roman;Times;Serif"/>
                <w:b/>
                <w:sz w:val="20"/>
              </w:rPr>
            </w:pPr>
            <w:bookmarkStart w:id="6" w:name="xdx_900_edei--EntityFileNumber_c20260928"/>
            <w:bookmarkEnd w:id="6"/>
            <w:r>
              <w:rPr>
                <w:rFonts w:ascii="Times New Roman;Times;Serif" w:hAnsi="Times New Roman;Times;Serif"/>
                <w:b/>
                <w:sz w:val="20"/>
              </w:rPr>
              <w:t>001-42791</w:t>
            </w:r>
          </w:p>
        </w:tc>
        <w:tc>
          <w:tcPr>
            <w:tcW w:w="60" w:type="dxa"/>
            <w:tcBorders/>
            <w:vAlign w:val="center"/>
          </w:tcPr>
          <w:p>
            <w:pPr>
              <w:pStyle w:val="TableContents"/>
              <w:bidi w:val="0"/>
              <w:spacing w:before="0" w:after="283"/>
              <w:jc w:val="center"/>
              <w:rPr/>
            </w:pPr>
            <w:r>
              <w:rPr/>
              <w:t> </w:t>
            </w:r>
          </w:p>
        </w:tc>
        <w:tc>
          <w:tcPr>
            <w:tcW w:w="2840" w:type="dxa"/>
            <w:tcBorders/>
            <w:vAlign w:val="center"/>
          </w:tcPr>
          <w:p>
            <w:pPr>
              <w:pStyle w:val="TableContents"/>
              <w:bidi w:val="0"/>
              <w:spacing w:before="0" w:after="283"/>
              <w:jc w:val="center"/>
              <w:rPr>
                <w:rFonts w:ascii="Times New Roman;Times;Serif" w:hAnsi="Times New Roman;Times;Serif"/>
                <w:b/>
                <w:sz w:val="20"/>
              </w:rPr>
            </w:pPr>
            <w:bookmarkStart w:id="7" w:name="xdx_90A_edei--EntityTaxIdentificationNum"/>
            <w:bookmarkEnd w:id="7"/>
            <w:r>
              <w:rPr>
                <w:rFonts w:ascii="Times New Roman;Times;Serif" w:hAnsi="Times New Roman;Times;Serif"/>
                <w:b/>
                <w:sz w:val="20"/>
              </w:rPr>
              <w:t>99-3917985</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center"/>
              <w:rPr/>
            </w:pPr>
            <w:r>
              <w:rPr/>
              <w:t> </w:t>
            </w:r>
          </w:p>
        </w:tc>
        <w:tc>
          <w:tcPr>
            <w:tcW w:w="2840" w:type="dxa"/>
            <w:tcBorders/>
            <w:vAlign w:val="center"/>
          </w:tcPr>
          <w:p>
            <w:pPr>
              <w:pStyle w:val="TableContents"/>
              <w:bidi w:val="0"/>
              <w:spacing w:before="0" w:after="283"/>
              <w:jc w:val="center"/>
              <w:rPr/>
            </w:pPr>
            <w:r>
              <w:rPr/>
              <w:t xml:space="preserve">(IRS Employer Identification </w:t>
              <w:br/>
              <w:t>Number)</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2615"/>
        <w:gridCol w:w="60"/>
        <w:gridCol w:w="920"/>
      </w:tblGrid>
      <w:tr>
        <w:trPr/>
        <w:tc>
          <w:tcPr>
            <w:tcW w:w="2615" w:type="dxa"/>
            <w:tcBorders/>
            <w:vAlign w:val="center"/>
          </w:tcPr>
          <w:p>
            <w:pPr>
              <w:pStyle w:val="TableContents"/>
              <w:bidi w:val="0"/>
              <w:spacing w:before="0" w:after="283"/>
              <w:jc w:val="center"/>
              <w:rPr/>
            </w:pPr>
            <w:bookmarkStart w:id="8" w:name="xdx_902_edei--EntityAddressAddressLine1_"/>
            <w:bookmarkEnd w:id="8"/>
            <w:r>
              <w:rPr>
                <w:b/>
              </w:rPr>
              <w:t>1515 Broadway</w:t>
              <w:br/>
            </w:r>
            <w:bookmarkStart w:id="9" w:name="xdx_901_edei--EntityAddressCityOrTown_c2"/>
            <w:bookmarkEnd w:id="9"/>
            <w:r>
              <w:rPr>
                <w:b/>
              </w:rPr>
              <w:t xml:space="preserve">New York, </w:t>
            </w:r>
            <w:bookmarkStart w:id="10" w:name="xdx_902_edei--EntityAddressStateOrProvin"/>
            <w:bookmarkEnd w:id="10"/>
            <w:r>
              <w:rPr>
                <w:b/>
              </w:rPr>
              <w:t>New York</w:t>
            </w:r>
            <w:r>
              <w:rPr/>
              <w:t xml:space="preserve"> </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1" w:name="xdx_909_edei--EntityAddressPostalZipCode"/>
            <w:bookmarkEnd w:id="11"/>
            <w:r>
              <w:rPr>
                <w:rFonts w:ascii="Times New Roman;Times;Serif" w:hAnsi="Times New Roman;Times;Serif"/>
                <w:b/>
                <w:sz w:val="20"/>
              </w:rPr>
              <w:t>10036</w:t>
            </w:r>
          </w:p>
        </w:tc>
      </w:tr>
      <w:tr>
        <w:trPr/>
        <w:tc>
          <w:tcPr>
            <w:tcW w:w="26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(Address of principal executive </w:t>
              <w:br/>
              <w:t>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4_edei--CityAreaCode_c20260928__20"/>
      <w:bookmarkEnd w:id="12"/>
      <w:r>
        <w:rPr>
          <w:rFonts w:ascii="Times New Roman;Times;Serif" w:hAnsi="Times New Roman;Times;Serif"/>
          <w:b/>
          <w:i w:val="false"/>
          <w:caps w:val="false"/>
          <w:smallCaps w:val="false"/>
          <w:sz w:val="20"/>
        </w:rPr>
        <w:t xml:space="preserve">212) </w:t>
      </w:r>
      <w:bookmarkStart w:id="13" w:name="xdx_90D_edei--LocalPhoneNumber_c20260928"/>
      <w:bookmarkEnd w:id="13"/>
      <w:r>
        <w:rPr>
          <w:rFonts w:ascii="Times New Roman;Times;Serif" w:hAnsi="Times New Roman;Times;Serif"/>
          <w:b/>
          <w:i w:val="false"/>
          <w:caps w:val="false"/>
          <w:smallCaps w:val="false"/>
          <w:sz w:val="20"/>
        </w:rPr>
        <w:t>258-6000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1_edei--WrittenCommunications_c202"/>
            <w:bookmarkEnd w:id="14"/>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B_edei--SolicitingMaterial_c202609"/>
            <w:bookmarkEnd w:id="15"/>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2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9_edei--PreCommencementIssuerTende"/>
            <w:bookmarkEnd w:id="17"/>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930" w:type="dxa"/>
        <w:jc w:val="left"/>
        <w:tblInd w:w="0" w:type="dxa"/>
        <w:tblLayout w:type="fixed"/>
        <w:tblCellMar>
          <w:top w:w="0" w:type="dxa"/>
          <w:left w:w="0" w:type="dxa"/>
          <w:bottom w:w="28" w:type="dxa"/>
          <w:right w:w="0" w:type="dxa"/>
        </w:tblCellMar>
      </w:tblPr>
      <w:tblGrid>
        <w:gridCol w:w="3410"/>
        <w:gridCol w:w="60"/>
        <w:gridCol w:w="1925"/>
        <w:gridCol w:w="60"/>
        <w:gridCol w:w="4475"/>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925"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475"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1_edei--Security12bTitle_c20260928"/>
            <w:bookmarkEnd w:id="18"/>
            <w:r>
              <w:rPr>
                <w:rFonts w:ascii="Times New Roman;Times;Serif" w:hAnsi="Times New Roman;Times;Serif"/>
                <w:sz w:val="20"/>
              </w:rPr>
              <w:t>Class B Common Stock, $0.001 par value</w:t>
            </w:r>
          </w:p>
        </w:tc>
        <w:tc>
          <w:tcPr>
            <w:tcW w:w="60" w:type="dxa"/>
            <w:tcBorders/>
            <w:tcMar>
              <w:bottom w:w="0" w:type="dxa"/>
            </w:tcMar>
            <w:vAlign w:val="center"/>
          </w:tcPr>
          <w:p>
            <w:pPr>
              <w:pStyle w:val="TableContents"/>
              <w:bidi w:val="0"/>
              <w:spacing w:before="0" w:after="283"/>
              <w:jc w:val="center"/>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6_edei--TradingSymbol_c20260928__2"/>
            <w:bookmarkEnd w:id="19"/>
            <w:r>
              <w:rPr>
                <w:rFonts w:ascii="Times New Roman;Times;Serif" w:hAnsi="Times New Roman;Times;Serif"/>
                <w:sz w:val="20"/>
              </w:rPr>
              <w:t>PSKY</w:t>
            </w:r>
          </w:p>
        </w:tc>
        <w:tc>
          <w:tcPr>
            <w:tcW w:w="60" w:type="dxa"/>
            <w:tcBorders/>
            <w:tcMar>
              <w:bottom w:w="0" w:type="dxa"/>
            </w:tcMar>
            <w:vAlign w:val="center"/>
          </w:tcPr>
          <w:p>
            <w:pPr>
              <w:pStyle w:val="TableContents"/>
              <w:bidi w:val="0"/>
              <w:spacing w:before="0" w:after="283"/>
              <w:jc w:val="center"/>
              <w:rPr/>
            </w:pPr>
            <w:r>
              <w:rPr/>
              <w:t> </w:t>
            </w:r>
          </w:p>
        </w:tc>
        <w:tc>
          <w:tcPr>
            <w:tcW w:w="447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5_edei--SecurityExchangeName_c2026"/>
            <w:bookmarkEnd w:id="20"/>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Warner Bros. Discovery, Inc., a Delaware corporation (“WBD”), Paramount Skydance Corporation, a Delaware corporation (the “Company”), and Prince Sub Inc., a Delaware corporation and wholly owned subsidiary of the Company, entered into an Agreement and Plan of Merger on February 27, 2026, pursuant to which, and subject to the terms and conditions therein, at the effective time of the merger to be entered into pursuant to such agreement, Prince Sub Inc. will merge with and into WBD, with WBD surviving as a wholly owned subsidiary of the Company (the “Acquisition”).</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2026, the Company announced that, in connection with the permanent financing of the Acquisition, it intends to offer, subject to market and other conditions, approximately $44.4 billion in aggregate principal amount of U.S. dollar-denominated senior secured first lien notes (the “First Lien Senior Secured Notes”) and U.S. dollar- and euro-denominated senior secured second lien notes (together with the First Lien Senior Secured Notes, the “Notes”), in each case, to qualified institutional buyers pursuant to Rule 144A under the Securities Act of 1933, as amended (the “Securities Act”), and outside the United States in compliance with Regulation S under the Securities Act. A copy of the press release announcing the offerings of the Notes is furnished herewith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have not been and will not be registered under the Securities Act or any state securities laws and may not be offered or sold in the United States absent registration or an applicable exemption from the registration requirements of the Securities Act and applicable state laws. Nothing in this Current Report on Form 8-K should be construed to constitute an offer to sell, or a solicitation of an offer to buy, any Notes, and does not constitute an offer, solicitation, or sale of any Notes in any jurisdiction in which such offer, solicitation, or sale would be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 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Notes offerings, the Company is providing certain unaudited pro forma condensed combined financial information to prospective investors. The Company is furnishing such information as Exhibit 99.2 to this Current Report on Form 8-K to satisfy the requirements of Regulation FD (“Regulation FD”) under the Securities Exchange Act of 1934, as amended (the “Exchange Act”). Such pro forma condensed combined financial statements and other information of the Company give effect to the Acquisition and the other transactions in connection therewith, as well as the Skydance Transactions and the NAI Transaction (each as defined in such pro forma condensed combined financial statements). The information contained in such unaudited pro forma condensed combined financial statements is derived from the historical financial statements of the Company, WBD and Skydance Media, LLC (“Skydance”) and has been adjusted to give effect to the Acquisition and the other transactions in connection therewith, as well as the Skydance Transactions and the NAI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referenced above are provided solely to satisfy Regulation FD requirements and are not intended to comply with Item 9.01 of Form 8-K. The financial statements and pro forma financial information required by Item 9.01 of Form 8-K covering the quarterly period ended June 30, 2026, and any required reporting period subsequent thereto, will, if required, be filed by the Company on Form 8-K in compliance with the requirements of the Securities and Exchange Commission (the “SEC”) no later than 71 calendar days after the date that the initial report on Form 8-K reporting the Acquisition must be filed in connection with the closing of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the Company, WBD and Skydance from which such unaudited pro forma condensed combined financial statements have been derived are included in the Company’s Annual Report on Form 10-K for the fiscal year ended December 31, 2025, filed with the SEC on February 25, 2026, as amended by the Company’s Annual Report on Form 10-K/A, filed with the SEC on April 24, 2026, as superseded by, and solely to the extent set forth in, the Company’s Current Report on Form 8-K, filed with the SEC on May 13, 2026; the Company’s Quarterly Report on Form 10-Q for the quarterly period ended June 30, 2026, filed with the SEC on August 4, 2026; WBD’s Annual Report on Form 10-K for the fiscal year ended December 31, 2025, filed with the SEC on February 27, 2026; WBD’s Quarterly Report on Form 10-Q for the quarterly period ended June 30, 2026, filed with the SEC on August 6, 2026; and the Company’s Amendment No. 1 to its Current Report on Form 8-K12B, filed with the SEC on October 23, 2025, for the unaudited condensed consolidated financial statements of Skydance as of June 30, 2025 and for the six months ended June 30, 2025 and 2024 attached as an exhibit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7.01, including Exhibits 99.1 and 99.2, shall not be deemed “filed” for purposes of Section 18 of the Exchange Act, or otherwise subject to the liabilities under that section and shall not be deemed to be incorporated by reference into any filing under the Securities Act or the Exchange Act, except as expressly set forth by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Note Concerning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and the exhibits hereto contain “forward-looking statements” regarding, among other things, the potential Acquisition of WBD, including the terms and timing thereof, and the proposed financing in connection with the Acquisition, including the consummation and proposed terms of the Notes offerings. The reader is cautioned not to rely on these forward-looking statements. These statements are based on current expectations of future events. If underlying assumptions prove inaccurate or known or unknown risks or uncertainties materialize, actual results could vary materially from the expectations and projections of the Company or WBD. Risks and uncertainties include, but are not limited to: the risk that the closing conditions for the Acquisition or the Notes offerings will not be satisfied; the possibility that the transaction will not be completed in the expected timeframe or at all; potential adverse effects to the businesses of the Company or WBD during the pendency of the transaction, such as employee departures or distraction of management from business operations; the risk of stockholder litigation relating to the Acquisition, including resulting expense or delay; the potential that the expected benefits and opportunities of the Acquisition, if completed, may not be realized or may take longer to realize than expected; risks related to the Company’s streaming business; the adverse impact on the Company’s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the Company’s decisions to invest in new businesses, products, services and technologies, and the evolution of the Company’s business strategy; the potential for loss of carriage or other reduction in, or the impact of negotiations for, the distribution of the Company’s content; damage to the Company’s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the Company’s intellectual property rights; domestic and global political, economic and regulatory factors affecting the Company’s business generally or the Acquisition; the inability to hire or retain key employees or secure creative talent; disruptions to the Company’s operations as a result of labor disputes; risks and costs associated with the integration of, and the Company’s ability to integrate, the businesses of Paramount Global, Skydance and WBD successfully and to achieve anticipated synergies, including in the amounts or on the timelines anticipated to realize such synergies; litigation relating to the transactions contemplated by the transaction agreement entered into on July 7, 2024, between Paramount Global and Skydance, potentially resulting in substantial costs; volatility in the price of the Company’s Class B common stock; the effect the Company’s dual-class capital structure and the concentrated ownership may have on the price of its Class B common stock or business; risks related to a private sale of a controlling interest in the Company, including that the Company’s stockholders may not realize any change of control premium on shares of the Company’s Class B common stock and that the Company may become subject to the control of a presently unknown third party; risks associated with the Company’s status as a “controlled company” under Nasdaq rules, including its exemption from certain corporate governance requirements; risks associated with the lack of voting rights of the Company’s Class B common stock; risks that anti-takeover provisions in the Company’s amended and restated certificate of incorporation (“Charter”) and amended and restated bylaws, and under Delaware law, could deter, delay, or prevent a change of control; risks that exclusive forum provisions in the Company’s Charter could limit a stockholder’s choice of forum for certain claims and discourage lawsuits against the Company’s directors and officers; risks that corporate opportunity provisions in the Company’s Charter could permit certain persons to pursue competitive opportunities that might otherwise be available to the Company; risks associated with the Company’s holding company structure, including its dependence on distributions from its subsidiaries to meet tax obligations and other cash requirements; risks related to our indebtedness, including our substantial outstanding debt obligations; risks related to our ability to incur substantially more debt and our ability to meet the financial and other covenants contained in the agreements governing our indebtedness; and risks relating to our ability to deleverage the business in accordance with management’s targets, including risks arising from assumptions, uncertainties and contingencies that may affect our ability to reduce indebtedness; risks relating to management’s ability to execute on its strategic plan and improve its financial profile and cash flows from operations; and risks relating to any capital or other financing the Company may have to raise in order to reduce its indebtedness following the Acquisition. A further list and description of these risks, uncertainties and other factors and the general risks associated with the respective businesses of the Company and WBD can be found in the Company’s Annual Report on Form 10-K for the fiscal year ended December 31, 2025, filed with the SEC on February 25, 2026, and the Company’s Quarterly Report on Form 10-Q for the quarterly period ended June 30, 2026, filed with the SEC on August 4, 2026, including, in each case, in the sections captioned “Cautionary Note Concerning Forward-Looking Statements” and “Item 1A. Risk Factors,” and the Company’s subsequent filings with the SEC, and in WBD’s Annual Report on Form 10-K for the fiscal year ended December 31, 2025, filed with the SEC on February 27, 2026, and in WBD’s Quarterly Report on Form 10-Q for the quarterly period ended June 30, 2026, filed with the SEC on August 6, 2026, including, in each case, in the sections captioned “Cautionary Note Concerning Forward-Looking Statements” and “Item 1A. Risk Factors,” and WBD’s subsequent filings with the SEC. Copies of these filings, as well as subsequent filings, are available online at www.sec.gov, ir.paramount.com, ir.wbd.com or on request from the Company or WBD. The Company undertakes no obligation to update any forward-looking statement as a result of new information or future events or developments, except as required by law.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3790" w:type="dxa"/>
        <w:jc w:val="left"/>
        <w:tblInd w:w="0" w:type="dxa"/>
        <w:shd w:fill="FFFFFF" w:val="clear"/>
        <w:tblLayout w:type="fixed"/>
        <w:tblCellMar>
          <w:top w:w="0" w:type="dxa"/>
          <w:left w:w="0" w:type="dxa"/>
          <w:bottom w:w="0" w:type="dxa"/>
          <w:right w:w="0" w:type="dxa"/>
        </w:tblCellMar>
      </w:tblPr>
      <w:tblGrid>
        <w:gridCol w:w="830"/>
        <w:gridCol w:w="2960"/>
      </w:tblGrid>
      <w:tr>
        <w:trPr/>
        <w:tc>
          <w:tcPr>
            <w:tcW w:w="83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4"/>
        <w:gridCol w:w="60"/>
        <w:gridCol w:w="8841"/>
      </w:tblGrid>
      <w:tr>
        <w:trPr/>
        <w:tc>
          <w:tcPr>
            <w:tcW w:w="130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 </w:t>
            </w:r>
            <w:r>
              <w:rPr>
                <w:rFonts w:ascii="Times New Roman;Times;Serif" w:hAnsi="Times New Roman;Times;Serif"/>
                <w:b/>
                <w:sz w:val="20"/>
                <w:u w:val="single"/>
              </w:rPr>
              <w:t>Number</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Description of Exhibit</w:t>
            </w:r>
          </w:p>
        </w:tc>
      </w:tr>
      <w:tr>
        <w:trPr/>
        <w:tc>
          <w:tcPr>
            <w:tcW w:w="1304" w:type="dxa"/>
            <w:tcBorders/>
            <w:vAlign w:val="center"/>
          </w:tcPr>
          <w:p>
            <w:pPr>
              <w:pStyle w:val="TableContents"/>
              <w:bidi w:val="0"/>
              <w:spacing w:before="0" w:after="283"/>
              <w:jc w:val="left"/>
              <w:rPr/>
            </w:pPr>
            <w:hyperlink w:anchor="tm2610616d13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283"/>
              <w:jc w:val="left"/>
              <w:rPr/>
            </w:pPr>
            <w:hyperlink w:anchor="tm2610616d13_ex99-1.htm">
              <w:r>
                <w:rPr>
                  <w:rStyle w:val="InternetLink"/>
                  <w:rFonts w:ascii="Times New Roman;Times;Serif" w:hAnsi="Times New Roman;Times;Serif"/>
                  <w:sz w:val="20"/>
                </w:rPr>
                <w:t>Press Release of Paramount Skydance Corporation, dated September 28, 2026, announcing the launch of the Notes offerings.</w:t>
              </w:r>
            </w:hyperlink>
          </w:p>
        </w:tc>
      </w:tr>
      <w:tr>
        <w:trPr/>
        <w:tc>
          <w:tcPr>
            <w:tcW w:w="1304" w:type="dxa"/>
            <w:tcBorders/>
            <w:vAlign w:val="center"/>
          </w:tcPr>
          <w:p>
            <w:pPr>
              <w:pStyle w:val="TableContents"/>
              <w:bidi w:val="0"/>
              <w:spacing w:before="0" w:after="283"/>
              <w:jc w:val="left"/>
              <w:rPr/>
            </w:pPr>
            <w:hyperlink w:anchor="tm2610616d13_ex99-2.htm">
              <w:r>
                <w:rPr>
                  <w:rStyle w:val="InternetLink"/>
                  <w:rFonts w:ascii="Times New Roman;Times;Serif" w:hAnsi="Times New Roman;Times;Serif"/>
                  <w:sz w:val="20"/>
                </w:rPr>
                <w:t>99.2</w:t>
              </w:r>
            </w:hyperlink>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283"/>
              <w:jc w:val="left"/>
              <w:rPr/>
            </w:pPr>
            <w:hyperlink w:anchor="tm2610616d13_ex99-2.htm">
              <w:r>
                <w:rPr>
                  <w:rStyle w:val="InternetLink"/>
                  <w:rFonts w:ascii="Times New Roman;Times;Serif" w:hAnsi="Times New Roman;Times;Serif"/>
                  <w:sz w:val="20"/>
                </w:rPr>
                <w:t>Unaudited Pro Forma Condensed Combined Financial Information of Paramount Skydance Corporation.</w:t>
              </w:r>
            </w:hyperlink>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5"/>
        <w:gridCol w:w="353"/>
        <w:gridCol w:w="601"/>
        <w:gridCol w:w="2785"/>
      </w:tblGrid>
      <w:tr>
        <w:trPr/>
        <w:tc>
          <w:tcPr>
            <w:tcW w:w="75" w:type="dxa"/>
            <w:tcBorders/>
            <w:vAlign w:val="center"/>
          </w:tcPr>
          <w:p>
            <w:pPr>
              <w:pStyle w:val="TableContents"/>
              <w:bidi w:val="0"/>
              <w:spacing w:before="0" w:after="283"/>
              <w:jc w:val="left"/>
              <w:rPr/>
            </w:pPr>
            <w:r>
              <w:rPr/>
              <w:t> </w:t>
            </w:r>
          </w:p>
        </w:tc>
        <w:tc>
          <w:tcPr>
            <w:tcW w:w="373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PARAMOUNT SKYDANCE CORPORATION</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338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86"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Stephanie Kyoko McKinnon  </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Stephanie Kyoko McKinnon</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10616d13_ex99-1.htm"/>
      <w:bookmarkStart w:id="23" w:name="kstm2610616d13_ex991"/>
      <w:bookmarkEnd w:id="22"/>
      <w:bookmarkEnd w:id="2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124585"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4585" cy="8001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Paramount Skydance Corporation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Announces: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Launch of Notes Offerings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and New York, September 28, 2026 – PARAMOUNT SKYDANCE CORPORATION (NASDAQ: PSKY) (the “Company”) today announced that it intends to offer approximately $44.4 billion in aggregate principal amount of U.S. dollar-denominated senior secured first lien notes (the “First Lien Senior Secured Notes”) and U.S. dollar- and euro-denominated senior secured second lien notes (together with the First Lien Senior Secured Notes, the “Notes”), in each case, to qualified institutional buyers pursuant to Rule 144A under the U.S. Securities Act of 1933, as amended (the “Securities Act”), and outside the United States to non “U.S. persons” in compliance with Regulation S under the Securities Act. The consummation of the Notes offerings is subject to market and other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utilize the net proceeds of the Notes offerings, together with cash on hand, borrowings under previously announced term loan financings and the net proceeds of the previously announced equity financing, to, among other things, finance the purchase price for its previously announced acquisition (the “Acquisition”) of Warner Bros. Discovery, Inc. (NASDAQ: WBD) (“WBD”) and the repayment of certain existing debt. The terms of the proposed Notes offerings, including but not limited to the principal amounts, interest rates, currency denominations and maturities of the various series of Notes, and the consummation of the Acquisition, are subject to a number of significant conditions, and there can be no assurance that the Company will consummate any of these transactions on the anticipated terms or timing, or at all. Consummation of the Notes offerings is not a condition to the consummation of the Acquisition.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related guarantees are being offered and issued pursuant to an exemption from the registration requirements of the Securities Act and the rules and regulations of the Securities and Exchange Commission (the “SEC”) promulgated thereunder, and are also not being registered under any state or foreign securities laws. The Notes are only being offered and issued to persons who are (a) reasonably believed to be “qualified institutional buyers” as defined in Rule 144A under the Securities Act, or (b) not “U.S. persons,” as defined in Rule 902 of Regulation S under the Securities Act. The Notes have not been and, except with respect to the First Lien Senior Secured Notes which will have registration rights, will not be registered under the Securities Act or any state securities laws and may not be offered or sold in the United States absent registration or an applicable exemption from the registration requirements of the Securities Act and applicable state laws. This press release is for informational purposes only and does not constitute an offer to sell, or a solicitation of an offer to buy, any security, and does not constitute an offer, solicitation, or sale of any security in any jurisdiction in which such offer, solicitation, or sale would be unlawful.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Paramount, a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a Skydance Corporation is a next-generation global media and entertainment company, comprised of three business segments: Studios, Direct-to-Consumer, and TV Media. PSKY’s portfolio unites legendary brands, including Paramount Pictures, Paramount Television, CBS, CBS News, CBS Sports, Nickelodeon, MTV, BET, Comedy Central, Showtime, Paramount+, Pluto TV, and Skydance Animation, Film, Television, Interactive/Games, and Paramount Sports Entertainment.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Concerning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regarding, among other things, the potential Acquisition of WBD, including the terms and timing thereof, and the proposed financing in connection with the Acquisition, including the consummation and proposed terms of the Notes offerings. The reader is cautioned not to rely on these forward-looking statements. These statements are based on current expectations of future events. If underlying assumptions prove inaccurate or known or unknown risks or uncertainties materialize, actual results could vary materially from the expectations and projections of the Company or WBD. Risks and uncertainties include, but are not limited to: the risk that the closing conditions for the Acquisition or the Notes offerings will not be satisfied; the possibility that the transaction will not be completed in the expected timeframe or at all; potential adverse effects to the businesses of the Company or WBD during the pendency of the transaction, such as employee departures or distraction of management from business operations; the risk of stockholder litigation relating to the Acquisition, including resulting expense or delay; the potential that the expected benefits and opportunities of the Acquisition, if completed, may not be realized or may take longer to realize than expected; risks related to the Company’s streaming business; the adverse impact on the Company’s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the Company’s decisions to invest in new businesses, products, services and technologies, and the evolution of the Company’s business strategy; the potential for loss of carriage or other reduction in, or the impact of negotiations for, the distribution of the Company’s content; damage to the Company’s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the Company’s intellectual property rights; domestic and global political, economic and regulatory factors affecting the Company’s business generally or the Acquisition; the inability to hire or retain key employees or secure creative talent; disruptions to the Company’s operations as a result of labor disputes; risks and costs associated with the integration of, and the Company’s ability to integrate, the businesses of Paramount Global, Skydance Media, LLC, and WBD successfully and to achieve anticipated synergies, including in the amounts or on the timelines anticipated to realize such synergies; litigation relating to the transactions contemplated by the transaction agreement entered into on July 7, 2024, between Paramount Global and Skydance Media, LLC, potentially resulting in substantial costs; volatility in the price of the Company’s Class B common stock; the effect the Company’s dual-class capital structure and the concentrated ownership may have on the price of its Class B common stock or business; risks related to a private sale of a controlling interest in the Company, including that the Company’s stockholders may not realize any change of control premium on shares of the Company’s Class B common stock and that the Company may become subject to the control of a presently unknown third party; risks associated with the Company’s status as a “controlled company” under Nasdaq rules, including its exemption from certain corporate governance requirements; risks associated with the lack of voting rights of the Company’s Class B common stock; risks that anti-takeover provisions in the Company’s amended and restated certificate of incorporation (“Charter”) and amended and restated bylaws, and under Delaware law, could deter, delay, or prevent a change of control; risks that exclusive forum provisions in the Company’s Charter could limit a stockholder’s choice of forum for certain claims and discourage lawsuits against the Company’s directors and officers; risks that corporate opportunity provisions in the Company’s Charter could permit certain persons to pursue competitive opportunities that might otherwise be available to the Company; risks associated with the Company’s holding company structure, including its dependence on distributions from its subsidiaries to meet tax obligations and other cash requirements; risks related to our indebtedness, including our substantial outstanding debt obligations; risks related to our ability to incur substantially more debt and our ability to meet the financial and other covenants contained in the agreements governing our indebtedness; and risks relating to our ability to deleverage the business in accordance with management’s targets, including risks arising from assumptions, uncertainties and contingencies that may affect our ability to reduce indebtedness; risks relating to management’s ability to execute on its strategic plan and improve its financial profile and cash flows from operations; and risks relating to any capital or other financing the Company may have to raise in order to reduce its indebtedness following the Acquisition. A further list and description of these risks, uncertainties and other factors and the general risks associated with the respective businesses of the Company and WBD can be found in the Company’s Annual Report on Form 10-K for the fiscal year ended December 31, 2025, filed with the SEC on February 25, 2026, and the Company’s Quarterly Report on Form 10-Q for the quarterly period ended June 30, 2026, filed with the SEC on August 4, 2026, including, in each case, in the sections captioned “Cautionary Note Concerning Forward-Looking Statements” and “Item 1A. Risk Factors,” and the Company’s subsequent filings with the SEC, and in WBD’s Annual Report on Form 10-K for the fiscal year ended December 31, 2025, filed with the SEC on February 27, 2026, and in WBD’s Quarterly Report on Form 10-Q for the quarterly period ended June 30, 2026, filed with the SEC on August 6, 2026, including, in each case, in the sections captioned “Cautionary Note Concerning Forward-Looking Statements” and “Item 1A. Risk Factors,” and WBD’s subsequent filings with the SEC. Copies of these filings, as well as subsequent filings, are available online at www.sec.gov, ir.paramount.com, ir.wbd.com or on request from the Company or WBD. The Company undertakes no obligation to update any forward-looking statement as a result of new information or future events or developments,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Media Contacts: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Melissa Zukerman / Laura Watson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msz@paramount.com / laura.watson@paramount.com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Brunswick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ParamountSkydance@brunswickgroup.com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Gagnier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Gagnier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dg@gagnierfc.com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Creighton / Logan Thomas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kevin.creighton@paramount.com / logan.thomas@paramount.com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10616d13_ex99-2.htm"/>
      <w:bookmarkStart w:id="25" w:name="kstm2610616d13_ex992"/>
      <w:bookmarkEnd w:id="24"/>
      <w:bookmarkEnd w:id="2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Summary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Warner Bros. Discovery, Inc.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2026, Paramount Skydance Corporation (“Paramount” or the “Company”) and Prince Sub Inc., a Delaware corporation and wholly owned subsidiary of Paramount (“Merger Sub”) entered into an Agreement and Plan of Merger (as it may be amended, supplemented or otherwise modified in accordance with the terms, the “WBD Merger Agreement”) with Warner Bros. Discovery, Inc. a Delaware corporation (“WBD”), pursuant to which and subject to the terms and conditions therein, Merger Sub will merge with and into WBD, with WBD surviving as a wholly owned subsidiary of Paramount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Acquisition is expected to be accounted for as a business combination under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with the Company identified as the accounting acquirer. In identifying the Company as the accounting acquirer, management considered the structure of the Acquisition and other actions contemplated by the WBD Merger Agreement, relative outstanding voting and equity interests, and the composition of the post-Acquisition board of directors. No single factor was the sole determinant in the overall conclusion that Paramount is the accounting acquirer; rather all factors were considered in arriving at such conclusion.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Acquisition (the “Effective Time”), each share of WBD Common Stock issued and outstanding immediately prior to the Effective Time (other than shares of WBD Common Stock to be cancelled for no consideration in accordance with the WBD Merger Agreement or as to which appraisal rights have been properly exercised) will be converted into the right to receive an amount in cash equal to $31.00, without interest, plus the Ticking Consideration (collectively, the “Merger Consideration”). The “Ticking Consideration” will be an amount in cash equal to $0.00277778 multiplied by the number of calendar days elapsed after September 30, 2026 to and including the closing date of the Acquisition (which for the avoidance of doubt, will not exceed $0.25 per 90 calendar day period). For purposes of these pro forma financial statements, total cash consideration payable to WBD common stockholders is estimated at $78.0 billion, calculated based on WBD Common Stock outstanding as of July 23, 2026, including the applicable Ticking Consideration as the Company assumes for the purposes of preparing these pro forma financial statements that the transaction will close on October 6, 2026. In addition, cash payments at closing of approximately $1.1 billion are estimated with respect to vested WBD equity awards as described under “Treatment of Equity Awards” below. See Note 3 for additional details regarding the purchase consideration. The actual closing date of the Acquisition is uncertain. The Acquisition will only be consummated following the satisfaction or waiver of the closing conditions in the WBD Merger Agreement. If the Acquisition closes, additional Ticking Consideration (as described above) will be payable for each day after September 30, 2026, including the closing date, that elapses until the eventual closing of the Acquisition. Certain Equity Investors (as defined herein) have also agreed to subscribe for additional shares of Paramount Class B Common Stock in the PIPE transactions (each as defined herein) in the amount required to cover such Ticking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Each stock option outstanding to purchase shares of WBD Common Stock granted under any WBD stock plan that is (x) vested as of the Effective Time or (y) held by a former employee or service provider of WBD, will be cancelled and converted into the right to receive an amount in cash, without interest, equal to the product obtained by multiplying (i) the excess if any, of the Merger Consideration over the per share exercise price for such vested stock option by (ii) the total number of shares of WBD Common Stock subject to such vested stock option.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Each stock option (whether vested or unvested) with an exercise price equal to or in excess of the Merger Consideration will be cancelled without consideration.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Each unvested stock option with an exercise price below the Merger Consideration will be assumed by Paramount and automatically converted into the contingent right to receive an amount in cash, without interest, equal to the product obtained by multiplying (i) the excess of the Merger Consideration over the per share exercise price for such unvested stock option by (ii) the total number of shares of WBD Common Stock subject to such unvested stock option immediately prior to the Effective Time, and will remain subject to generally the same terms and conditions (including any applicable terms relating to accelerated vesting upon qualifying terminations of employment and timing and form of payment) that applied to the corresponding unvested stock option immediately prior to the Effective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1</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 (“RSUs”), including Performance-Based RSUs (“PRSUs”)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Each WBD RSU that is vested in accordance with its terms or that is held by a non-employee member of the board of directors of WBD as of the Effective Time will be cancelled and converted into the right to receive the Merger Consideration with respect to each share of WBD Common Stock underlying such vested WBD RSU, with the number of shares of WBD Common Stock subject to such vested WBD RSU granted with performance-based vesting conditions determined as described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Each WBD RSU that is outstanding immediately prior to the Effective Time and that is not a vested WBD RSU, will be assumed by Paramount and automatically converted into the contingent right to receive an amount in cash, without interest, equal to the product of (i) the Merger Consideration, multiplied by (ii) the total number of shares of WBD Common Stock subject to such unvested WBD RSU immediately prior to the Effective Time, and remaining subject to generally the same terms and conditions (including any applicable terms relating to accelerated vesting upon qualifying terminations of employment and timing and form of payment) that applied to the corresponding unvested WBD RSU immediately prior to the Effective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total number of unvested WBD RSUs with performance-based vesting conditions expected to vest will be determined by assuming (i) in respect of such unvested WBD RSUs for which the applicable performance period has been completed prior to the Effective Time, actual performance, and (ii) in respect of such unvested WBD RSUs for which the applicable performance period has not been completed prior to the Effective Time, achievement at the greater of (x) target performance and (y) actual performance extrapolated through the end of the applicable performance period based on actual performance through the Effective Time, determined by the board of directors of WBD or a committee thereof in good faith and consistent with past practice.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and Notional Equity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Each deferred stock unit (“DSU”) that is outstanding immediately prior to the Effective Time will be assumed by Paramount and automatically converted into a right to receive an amount in cash, without interest, equal to the product obtained by multiplying (A) the Merger Consideration by (B) the number of shares of WBD Common Stock subject to such DSU immediately prior to the Effective Time (the “WBD DSU Consideration”), with such WBD DSU Consideration remaining subject to the same terms and conditions that applied to the corresponding DSU immediately prior to the Effective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Each notional investment unit with respect to shares of WBD Common Stock (a “WBD Notional Unit”) subject to WBD’s Non-Employee Directors Deferral Plan and WBD’s Supplemental Retirement Plan (each, a “WBD DC Plan”) that is outstanding immediately prior to the Effective Time will be assumed by Paramount and automatically converted into a notional unit with respect to a number of shares of Class B common stock, par value $0.001 per share (“Paramount Class B Common Stock”), of Paramount (a “Paramount Notional Unit”) equal to the product obtained by multiplying (A) the Equity Award Exchange Ratio (as defined below) by (B) the number of shares of WBD Common Stock subject to such WBD Notional Unit immediately prior to the Effective Time, with each such Paramount Notional Unit remaining subject to the same terms and conditions that applied to the corresponding WBD Notional Unit immediately prior to the Effective Time (including with respect to timing and form of payment), as set forth in the applicable WBD DC Plan. The “Equity Award Exchange Ratio” is determined by dividing (i) the Merger Consideration by (ii) the per share volume-weighted average trading price of Paramount Class B Common Stock for the fifteen consecutive trading days ending on (and including) the trading day that is three trading days prior to the closing date of the Acquisition.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utilize a combination of equity financing and debt financing to fund the Acquisition. The Company has entered into equity subscription agreements (“Subscription Agreements”) providing for up to $46.7 billion plus Ticking Consideration (and certain other additional amounts as defined in the WBD Merger Agreement if required) of equity financing from affiliates of The Lawrence J. Ellison Revocable Trust and $250.0 million from RedBird Capital Partners Fund IV (Master), L.P. (collectively the “Equity Investors”), pursuant to a private placement of Paramount Class B Common Stock (such private placement format being referred to herein as a private investment in public equity, or “PIPE”,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2</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Investors have assigned their subscription rights under the Subscription Agreements (the “Equity Syndication”) to a group of institutional investors (each, an "Equity Syndication Party"), comprising affiliates of the Equity Investors, The Public Investment Fund, L'Imad 1st SPV 2 Exempt RSC LTD (an investment vehicle of L'Imad Holding, an Abu Dhabi sovereign wealth fund), QIA TMT Holding LLC (an investment vehicle of the Qatar Investment Authority), and LionTree Investment Fund, L.P. The aggregate allocations cover the full amount committed by the Equity Investors. At closing, the Company will issue to each Equity Syndication Party a number of newly issued nonvoting shares of Paramount Class B Common Stock equal to its allocated amount divided by the Syndication Purchase Price, defined as the average of the daily volume-weighted average prices (“VWAP”) of Paramount Class B Common Stock for the 20 trading days up to, and including, the third business day prior to the closing of the Acquisition, subject to a ceiling of $16.02 per share and a floor of $12.00 per share (the “Syndication Purchase Price”). The Equity Syndication does not relieve the Equity Investors of their contractual commitments made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Paramount Class B Common Stock (excluding shares held by any Equity Investor or affiliate thereof, certain Company subsidiaries and the Paramount Global 401(k) Plan and the Paramount Global Master Trust (collectively, the “Benefit Plans”)) as of an assumed record date of October 5, 2026 will receive, without payment of any consideration, one 10-year warrant (each, a “Warrant”) for each share held, exercisable at an initial exercise price per share equal to the Syndication Purchase Price and subject to customary anti-dilution and fundamental change make-whole adjustments. Beginning on the third anniversary of issuance, the Company may call the Warrants for early expiration if the closing price of Paramount Class B Common Stock equals or exceeds $30.00 for at least 20 trading days in any 30 consecutive trading day period and warrant holders will have until such early expiration date to exercise their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entered into committed debt financing arrangements, including the Pro Rata Credit Agreement, which provides for (i) $2.5 billion of three-year Term A-1 loans (“Term A-1 Loan Facility”), (ii) $2.5 billion of five-year Term A-2 loans (“Term A-2 Loan Facility”) and (iii) $5.0 billion of five-year revolving credit commitments, as well as a $49.0 billion 364-day senior secured bridge term loan facility (the “Bridge Commitments”). The bridge facility is intended as contingent financing and is not expected to be drawn, unless permanent financing, including in the form of the New Permanent Financing (as defined below), is not in place prior to the closing of the Acquisition. The Company intends to replace the Bridge Commitments with the New Permanent Financing in the form of additional secured credit facilities and secured capital markets indebtedness across the investment grade and non-investment grade markets as described below. Such financing, together with borrowings under the Pro Rata Credit Agreement, is expected to be included in the Company’s post-closing capital structure and be incurred in the form of first lien and second lien indebtedness, including term loan borrowings and secured notes (collectively, the “Acquisition Financing Transactions”). The unaudited pro forma condensed combined financial statements reflect the assumed issuance of the New Permanent Financing and do not assume any borrowings under the Bridge Commitments. The ultimate size, composition and terms of the Acquisition Financing Transactions remain subject to market conditions and final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Financing Transactions are expected to be comprised of (i) $7.5 billion of seven-year Term B Loans (“Term B Loans”), (ii) $32.0 billion of New First Lien Secured Notes (“New First Lien Secured Notes”), and (iii) $12.4 billion of New Second Lien Secured Notes (“New Second Lien Secured Notes”), in an amount up to $51.9 billion (the “New Permanent Financing”), in addition to the $5.0 billion Term A loans under the Pro Rata Credit Agreement. The Company is pursuing certain capital markets financings to effect these transactions and reduce or replace any remaining Bridge Commitments, either prior to the consummation of the Acquisition, or following the consummation of the Acquisition on the basis of the entry into the 364-day senior secured bridge term loan facility (the “364-day Bridge Loan Facility”) pursuant to the Bridge Commitments. However, the ultimate aggregate principal amount, allocation between instruments and terms of such financing will depend on prevailing market conditions and other factors outside of the Company’s control, and there can be no assurance that such financing will be consummated as currently contemplated (including on the basis of the assumptions herein, inclusive of interest rates assumptions) or on favorable terms, or that such financing will be consummated at all. For purposes of the unaudited pro forma condensed combined financial statements, the Company has assumed that the Acquisition Financing Transactions are completed as described above, including the consummation of the New Permanent Financing prior to the consummation of the Acquisition. In the event that the Bridge Commitments are drawn in order to finance the Acquisition, a fee of 0.5% payable to the bridge financing sources would apply to the principal amount of any such debt 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2026, WBD entered into seven-year $13.0 billion term loans (“WBD Dollar Term Loans”) and seven-year €1.7 billion term loans (the “WBD Euro Term Loans” and together with the WBD Dollar Term Loans, the “WBD Term Loans”). The proceeds were used to repay the $15.0 billion bridge facility that WBD had outstanding on March 31, 2026. The WBD Term Loans will be replaced or refinanced with the 364-day Bridge Loan Facility or the proceeds of the offering of the New Permanent Financing, if not refinanced by WBD prior to closing of the Acquisition. The unaudited pro forma condensed combined financial statements reflect the settlement of the WBD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3</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intends to refinance and terminate WBD’s $4.0 billion accounts receivable securitization program (of which $3.9 billion was utilized as of June 30, 2026) within close proximity to the closing of the Acquisition (or shortly thereafter). For purposes of the unaudited pro forma condensed combined financial statements, the Company has assumed the termination of the securitization facility and the related repurchase of accounts receivable are completed at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WBD Merger Agreement, Paramount paid the termination fee of $2.8 billion (the “Netflix Termination Fee”) due to Netflix, Inc. under the Amended and Restated Agreement and Plan of Merger, dated as of January 19, 2026, by and among WBD, Netflix, Inc., Nightingale Sub, Inc., and New Topco 25, which was terminated prior to the execution of the WBD Merger Agreement. The Netflix Termination Fee is reflected in Paramount’s historical balance sheet at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the Acquisition is subject to customary closing conditions, including no government order being in effect that enjoins the transaction, and is not subject to a financing condition. As of the date of this filing, the Acquisition has not been consummated but is considered probable for purposes of these pro forma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Offers and Tender Offers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the Company is offering to exchange any and all of the Exchange Offer WBD Notes (defined below) for the applicable series of newly issued second lien secured notes to be issued by the Company (the “Second Lien Secured Exchange Notes”) (each offer to exchange, an “Exchange Offer” and together, the “Exchange Offers”). The Second Lien Secured Exchange Notes will be fully and unconditionally guaranteed, jointly and severally, on a senior secured basis by certain of the Company’s wholly owned domestic subsidiaries that are obligors under the Pro Rata Credit Agreement, subject to certain customary exceptions, and will be secured, subject to certain limitations and exceptions and customary permitted liens, on a second priority basis, equally and ratably with all parity lien indebtedness of the Company and related guarantors. In certain circumstances when, among other things, the Second Lien Secured Exchange Notes are rated investment grade by two out of three rating agencies, the liens securing the Second Lien Secured Exchange Notes and related guarantees may be automatically released.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Offer WBD Notes were issued by Discovery Communications, LLC, a Delaware limited liability company (the “DCL Issuer”), and Discovery Global Holdings, Inc. (formerly WarnerMedia Holdings, Inc.), a Delaware corporation (the “DGH Issuer” and, together with the DCL Issuer, the “Existing WBD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offered in the Exchange Offers (i) per $1,000 in aggregate principal amount of U.S. dollar-denominated Exchange Offer WBD Notes tendered and (ii) per €1,000 in aggregate principal amount of Euro-denominated Exchange Offer WBD Notes tendered, in each case, is summarized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28" w:type="dxa"/>
          <w:right w:w="0" w:type="dxa"/>
        </w:tblCellMar>
      </w:tblPr>
      <w:tblGrid>
        <w:gridCol w:w="2199"/>
        <w:gridCol w:w="60"/>
        <w:gridCol w:w="1243"/>
        <w:gridCol w:w="60"/>
        <w:gridCol w:w="2986"/>
        <w:gridCol w:w="60"/>
        <w:gridCol w:w="60"/>
        <w:gridCol w:w="3537"/>
      </w:tblGrid>
      <w:tr>
        <w:trPr/>
        <w:tc>
          <w:tcPr>
            <w:tcW w:w="2199"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WBD’s Notes to be</w:t>
              <w:br/>
              <w:t>Exchanged (the “Exchange</w:t>
              <w:br/>
              <w:t>Offer WBD Notes”)</w:t>
            </w:r>
          </w:p>
        </w:tc>
        <w:tc>
          <w:tcPr>
            <w:tcW w:w="60" w:type="dxa"/>
            <w:tcBorders/>
            <w:tcMar>
              <w:bottom w:w="0" w:type="dxa"/>
            </w:tcMar>
            <w:vAlign w:val="center"/>
          </w:tcPr>
          <w:p>
            <w:pPr>
              <w:pStyle w:val="TableContents"/>
              <w:bidi w:val="0"/>
              <w:spacing w:before="0" w:after="283"/>
              <w:jc w:val="left"/>
              <w:rPr/>
            </w:pPr>
            <w:r>
              <w:rPr/>
              <w:t> </w:t>
            </w:r>
          </w:p>
        </w:tc>
        <w:tc>
          <w:tcPr>
            <w:tcW w:w="1243"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Issuer of </w:t>
              <w:br/>
              <w:t>Exchange Offer</w:t>
              <w:br/>
              <w:t>WBD Notes</w:t>
            </w:r>
          </w:p>
        </w:tc>
        <w:tc>
          <w:tcPr>
            <w:tcW w:w="60" w:type="dxa"/>
            <w:tcBorders/>
            <w:tcMar>
              <w:bottom w:w="0" w:type="dxa"/>
            </w:tcMar>
            <w:vAlign w:val="center"/>
          </w:tcPr>
          <w:p>
            <w:pPr>
              <w:pStyle w:val="TableContents"/>
              <w:bidi w:val="0"/>
              <w:spacing w:before="0" w:after="283"/>
              <w:jc w:val="left"/>
              <w:rPr/>
            </w:pPr>
            <w:r>
              <w:rPr/>
              <w:t> </w:t>
            </w:r>
          </w:p>
        </w:tc>
        <w:tc>
          <w:tcPr>
            <w:tcW w:w="298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Aggregate Principal Amount of Notes </w:t>
              <w:br/>
              <w:t>Validly Delivered in Consent Solicitations</w:t>
              <w:br/>
              <w:t xml:space="preserve">and Eligible to Participate in the </w:t>
              <w:br/>
              <w:t>Exchange Offers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millions)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37"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Lien Secured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Notes Offered</w:t>
            </w:r>
          </w:p>
        </w:tc>
      </w:tr>
      <w:tr>
        <w:trPr/>
        <w:tc>
          <w:tcPr>
            <w:tcW w:w="219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4.125% Senior Notes due 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6.250% Senior Secured Second Lien Notes due 2029</w:t>
            </w:r>
          </w:p>
        </w:tc>
      </w:tr>
      <w:tr>
        <w:trPr/>
        <w:tc>
          <w:tcPr>
            <w:tcW w:w="219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3.625% Senior Notes due 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8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3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4.875% Senior Secured Second Lien Notes due 2030</w:t>
            </w:r>
          </w:p>
        </w:tc>
      </w:tr>
      <w:tr>
        <w:trPr/>
        <w:tc>
          <w:tcPr>
            <w:tcW w:w="219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5.000% Senior Notes due 2037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5.000% Senior Secured Second Lien Notes due 2037</w:t>
            </w:r>
          </w:p>
        </w:tc>
      </w:tr>
      <w:tr>
        <w:trPr/>
        <w:tc>
          <w:tcPr>
            <w:tcW w:w="219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6.350% Senior Notes due 2040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8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3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6.350% Senior Secured Second Lien Notes due 2040</w:t>
            </w:r>
          </w:p>
        </w:tc>
      </w:tr>
      <w:tr>
        <w:trPr/>
        <w:tc>
          <w:tcPr>
            <w:tcW w:w="219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4.950% Senior Notes due 2042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4.950% Senior Secured Second Lien Notes due 2042</w:t>
            </w:r>
          </w:p>
        </w:tc>
      </w:tr>
      <w:tr>
        <w:trPr/>
        <w:tc>
          <w:tcPr>
            <w:tcW w:w="219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4.875% Senior Notes due 2043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8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3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4.875% Senior Secured Second Lien Notes due 2043</w:t>
            </w:r>
          </w:p>
        </w:tc>
      </w:tr>
      <w:tr>
        <w:trPr/>
        <w:tc>
          <w:tcPr>
            <w:tcW w:w="219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5.200% Senior Notes due 2047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5.200% Senior Secured Second Lien Notes due 2047</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w:t>
      </w:r>
      <w:r>
        <w:rPr>
          <w:sz w:val="20"/>
          <w:bdr w:val="single" w:sz="8" w:space="1" w:color="000000"/>
        </w:rPr>
        <w:t>4</w:t>
      </w:r>
      <w:r>
        <w:rPr>
          <w:bdr w:val="single" w:sz="8" w:space="1" w:color="000000"/>
        </w:rPr>
        <w:t>-</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780" w:type="dxa"/>
        <w:jc w:val="center"/>
        <w:tblInd w:w="0" w:type="dxa"/>
        <w:tblLayout w:type="fixed"/>
        <w:tblCellMar>
          <w:top w:w="0" w:type="dxa"/>
          <w:left w:w="0" w:type="dxa"/>
          <w:bottom w:w="0" w:type="dxa"/>
          <w:right w:w="0" w:type="dxa"/>
        </w:tblCellMar>
      </w:tblPr>
      <w:tblGrid>
        <w:gridCol w:w="2555"/>
        <w:gridCol w:w="60"/>
        <w:gridCol w:w="935"/>
        <w:gridCol w:w="60"/>
        <w:gridCol w:w="740"/>
        <w:gridCol w:w="60"/>
        <w:gridCol w:w="60"/>
        <w:gridCol w:w="4310"/>
      </w:tblGrid>
      <w:tr>
        <w:trPr/>
        <w:tc>
          <w:tcPr>
            <w:tcW w:w="25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5.300% Senior Notes due 2049</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5.300% Senior Secured Second Lien Notes due 2049</w:t>
            </w:r>
          </w:p>
        </w:tc>
      </w:tr>
      <w:tr>
        <w:trPr/>
        <w:tc>
          <w:tcPr>
            <w:tcW w:w="25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4.054% Senior Notes due 2029</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DGH Issuer</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$1,353.8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6.304% Senior Secured Second Lien Notes due 2029</w:t>
            </w:r>
          </w:p>
        </w:tc>
      </w:tr>
      <w:tr>
        <w:trPr/>
        <w:tc>
          <w:tcPr>
            <w:tcW w:w="25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4.279% Senior Notes due 2032</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DGH Issuer</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4.904% Senior Secured Second Lien Notes due 2032</w:t>
            </w:r>
          </w:p>
        </w:tc>
      </w:tr>
      <w:tr>
        <w:trPr/>
        <w:tc>
          <w:tcPr>
            <w:tcW w:w="25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5.050% Senior Notes due 2042</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DGH Issuer</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5.050% Senior Secured Second Lien Notes due 2042</w:t>
            </w:r>
          </w:p>
        </w:tc>
      </w:tr>
      <w:tr>
        <w:trPr/>
        <w:tc>
          <w:tcPr>
            <w:tcW w:w="25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5.141% Senior Notes due 2052</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DGH Issuer</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5.141% Senior Secured Second Lien Notes due 2052</w:t>
            </w:r>
          </w:p>
        </w:tc>
      </w:tr>
      <w:tr>
        <w:trPr/>
        <w:tc>
          <w:tcPr>
            <w:tcW w:w="25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4.302% Senior Notes due 2030</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DGH Issuer</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t>€</w:t>
            </w:r>
            <w:r>
              <w:rPr>
                <w:rFonts w:ascii="Times New Roman;Times;Serif" w:hAnsi="Times New Roman;Times;Serif"/>
                <w:sz w:val="20"/>
              </w:rPr>
              <w:t>234.4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5.802% Senior Secured Second Lien Notes due 2030</w:t>
            </w:r>
          </w:p>
        </w:tc>
      </w:tr>
      <w:tr>
        <w:trPr/>
        <w:tc>
          <w:tcPr>
            <w:tcW w:w="25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4.693% Senior Notes due 2033</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DGH Issuer</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center"/>
              <w:rPr/>
            </w:pPr>
            <w:r>
              <w:rPr/>
              <w:t>€</w:t>
            </w:r>
            <w:r>
              <w:rPr>
                <w:rFonts w:ascii="Times New Roman;Times;Serif" w:hAnsi="Times New Roman;Times;Serif"/>
                <w:sz w:val="20"/>
              </w:rPr>
              <w:t>316.6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5.068% Senior Secured Second Lien Notes due 2033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Exchange Offers, the Company is offering to purchase for cash (the “Tender Offers”) the aggregate principal amount of notes eligible to participate in the Tender Offers. Specifically, the Company is offering to purchase (i) the DCL Issuer’s $1.234 billion aggregate principal amount of 3.950% Senior Notes due 2028 and (ii) the DGH Issuer’s $1.189 billion aggregate principal amount of 3.755% Senior Notes due 2027 (the “Tender Offer WBD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these pro forma financial statements, it is assumed that 100% of the $12.7 billion principal amount of Exchange Offer WBD Notes eligible to participate in the Exchange Offers and 100% of the $2.423 billion of the Tender Offer WBD Notes subject to Tender Offers will, in each case, be exchanged or tendered, as applicable, in full in the applicable Exchange Offer or Tender Offers. The ultimate aggregate principal amount of Second Lien Secured Exchange Notes exchanged for Exchange Offer WBD Notes in the Exchange Offers, and the terms to which such indebtedness will be subject, and the amount of Tender Offer WBD Notes tendered in the Tender Offers is subject to change based on the ultimate results of such Exchange Offers and Tender Offers, including as a result of market conditions or other factors outside of the Company’s control, and the Company can make no assurances that the Exchange Offers and Tender Offers will be consummated in accordance with such assumptions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Completed Skydance Transactions and NAI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2025, pursuant to a transaction agreement dated July 7, 2024, Paramount Global and Skydance Media, LLC (“Skydance”) became wholly owned subsidiaries of Paramount Skydance Corporation (the “Skydance Transactions”). Substantially concurrently with the closing of the Skydance Transactions, Pinnacle Media Ventures, LLC, Pinnacle Media Ventures II, LLC and Pinnacle Media Ventures III, LLC, each entities controlled by the Ellison Family (as defined below), and RB Tentpole Holdings LP (the “NAI Equity Investors”) acquired 100% of the equity interests of Harbor Lights Entertainment, Inc. (f/k/a National Amusements, Inc. (“NAI”)), from NAI’s shareholders under a purchase and sale agreement and, through their ownership of NAI, the NAI Equity Investors indirectly received an aggregate of 31.5 million shares of Class A common stock and 32.0 million shares of Class B common stock of Paramount Skydance Corporation (the “NAI Transaction”). Following the closing of the Skydance Transactions and the NAI Transaction, entities controlled by the Ellison Family indirectly hold approximately 77.5% of the Class A common stock of Paramount Skydance Corporation through their collective approximate 77.5% ownership interest in NAI, which was renamed Harbor Lights Entertainment Inc., and as a result the Ellison Family is the controlling stockholder and ultimate parent (“Ultimate Parent”) of Paramount. For the purpose of determining the controlling ownership of Paramount, the Ellison family is comprised of Lawrence J. Ellison and David Ellison (the “Ellison Family”). David Ellison is the son of Lawrence J. Ellison, and Lawrence J. Ellison and David Ellison are accordingly considered immediate family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Skydance Transactions, PIPE investors, including the NAI Equity Investors, made an investment of $6.0 billion into Paramount Skydance Corporation in exchange for 400 million shares of Class B common stock at $15.00 per share and the NAI Equity Investors received, in connection with their PIPE investment, an aggregate of 200 million five-year warrants exercisable at $30.50 per share (subject to customary anti-dilution adjustments). Approximately $4.5 billion of the PIPE proceeds were used to satisfy electing stockholders’ cash consideration in connection with a cash-stock election offered to Paramount Global stockholders, with the remaining approximately $1.5 billion provided to Paramount Skydance Corporation. As further described in Note 1, Paramount’s financial results for the year ended December 31, 2025 are presented in two distinct periods to indicate a new basis of accounting established for Paramount Global’s net assets upon the closing of the Skydance Transactions and NAI Transaction. The periods prior to August 7, 2025 include only Paramount Global and are identified as “Predecessor”, and the periods beginning on August 7, 2025 reflect Paramount Skydance Corporation and are identified as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5</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statements have been prepared in accordance with Article 11 of Regulation S-X and are presented to illustrate the effects of the completed Skydance Transactions and NAI Transaction and the Acquisition, collectively,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June 30, 2026 combines the historical consolidated balance sheet of Paramount as of June 30, 2026 and the historical consolidated balance sheet of WBD as of June 30, 2026, giving effect to the Acquisition as if it had occurred on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six months ended June 30, 2026 combines the historical Consolidated Statement of Operations of Paramount for the six months ended June 30, 2026 and the historical Consolidated Statement of Operations of WBD for the six months ended June 30, 2026, and gives effect to the Acquisition as if it had occurred on January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year ended December 31, 2025 combines the Adjusted Combined Statement of Operations for the year ended December 31, 2025 of Paramount and the historical Consolidated Statement of Operations for the year ended December 31, 2025 of WBD, giving effect to the Transactions as if they had occurred on January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Adjusted Combined Statement of Operations of Paramount reflects the combination of (i) the historical consolidated Statement of Operations of Paramount Global (Predecessor) for the period from January 1, 2025 through August 6, 2025 (ii) the historical results of Skydance for the same period (iii) the historical consolidated Statement of Operations of Paramount Skydance Corporation from August 7, 2025 to December 31, 2025 (Successor) and (iv) the effects of the Skydance Transactions and NAI Transaction as if they had closed on January 1, 2025. As a result of the pushdown of the Ultimate Parent’s basis, the net assets of Paramount Global were recorded at their fair value as of the close of the Skydance Transactions and NAI Transaction. No adjustments to the August 7, 2025 to December 31, 2025 Successor period are necessary, as the impacts from the Skydance Transactions and NAI Transaction are included in Paramount’s historical results for this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Acquisition, including the committed equity financing, on the outstanding shares and equity of Paramount is discussed in Note 5 and Note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transaction accounting adjustments to adjust WBD’s net assets to preliminary estimates of fair value are based on information available to the Company as of the date of this filing. The fair value estimates made herein may differ materially based upon the finalization of appraisals and other valuation analyses, which is expected no later than one year from the closing date of the Acquisition. These unaudited pro forma condensed combined financial statements are presented for illustrative purposes only and do not necessarily reflect the operating results or financial position that would have occurred if the Transactions had been consummated on the dates indicated, nor are they necessarily indicative of the results of operations or financial condition that may be expected for any future period or date. Accordingly, such information should not be relied upon as an indicator of future performance, financial condition or liquidity. Additionally, the unaudited pro forma condensed combined financial statements do not give effect to revenue synergies, operating efficiencies or cost savings that may be achieved with respect to the combined company. Actual results may differ materially from the assumptions within the accompanying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should be read in conjunction with the following materials:</w:t>
      </w:r>
    </w:p>
    <w:p>
      <w:pPr>
        <w:pStyle w:val="TextBody"/>
        <w:bidi w:val="0"/>
        <w:spacing w:before="0" w:after="0"/>
        <w:ind w:left="0" w:right="0" w:hanging="0"/>
        <w:jc w:val="left"/>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125"/>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990" w:type="dxa"/>
            <w:tcBorders/>
            <w:vAlign w:val="center"/>
          </w:tcPr>
          <w:p>
            <w:pPr>
              <w:pStyle w:val="TableContents"/>
              <w:bidi w:val="0"/>
              <w:spacing w:before="0" w:after="283"/>
              <w:jc w:val="both"/>
              <w:rPr/>
            </w:pPr>
            <w:r>
              <w:rPr/>
              <w:t>The accompanying notes to the unaudited pro forma condensed combined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Paramount's historical unaudited consolidated financial statements and the notes thereto contained in the Company’s Quarterly Report on Form 10-Q for the quarterly period ended June 30, 2026, filed on August 4, 2026, and the historical audited consolidated financial statements and the notes thereto for Paramount Global (Predecessor) for the period from January 1, 2025 to August 6, 2025 and Paramount Skydance Corporation (Successor) as of December 31, 2025 and for the period from August 7, 2025 to December 31, 2025 contained in Paramount’s Current Report on Form 8-K, filed on May 13,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Skydance’s historical unaudited condensed consolidated financial statements for the six-month period ended and as of June 30, 2025 contained in the Company’s Form 8-K/A filed October 23, 2025;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WBD’s historical unaudited consolidated financial statements and the notes thereto contained in WBD’s Quarterly Report on Form 10-Q for the quarterly period ended June 30, 2026, filed on August 6, 2026, and the historical audited consolidated financial statements and the notes thereto contained in WBD’s Annual Report on Form 10-K for the year ended December 31, 2025, filed on February 27, 2026, in each case, also incorporated by reference in the Current Report of Paramount on Form 8-K with which these pro forma financial statements are filed.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6</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JUNE 30,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78"/>
        <w:gridCol w:w="60"/>
        <w:gridCol w:w="171"/>
        <w:gridCol w:w="809"/>
        <w:gridCol w:w="80"/>
        <w:gridCol w:w="60"/>
        <w:gridCol w:w="149"/>
        <w:gridCol w:w="780"/>
        <w:gridCol w:w="80"/>
        <w:gridCol w:w="60"/>
        <w:gridCol w:w="224"/>
        <w:gridCol w:w="1168"/>
        <w:gridCol w:w="80"/>
        <w:gridCol w:w="639"/>
        <w:gridCol w:w="60"/>
        <w:gridCol w:w="185"/>
        <w:gridCol w:w="1038"/>
        <w:gridCol w:w="80"/>
        <w:gridCol w:w="329"/>
        <w:gridCol w:w="60"/>
        <w:gridCol w:w="139"/>
        <w:gridCol w:w="776"/>
        <w:gridCol w:w="100"/>
      </w:tblGrid>
      <w:tr>
        <w:trPr/>
        <w:tc>
          <w:tcPr>
            <w:tcW w:w="30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9" w:type="dxa"/>
            <w:gridSpan w:val="6"/>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74" w:type="dxa"/>
            <w:gridSpan w:val="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Adjustments</w:t>
            </w:r>
          </w:p>
        </w:tc>
        <w:tc>
          <w:tcPr>
            <w:tcW w:w="3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15" w:type="dxa"/>
            <w:gridSpan w:val="2"/>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30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w:t>
              <w:br/>
              <w:t>Skydance</w:t>
              <w:br/>
              <w:t>Corp.</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WBD </w:t>
              <w:br/>
              <w:t xml:space="preserve">Adjusted </w:t>
            </w:r>
            <w:r>
              <w:rPr>
                <w:rFonts w:ascii="Times New Roman;Times;Serif" w:hAnsi="Times New Roman;Times;Serif"/>
                <w:b/>
                <w:i w:val="false"/>
                <w:caps w:val="false"/>
                <w:smallCaps w:val="false"/>
                <w:position w:val="7"/>
                <w:sz w:val="16"/>
                <w:sz w:val="20"/>
              </w:rPr>
              <w:t>(2)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Transaction</w:t>
              <w:br/>
              <w:t>Accounting</w:t>
              <w:br/>
              <w:t>Adjustments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br/>
              <w:t xml:space="preserve">Adjustments </w:t>
            </w:r>
            <w:r>
              <w:rPr>
                <w:rFonts w:ascii="Times New Roman;Times;Serif" w:hAnsi="Times New Roman;Times;Serif"/>
                <w:b/>
                <w:i w:val="false"/>
                <w:caps w:val="false"/>
                <w:smallCaps w:val="false"/>
                <w:position w:val="7"/>
                <w:sz w:val="16"/>
                <w:sz w:val="20"/>
              </w:rPr>
              <w:t>(5)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3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0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0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56,379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7,803</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(5d)</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0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(5c)</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0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(5e)</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0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(5g)</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0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13,893</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and other 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2,032</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5,311</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29,039</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8,653</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and other 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39,834</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57,322</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45,748</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3,712</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1,967</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consideration for WBD acquisition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(4h), (8d)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7,418</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193,693</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0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0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1,522</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4,601</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share and royalties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6,135</w:t>
            </w:r>
          </w:p>
        </w:tc>
        <w:tc>
          <w:tcPr>
            <w:tcW w:w="1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programming and production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3,356</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2,158</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3,459</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24,231</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56,379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80,277</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(5d)</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0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(5c)</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0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share and royalties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3,793</w:t>
            </w:r>
          </w:p>
        </w:tc>
        <w:tc>
          <w:tcPr>
            <w:tcW w:w="1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and postretirement benefit obligations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1,346</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11,507</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obligations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1,992</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6,194</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0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stockholders’ equity:</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0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60,270</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0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 (accumulated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(4f), (8d)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(2,297</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(5c)</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0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(5e)</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30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Paramount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57,985</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2,196</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60,181</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7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193,693</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pro forma condensed combined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7</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22"/>
        <w:gridCol w:w="60"/>
        <w:gridCol w:w="171"/>
        <w:gridCol w:w="809"/>
        <w:gridCol w:w="80"/>
        <w:gridCol w:w="60"/>
        <w:gridCol w:w="150"/>
        <w:gridCol w:w="718"/>
        <w:gridCol w:w="80"/>
        <w:gridCol w:w="60"/>
        <w:gridCol w:w="196"/>
        <w:gridCol w:w="859"/>
        <w:gridCol w:w="80"/>
        <w:gridCol w:w="361"/>
        <w:gridCol w:w="60"/>
        <w:gridCol w:w="217"/>
        <w:gridCol w:w="952"/>
        <w:gridCol w:w="80"/>
        <w:gridCol w:w="302"/>
        <w:gridCol w:w="60"/>
        <w:gridCol w:w="144"/>
        <w:gridCol w:w="683"/>
        <w:gridCol w:w="101"/>
      </w:tblGrid>
      <w:tr>
        <w:trPr/>
        <w:tc>
          <w:tcPr>
            <w:tcW w:w="39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8" w:type="dxa"/>
            <w:gridSpan w:val="6"/>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05" w:type="dxa"/>
            <w:gridSpan w:val="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Adjustments</w:t>
            </w:r>
          </w:p>
        </w:tc>
        <w:tc>
          <w:tcPr>
            <w:tcW w:w="30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7"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r>
      <w:tr>
        <w:trPr/>
        <w:tc>
          <w:tcPr>
            <w:tcW w:w="39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w:t>
              <w:br/>
              <w:t>Skydance</w:t>
              <w:br/>
              <w:t>Corp.</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w:t>
              <w:br/>
              <w:t xml:space="preserve">Adjusted </w:t>
            </w:r>
            <w:r>
              <w:rPr>
                <w:rFonts w:ascii="Times New Roman;Times;Serif" w:hAnsi="Times New Roman;Times;Serif"/>
                <w:b/>
                <w:i w:val="false"/>
                <w:caps w:val="false"/>
                <w:smallCaps w:val="false"/>
                <w:position w:val="7"/>
                <w:sz w:val="16"/>
                <w:sz w:val="20"/>
              </w:rPr>
              <w:t>(2)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w:t>
              <w:br/>
              <w:t>Transaction</w:t>
              <w:br/>
              <w:t>Accounting</w:t>
              <w:br/>
              <w:t>Adjustments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36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br/>
              <w:t xml:space="preserve">Adjustments </w:t>
            </w:r>
            <w:r>
              <w:rPr>
                <w:rFonts w:ascii="Times New Roman;Times;Serif" w:hAnsi="Times New Roman;Times;Serif"/>
                <w:b/>
                <w:i w:val="false"/>
                <w:caps w:val="false"/>
                <w:smallCaps w:val="false"/>
                <w:position w:val="7"/>
                <w:sz w:val="16"/>
                <w:sz w:val="20"/>
              </w:rPr>
              <w:t>(5)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30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31,648</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39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19,342</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7,016</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Netflix Termination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3a(5)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4,228</w:t>
            </w:r>
          </w:p>
        </w:tc>
        <w:tc>
          <w:tcPr>
            <w:tcW w:w="101" w:type="dxa"/>
            <w:tcBorders/>
            <w:shd w:fill="FFFFFF" w:val="clear"/>
            <w:vAlign w:val="center"/>
          </w:tcPr>
          <w:p>
            <w:pPr>
              <w:pStyle w:val="TableContents"/>
              <w:bidi w:val="0"/>
              <w:spacing w:before="0" w:after="283"/>
              <w:ind w:left="0" w:right="0" w:hanging="135"/>
              <w:jc w:val="left"/>
              <w:rPr>
                <w:caps w:val="false"/>
                <w:smallCaps w:val="false"/>
              </w:rPr>
            </w:pPr>
            <w:r>
              <w:rPr>
                <w:caps w:val="false"/>
                <w:smallCaps w:val="false"/>
              </w:rPr>
              <w:t> </w:t>
            </w:r>
          </w:p>
        </w:tc>
      </w:tr>
      <w:tr>
        <w:trPr/>
        <w:tc>
          <w:tcPr>
            <w:tcW w:w="39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transaction-related items and other corporate matters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31,476</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(3,088</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items,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10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 before income taxes and equity in (loss) earnings of investee companies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(3,120</w:t>
            </w:r>
          </w:p>
        </w:tc>
        <w:tc>
          <w:tcPr>
            <w:tcW w:w="10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benefit from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1,158</w:t>
            </w:r>
          </w:p>
        </w:tc>
        <w:tc>
          <w:tcPr>
            <w:tcW w:w="10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9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(loss) earnings of investee companies,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10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(Paramount and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(2,061</w:t>
            </w:r>
          </w:p>
        </w:tc>
        <w:tc>
          <w:tcPr>
            <w:tcW w:w="10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10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attributable to Paramount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(2,091</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39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per common share attributable to Paramount: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39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39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shares outstanding:</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39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5,031</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5,031</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8</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57"/>
        <w:gridCol w:w="60"/>
        <w:gridCol w:w="200"/>
        <w:gridCol w:w="948"/>
        <w:gridCol w:w="80"/>
        <w:gridCol w:w="272"/>
        <w:gridCol w:w="150"/>
        <w:gridCol w:w="718"/>
        <w:gridCol w:w="80"/>
        <w:gridCol w:w="60"/>
        <w:gridCol w:w="196"/>
        <w:gridCol w:w="859"/>
        <w:gridCol w:w="82"/>
        <w:gridCol w:w="327"/>
        <w:gridCol w:w="61"/>
        <w:gridCol w:w="217"/>
        <w:gridCol w:w="952"/>
        <w:gridCol w:w="82"/>
        <w:gridCol w:w="317"/>
        <w:gridCol w:w="60"/>
        <w:gridCol w:w="144"/>
        <w:gridCol w:w="682"/>
        <w:gridCol w:w="101"/>
      </w:tblGrid>
      <w:tr>
        <w:trPr/>
        <w:tc>
          <w:tcPr>
            <w:tcW w:w="35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8" w:type="dxa"/>
            <w:gridSpan w:val="6"/>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76" w:type="dxa"/>
            <w:gridSpan w:val="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Adjustments</w:t>
            </w:r>
          </w:p>
        </w:tc>
        <w:tc>
          <w:tcPr>
            <w:tcW w:w="3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6"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r>
      <w:tr>
        <w:trPr/>
        <w:tc>
          <w:tcPr>
            <w:tcW w:w="35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w:t>
              <w:br/>
              <w:t>Skydance Corp.</w:t>
              <w:br/>
              <w:t xml:space="preserve">Adjusted </w:t>
            </w:r>
            <w:r>
              <w:rPr>
                <w:rFonts w:ascii="Times New Roman;Times;Serif" w:hAnsi="Times New Roman;Times;Serif"/>
                <w:b/>
                <w:i w:val="false"/>
                <w:caps w:val="false"/>
                <w:smallCaps w:val="false"/>
                <w:position w:val="7"/>
                <w:sz w:val="16"/>
                <w:sz w:val="20"/>
              </w:rPr>
              <w:t>(6)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72" w:type="dxa"/>
            <w:tcBorders/>
            <w:vAlign w:val="center"/>
          </w:tcPr>
          <w:p>
            <w:pPr>
              <w:pStyle w:val="TableContents"/>
              <w:bidi w:val="0"/>
              <w:spacing w:before="0" w:after="283"/>
              <w:jc w:val="left"/>
              <w:rPr>
                <w:caps w:val="false"/>
                <w:smallCaps w:val="false"/>
              </w:rPr>
            </w:pPr>
            <w:r>
              <w:rPr>
                <w:caps w:val="false"/>
                <w:smallCaps w:val="false"/>
              </w:rPr>
              <w:t> </w:t>
            </w:r>
          </w:p>
        </w:tc>
        <w:tc>
          <w:tcPr>
            <w:tcW w:w="8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WBD </w:t>
              <w:br/>
              <w:t xml:space="preserve">Adjusted </w:t>
            </w:r>
            <w:r>
              <w:rPr>
                <w:rFonts w:ascii="Times New Roman;Times;Serif" w:hAnsi="Times New Roman;Times;Serif"/>
                <w:b/>
                <w:i w:val="false"/>
                <w:caps w:val="false"/>
                <w:smallCaps w:val="false"/>
                <w:position w:val="7"/>
                <w:sz w:val="16"/>
                <w:sz w:val="20"/>
              </w:rPr>
              <w:t>(2)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w:t>
              <w:br/>
              <w:t>Transaction</w:t>
              <w:br/>
              <w:t>Accounting</w:t>
              <w:br/>
              <w:t>Adjustments</w:t>
            </w:r>
          </w:p>
        </w:tc>
        <w:tc>
          <w:tcPr>
            <w:tcW w:w="82" w:type="dxa"/>
            <w:tcBorders/>
            <w:vAlign w:val="center"/>
          </w:tcPr>
          <w:p>
            <w:pPr>
              <w:pStyle w:val="TableContents"/>
              <w:bidi w:val="0"/>
              <w:spacing w:before="0" w:after="283"/>
              <w:jc w:val="center"/>
              <w:rPr>
                <w:caps w:val="false"/>
                <w:smallCaps w:val="false"/>
              </w:rPr>
            </w:pPr>
            <w:r>
              <w:rPr>
                <w:caps w:val="false"/>
                <w:smallCaps w:val="false"/>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1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br/>
              <w:t xml:space="preserve">Adjustments </w:t>
            </w:r>
            <w:r>
              <w:rPr>
                <w:rFonts w:ascii="Times New Roman;Times;Serif" w:hAnsi="Times New Roman;Times;Serif"/>
                <w:b/>
                <w:i w:val="false"/>
                <w:caps w:val="false"/>
                <w:smallCaps w:val="false"/>
                <w:position w:val="7"/>
                <w:sz w:val="16"/>
                <w:sz w:val="20"/>
              </w:rPr>
              <w:t>(5)</w:t>
            </w:r>
          </w:p>
        </w:tc>
        <w:tc>
          <w:tcPr>
            <w:tcW w:w="82" w:type="dxa"/>
            <w:tcBorders/>
            <w:vAlign w:val="center"/>
          </w:tcPr>
          <w:p>
            <w:pPr>
              <w:pStyle w:val="TableContents"/>
              <w:bidi w:val="0"/>
              <w:spacing w:before="0" w:after="283"/>
              <w:jc w:val="center"/>
              <w:rPr>
                <w:caps w:val="false"/>
                <w:smallCaps w:val="false"/>
              </w:rPr>
            </w:pPr>
            <w:r>
              <w:rPr>
                <w:caps w:val="false"/>
                <w:smallCaps w:val="false"/>
              </w:rPr>
              <w:t> </w:t>
            </w:r>
          </w:p>
        </w:tc>
        <w:tc>
          <w:tcPr>
            <w:tcW w:w="3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66,132</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42,940</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14,431</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8,454</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101" w:type="dxa"/>
            <w:tcBorders/>
            <w:shd w:fill="CCEEFF" w:val="clear"/>
            <w:vAlign w:val="center"/>
          </w:tcPr>
          <w:p>
            <w:pPr>
              <w:pStyle w:val="TableContents"/>
              <w:bidi w:val="0"/>
              <w:spacing w:before="0" w:after="283"/>
              <w:ind w:left="0" w:right="0" w:hanging="135"/>
              <w:jc w:val="left"/>
              <w:rPr>
                <w:caps w:val="false"/>
                <w:smallCaps w:val="false"/>
              </w:rPr>
            </w:pPr>
            <w:r>
              <w:rPr>
                <w:caps w:val="false"/>
                <w:smallCaps w:val="false"/>
              </w:rPr>
              <w:t> </w:t>
            </w:r>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transaction-related items and other corporate matters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2,697</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(5d)</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2,567</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68,720</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on dispositions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(3,125</w:t>
            </w:r>
          </w:p>
        </w:tc>
        <w:tc>
          <w:tcPr>
            <w:tcW w:w="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(2,592</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(4,655</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(6,413</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from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2,955</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items,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10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 before income taxes and equity in loss of investee companies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(4,676</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(6,282</w:t>
            </w:r>
          </w:p>
        </w:tc>
        <w:tc>
          <w:tcPr>
            <w:tcW w:w="10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from (provision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10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loss of investee companies,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10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(Paramount and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(1,809</w:t>
            </w:r>
          </w:p>
        </w:tc>
        <w:tc>
          <w:tcPr>
            <w:tcW w:w="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(3,506</w:t>
            </w:r>
          </w:p>
        </w:tc>
        <w:tc>
          <w:tcPr>
            <w:tcW w:w="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(5,547</w:t>
            </w:r>
          </w:p>
        </w:tc>
        <w:tc>
          <w:tcPr>
            <w:tcW w:w="10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10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redeemable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attributable to Paramount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(1,809</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(3,506</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(6,059</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common share attributable to Paramount (basic and diluted):</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stockholders - Receiving Warrants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w:t>
            </w:r>
          </w:p>
        </w:tc>
        <w:tc>
          <w:tcPr>
            <w:tcW w:w="10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stockholders - Other</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stockholders - All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10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stockholders - Receiving Warrants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1"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stockholders - 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2" w:type="dxa"/>
            <w:tcBorders/>
            <w:shd w:fill="CCEEFF" w:val="clear"/>
            <w:vAlign w:val="center"/>
          </w:tcPr>
          <w:p>
            <w:pPr>
              <w:pStyle w:val="TableContents"/>
              <w:bidi w:val="0"/>
              <w:spacing w:before="0" w:after="283"/>
              <w:jc w:val="left"/>
              <w:rPr>
                <w:sz w:val="20"/>
              </w:rPr>
            </w:pPr>
            <w:r>
              <w:rPr>
                <w:sz w:val="20"/>
              </w:rPr>
              <w:t>(6j)</w:t>
            </w:r>
          </w:p>
        </w:tc>
        <w:tc>
          <w:tcPr>
            <w:tcW w:w="150"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3,448</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1"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4,547</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stockholders - All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2" w:type="dxa"/>
            <w:tcBorders/>
            <w:shd w:fill="FFFFFF" w:val="clear"/>
            <w:vAlign w:val="center"/>
          </w:tcPr>
          <w:p>
            <w:pPr>
              <w:pStyle w:val="TableContents"/>
              <w:bidi w:val="0"/>
              <w:spacing w:before="0" w:after="283"/>
              <w:jc w:val="left"/>
              <w:rPr>
                <w:sz w:val="20"/>
              </w:rPr>
            </w:pPr>
            <w:r>
              <w:rPr>
                <w:sz w:val="20"/>
              </w:rPr>
              <w:t>(6j)</w:t>
            </w:r>
          </w:p>
        </w:tc>
        <w:tc>
          <w:tcPr>
            <w:tcW w:w="150"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3,918</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1"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5,017</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9</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pro forma condensed combined financial statements have been prepared in accordance with Article 11 of Regulation S-X and do not include all of the information and note disclosures required by generally accepted accounting principles in the United States of America (“U.S. GAAP”). Pro forma financial information illustrates the effects of a particular transaction (or transactions) and is based on historically determined amounts. The historical financial statements of Paramount, Skydance, and WBD have been adjusted in the accompanying unaudited pro forma condensed combined financial statements to reflect transaction accounting adjustments that depict the estimated accounting effects of the Transactions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Paramount Global and Skydance became subsidiaries of Paramount Skydance Corporation, the Ellison Family controlled both Paramount Global and Skydance (and was the “Ultimate Parent” of each), and as a result, the Skydance Transactions were accounted for as a transaction between entities under common control. As a transaction between entities under common control, the net assets were combined at the Ultimate Parent’s basis, which for Paramount Global was deemed to be the estimated fair value as of August 7, 2025, the date of the closing of the NAI Transaction, which was the point at which the Ellison Family obtained control of Paramount Global. As a result, the net assets of Paramount Global were recorded at their fair value as of this date. Since the net assets of Skydance were already at the Ultimate Parent’s basis, no adjustment to the fair value of net assets was necessary, and Skydance was combined with Paramount Global’s net assets at the Ultimate Parent’s basis as of this date. The pushdown of the Ultimate Parent’s basis resulted in a new basis of accounting for Paramount Global’s net assets, which made the results of operations not comparable between the periods before and after the Skydance Transactions and the NAI Transaction. Accordingly, Paramount’s financial results for the year ended December 31, 2025 are presented in two distinct periods. The periods prior to August 7, 2025 include only Paramount Global and are identified as “Predecessor”, and the periods beginning on August 7, 2025 reflect Paramount Skydance Corporation and are identified as “Successor”. See Note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June 30, 2026 combines the historical consolidated balance sheet of Paramount as of June 30, 2026, and the historical consolidated balance sheet of WBD as of June 30, 2026, giving effect to the Acquisition as if it had occurred on June 30, 2026. These pro forma financial statements reflect assumptions and adjustments set forth in the accompanying explanatory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six months ended June 30, 2026 combines the historical Consolidated Statements of Operations of Paramount and WBD, as if the Acquisition occurred on January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year ended December 31, 2025 combines the Adjusted Combined Statement of Operations for the year ended December 31, 2025 of Paramount and the historical Consolidated Statement of Operations for the year ended December 31, 2025 of WBD giving effect to the Transactions as if they had occurred on January 1, 2025. The Adjusted Combined Statement of Operations of Paramount reflects the combination of (i) the historical consolidated Statement of Operations of Paramount Global (Predecessor) for the period from January 1, 2025 through August 6, 2025 (ii) the historical results of Skydance for the same period (iii) the historical consolidated Statement of Operations of Paramount Skydance Corporation from August 7, 2025 to December 31, 2025 (Successor) and (iv) the effects of the Skydance Transactions and NAI Transaction as if they had closed on January 1, 2025. As a result of the pushdown of the Ultimate Parent’s basis, the net assets of Paramount Global were recorded at their fair value as of the close of the Skydance Transactions and NAI Transaction. No adjustments to the August 7, 2025 to December 31, 2025 Successor period are necessary, as the impacts from the Skydance Transactions and NAI Transaction are included in Paramount’s historical results for this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historical financial statements of WBD and the historical Skydance results for the period from January 1, 2025 through August 6, 2025 have been adjusted to align with the Company’s presentation in the unaudited pro forma condensed combined financial statements (See Notes 2 and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unaudited pro forma condensed combined financial statements incorporates various assumptions and estimates, including those related to the preliminary purchase price allocation of WBD as well as, among other things, the timing and financing for the Acquisition. The pro forma transaction accounting adjustments to adjust WBD’s net assets to preliminary estimates of fair value are based on information available to the Company as of the date of this filing. The fair value estimates made herein may differ materially based upon the finalization of appraisals and other valuation analyses, which is expected no later than one year from the closing date of the Acquisition. These unaudited pro forma condensed combined financial statements are presented for illustrative purposes only and do not necessarily reflect the operating results or financial position that would have occurred if the Transactions had been consummated on the dates indicated, nor are they necessarily indicative of the results of operations or financial condition that may be expected for any future period or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10</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such information should not be relied upon as an indicator of future performance, financial condition or liquidity. Additionally, the unaudited pro forma condensed combined financial statements do not give effect to revenue synergies, operating efficiencies or cost savings that may be achieved with respect to the combined company. Actual results may differ materially from the assumptions within the accompanying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PRESENTATION OF HISTORICAL WARNER BROS. DISCOVERY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information of WBD included in the unaudited pro forma condensed combined financial statements reflects certain reclassifications to conform to the Company’s presentation, which are presented in the tables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Balance Sheet Reclassifications</w:t>
      </w:r>
    </w:p>
    <w:p>
      <w:pPr>
        <w:pStyle w:val="TextBody"/>
        <w:bidi w:val="0"/>
        <w:spacing w:before="0" w:after="0"/>
        <w:ind w:left="0" w:right="0" w:hanging="0"/>
        <w:jc w:val="left"/>
        <w:rPr>
          <w:caps w:val="false"/>
          <w:smallCaps w:val="false"/>
        </w:rPr>
      </w:pPr>
      <w:r>
        <w:rPr>
          <w:caps w:val="false"/>
          <w:smallCaps w:val="false"/>
        </w:rPr>
        <w:t> </w:t>
      </w:r>
    </w:p>
    <w:tbl>
      <w:tblPr>
        <w:tblW w:w="8123" w:type="dxa"/>
        <w:jc w:val="center"/>
        <w:tblInd w:w="0" w:type="dxa"/>
        <w:tblLayout w:type="fixed"/>
        <w:tblCellMar>
          <w:top w:w="0" w:type="dxa"/>
          <w:left w:w="0" w:type="dxa"/>
          <w:bottom w:w="0" w:type="dxa"/>
          <w:right w:w="0" w:type="dxa"/>
        </w:tblCellMar>
      </w:tblPr>
      <w:tblGrid>
        <w:gridCol w:w="3680"/>
        <w:gridCol w:w="60"/>
        <w:gridCol w:w="240"/>
        <w:gridCol w:w="1144"/>
        <w:gridCol w:w="60"/>
        <w:gridCol w:w="60"/>
        <w:gridCol w:w="218"/>
        <w:gridCol w:w="1137"/>
        <w:gridCol w:w="80"/>
        <w:gridCol w:w="60"/>
        <w:gridCol w:w="229"/>
        <w:gridCol w:w="1080"/>
        <w:gridCol w:w="75"/>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0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June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WBD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Reclassification</w:t>
              <w:br/>
              <w:t>Adjustments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Adjusted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and other 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Film and television content rights and games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and other 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19,335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25,861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25,922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7"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11</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jc w:val="left"/>
        <w:rPr>
          <w:caps w:val="false"/>
          <w:smallCaps w:val="false"/>
        </w:rPr>
      </w:pPr>
      <w:r>
        <w:rPr>
          <w:caps w:val="false"/>
          <w:smallCaps w:val="false"/>
        </w:rPr>
        <w:t> </w:t>
      </w:r>
    </w:p>
    <w:tbl>
      <w:tblPr>
        <w:tblW w:w="8313" w:type="dxa"/>
        <w:jc w:val="center"/>
        <w:tblInd w:w="0" w:type="dxa"/>
        <w:tblLayout w:type="fixed"/>
        <w:tblCellMar>
          <w:top w:w="0" w:type="dxa"/>
          <w:left w:w="0" w:type="dxa"/>
          <w:bottom w:w="0" w:type="dxa"/>
          <w:right w:w="0" w:type="dxa"/>
        </w:tblCellMar>
      </w:tblPr>
      <w:tblGrid>
        <w:gridCol w:w="3830"/>
        <w:gridCol w:w="60"/>
        <w:gridCol w:w="223"/>
        <w:gridCol w:w="1161"/>
        <w:gridCol w:w="80"/>
        <w:gridCol w:w="60"/>
        <w:gridCol w:w="218"/>
        <w:gridCol w:w="1137"/>
        <w:gridCol w:w="80"/>
        <w:gridCol w:w="60"/>
        <w:gridCol w:w="211"/>
        <w:gridCol w:w="1098"/>
        <w:gridCol w:w="95"/>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2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WBD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Reclassification</w:t>
              <w:br/>
              <w:t>Adjustments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Adjusted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share and royalties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programming and production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portion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share and royalties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and postretirement benefit obligations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liabilities,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obligations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56,022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(14,279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Parent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7"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97,248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12</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Statements of Operations Reclassifications</w:t>
      </w:r>
    </w:p>
    <w:p>
      <w:pPr>
        <w:pStyle w:val="TextBody"/>
        <w:bidi w:val="0"/>
        <w:spacing w:before="0" w:after="0"/>
        <w:ind w:left="0" w:right="0" w:hanging="0"/>
        <w:jc w:val="left"/>
        <w:rPr>
          <w:caps w:val="false"/>
          <w:smallCaps w:val="false"/>
        </w:rPr>
      </w:pPr>
      <w:r>
        <w:rPr>
          <w:caps w:val="false"/>
          <w:smallCaps w:val="false"/>
        </w:rPr>
        <w:t> </w:t>
      </w:r>
    </w:p>
    <w:tbl>
      <w:tblPr>
        <w:tblW w:w="10005" w:type="dxa"/>
        <w:jc w:val="center"/>
        <w:tblInd w:w="0" w:type="dxa"/>
        <w:tblLayout w:type="fixed"/>
        <w:tblCellMar>
          <w:top w:w="0" w:type="dxa"/>
          <w:left w:w="0" w:type="dxa"/>
          <w:bottom w:w="0" w:type="dxa"/>
          <w:right w:w="0" w:type="dxa"/>
        </w:tblCellMar>
      </w:tblPr>
      <w:tblGrid>
        <w:gridCol w:w="5480"/>
        <w:gridCol w:w="60"/>
        <w:gridCol w:w="240"/>
        <w:gridCol w:w="1144"/>
        <w:gridCol w:w="92"/>
        <w:gridCol w:w="69"/>
        <w:gridCol w:w="252"/>
        <w:gridCol w:w="1103"/>
        <w:gridCol w:w="92"/>
        <w:gridCol w:w="69"/>
        <w:gridCol w:w="228"/>
        <w:gridCol w:w="1081"/>
        <w:gridCol w:w="95"/>
      </w:tblGrid>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7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WBD</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Reclassification</w:t>
              <w:br/>
              <w:t>Adjustments</w:t>
            </w:r>
          </w:p>
        </w:tc>
        <w:tc>
          <w:tcPr>
            <w:tcW w:w="9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Adjusted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17,610</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revenues, excluding 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9,264</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(9,264</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9,760</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5,039</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Netflix Termination Fee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2,385</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 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sz w:val="20"/>
              </w:rPr>
            </w:pPr>
            <w:r>
              <w:rPr>
                <w:sz w:val="20"/>
              </w:rPr>
              <w:t>Restructuring, transaction-related items and other corporate matters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Impairments and loss on dispositions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19,842</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(2,232</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from equity investees,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items,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(3,391</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from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earnings of investee companies,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(2,744</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available to Warner Bros. Discovery,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(2,767</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3"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13</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9983" w:type="dxa"/>
        <w:jc w:val="center"/>
        <w:tblInd w:w="0" w:type="dxa"/>
        <w:tblLayout w:type="fixed"/>
        <w:tblCellMar>
          <w:top w:w="0" w:type="dxa"/>
          <w:left w:w="0" w:type="dxa"/>
          <w:bottom w:w="0" w:type="dxa"/>
          <w:right w:w="0" w:type="dxa"/>
        </w:tblCellMar>
      </w:tblPr>
      <w:tblGrid>
        <w:gridCol w:w="5480"/>
        <w:gridCol w:w="60"/>
        <w:gridCol w:w="240"/>
        <w:gridCol w:w="1144"/>
        <w:gridCol w:w="86"/>
        <w:gridCol w:w="64"/>
        <w:gridCol w:w="218"/>
        <w:gridCol w:w="1137"/>
        <w:gridCol w:w="86"/>
        <w:gridCol w:w="64"/>
        <w:gridCol w:w="228"/>
        <w:gridCol w:w="1081"/>
        <w:gridCol w:w="95"/>
      </w:tblGrid>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WBD</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Reclassification</w:t>
              <w:br/>
              <w:t>Adjustments</w:t>
            </w:r>
          </w:p>
        </w:tc>
        <w:tc>
          <w:tcPr>
            <w:tcW w:w="8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Adjusted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37,296</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revenues, excluding 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20,885</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(20,885</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21,853</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9,418</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(1,134</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5,684</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sz w:val="20"/>
              </w:rPr>
            </w:pPr>
            <w:r>
              <w:rPr>
                <w:sz w:val="20"/>
              </w:rPr>
              <w:t>Restructuring, transaction-related items and other corporate matters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Impairments and loss on dispositions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36,558</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(2,085</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from investment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2,945</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equity investees,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items,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1,639</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loss of investee companies, net of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redeemable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Warner Bros. Discovery,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7"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PRELIMINARY PURCHASE PRICE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Estimated Total Aggregate Acquisition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WBD Merger Agreement, on the Acquisition closing date, all of WBD’s outstanding common shares will be converted into the right to receive $31.00 per share, plus the applicable Ticking Consideration, which for the purposes of preparing these pro forma financial statements has been calculated based on an assumed Acquisition closing date of 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14</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preliminary purchase consideration is calculated as follows:</w:t>
      </w:r>
    </w:p>
    <w:p>
      <w:pPr>
        <w:pStyle w:val="TextBody"/>
        <w:bidi w:val="0"/>
        <w:spacing w:before="0" w:after="0"/>
        <w:ind w:left="0" w:right="0" w:hanging="0"/>
        <w:jc w:val="left"/>
        <w:rPr>
          <w:caps w:val="false"/>
          <w:smallCaps w:val="false"/>
        </w:rPr>
      </w:pPr>
      <w:r>
        <w:rPr>
          <w:caps w:val="false"/>
          <w:smallCaps w:val="false"/>
        </w:rPr>
        <w:t> </w:t>
      </w:r>
    </w:p>
    <w:tbl>
      <w:tblPr>
        <w:tblW w:w="7860" w:type="dxa"/>
        <w:jc w:val="left"/>
        <w:tblInd w:w="0" w:type="dxa"/>
        <w:tblLayout w:type="fixed"/>
        <w:tblCellMar>
          <w:top w:w="0" w:type="dxa"/>
          <w:left w:w="0" w:type="dxa"/>
          <w:bottom w:w="0" w:type="dxa"/>
          <w:right w:w="0" w:type="dxa"/>
        </w:tblCellMar>
      </w:tblPr>
      <w:tblGrid>
        <w:gridCol w:w="7010"/>
        <w:gridCol w:w="60"/>
        <w:gridCol w:w="125"/>
        <w:gridCol w:w="590"/>
        <w:gridCol w:w="75"/>
      </w:tblGrid>
      <w:tr>
        <w:trPr/>
        <w:tc>
          <w:tcPr>
            <w:tcW w:w="7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Purchase Consideration (in millions except per share amounts)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stock outstanding </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share cash purchase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to WBD’s shareholders before Ticking Consideration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Ticking Consideration paid to WBD’s shareholders </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paid to WBD’s shareholders inclusive of Ticking Consideration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77,990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 Cash paid related to pre-combination portion of replacement awards </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 Settlement of indebtedness </w:t>
            </w:r>
            <w:r>
              <w:rPr>
                <w:rFonts w:ascii="Times New Roman;Times;Serif" w:hAnsi="Times New Roman;Times;Serif"/>
                <w:b w:val="false"/>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14,708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consideration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 Netflix termination fee </w:t>
            </w:r>
            <w:r>
              <w:rPr>
                <w:rFonts w:ascii="Times New Roman;Times;Serif" w:hAnsi="Times New Roman;Times;Serif"/>
                <w:b w:val="false"/>
                <w:i w:val="false"/>
                <w:caps w:val="false"/>
                <w:smallCaps w:val="false"/>
                <w:position w:val="7"/>
                <w:sz w:val="16"/>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 Liabilities assumed related to pre-combination portion of replacement awards </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 Settlement of pre-existing relationships </w:t>
            </w:r>
            <w:r>
              <w:rPr>
                <w:rFonts w:ascii="Times New Roman;Times;Serif" w:hAnsi="Times New Roman;Times;Serif"/>
                <w:b w:val="false"/>
                <w:i w:val="false"/>
                <w:caps w:val="false"/>
                <w:smallCaps w:val="false"/>
                <w:position w:val="7"/>
                <w:sz w:val="16"/>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preliminary purchase consideration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97,186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283"/>
              <w:jc w:val="both"/>
              <w:rPr/>
            </w:pPr>
            <w:r>
              <w:rPr/>
              <w:t>The amount of estimated shares of WBD Common Stock is based on 2,510,703,314 shares of WBD Common Stock issued and outstanding as of July 23, 2026, per WBD’s Quarterly Report on Form 10-Q for the quarterly period ended June 30, 2026, as filed with the SEC on August 6, 2026, adjusted for 3,737,162 WBD PRSUs that were vested, but not distributed at that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(2)</w:t>
            </w:r>
          </w:p>
        </w:tc>
        <w:tc>
          <w:tcPr>
            <w:tcW w:w="9919" w:type="dxa"/>
            <w:tcBorders/>
            <w:vAlign w:val="center"/>
          </w:tcPr>
          <w:p>
            <w:pPr>
              <w:pStyle w:val="TableContents"/>
              <w:bidi w:val="0"/>
              <w:spacing w:before="0" w:after="283"/>
              <w:jc w:val="both"/>
              <w:rPr/>
            </w:pPr>
            <w:r>
              <w:rPr/>
              <w:t>Reflects $42 million of estimated Ticking Consideration paid to holders of outstanding WBD Common Stock under the terms of the WBD Merger Agreement, assuming an Acquisition closing date of October 6,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(3)</w:t>
            </w:r>
          </w:p>
        </w:tc>
        <w:tc>
          <w:tcPr>
            <w:tcW w:w="9942" w:type="dxa"/>
            <w:tcBorders/>
            <w:vAlign w:val="center"/>
          </w:tcPr>
          <w:p>
            <w:pPr>
              <w:pStyle w:val="TableContents"/>
              <w:bidi w:val="0"/>
              <w:spacing w:before="0" w:after="283"/>
              <w:jc w:val="both"/>
              <w:rPr/>
            </w:pPr>
            <w:r>
              <w:rPr/>
              <w:t>Reflects $1.1 billion in estimated cash payments to holders of vested WBD stock options, RSUs, and PRSUs, and $614 million in estimated liabilities related to holders of unvested WBD stock options, RSUs, and PRSUs that will be converted into the contingent right to receive cash-based awards of Paramount, with $560 million recorded within “Other current liabilities” and $54 million within “Other liabilities” on the unaudited pro forma Condensed Combined Balance Sheet. Such estimated cash payments and estimated liabilities each include $1 million of Ticking Consideration assuming an Acquisition closing date of October 6,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(4)</w:t>
            </w:r>
          </w:p>
        </w:tc>
        <w:tc>
          <w:tcPr>
            <w:tcW w:w="9932" w:type="dxa"/>
            <w:tcBorders/>
            <w:vAlign w:val="center"/>
          </w:tcPr>
          <w:p>
            <w:pPr>
              <w:pStyle w:val="TableContents"/>
              <w:bidi w:val="0"/>
              <w:spacing w:before="0" w:after="283"/>
              <w:jc w:val="both"/>
              <w:rPr/>
            </w:pPr>
            <w:r>
              <w:rPr/>
              <w:t>Reflects the settlement of the amounts outstanding at June 30, 2026 on the $13.0 billion WBD Dollar Term Loans and €1.7 billion WBD Euro Term Loans totaling $14.7 billion. The adjustment to remove the $14.7 billion in term loans from the unaudited pro forma Condensed Combined Balance Sheet is reflected net of deferred issuance costs of $0.2 billion.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(5)</w:t>
            </w:r>
          </w:p>
        </w:tc>
        <w:tc>
          <w:tcPr>
            <w:tcW w:w="9943" w:type="dxa"/>
            <w:tcBorders/>
            <w:vAlign w:val="center"/>
          </w:tcPr>
          <w:p>
            <w:pPr>
              <w:pStyle w:val="TableContents"/>
              <w:bidi w:val="0"/>
              <w:spacing w:before="0" w:after="283"/>
              <w:jc w:val="both"/>
              <w:rPr/>
            </w:pPr>
            <w:r>
              <w:rPr/>
              <w:t>The $2.8 billion termination fee paid to Netflix by Paramount, on behalf of WBD, in connection with the execution of the WBD Merger Agreement has been treated as purchase consideration. Accordingly, pro forma adjustments have been recorded to the unaudited pro forma Condensed Combined Balance Sheet to (i) eliminate Paramount’s prepaid asset related to the termination fee and (ii) remove WBD’s accrued liability associated with the obligation. In addition, an adjustment has been recorded to the unaudited pro forma Condensed Combined Statement of Operations for the six months ended June 30, 2026 to eliminate the expense recognized by WBD in its historical financial statements related to the termination fee.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(6)</w:t>
            </w:r>
          </w:p>
        </w:tc>
        <w:tc>
          <w:tcPr>
            <w:tcW w:w="9923" w:type="dxa"/>
            <w:tcBorders/>
            <w:vAlign w:val="center"/>
          </w:tcPr>
          <w:p>
            <w:pPr>
              <w:pStyle w:val="TableContents"/>
              <w:bidi w:val="0"/>
              <w:spacing w:before="0" w:after="283"/>
              <w:jc w:val="both"/>
              <w:rPr/>
            </w:pPr>
            <w:r>
              <w:rPr/>
              <w:t>Settlement of pre-existing relationships are comprised of receivables due from WBD of approximately $222 million and payables due to WBD and accrued programming liabilities related to WBD, of $41 million and $181 million,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15</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t>The accounting for the Acquisition, including the preliminary purchase consideration, is based on provisional amounts, and the associated purchase accounting is not final. The preliminary allocation of the purchase price to the acquired assets and assumed liabilities is based upon a preliminary estimate of fair values, which leveraged publicly available benchmarking information as well as a variety of other assumptions Paramount believes are reasonable under the circumstances. Actual results may differ materially from the assumptions within the unaudited pro forma condensed combined financial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preliminary purchase price allocation as of the date of the Acquisition, including the effects of intercompany eliminations which are reflected in Note 4:</w:t>
      </w:r>
    </w:p>
    <w:p>
      <w:pPr>
        <w:pStyle w:val="TextBody"/>
        <w:bidi w:val="0"/>
        <w:spacing w:before="0" w:after="0"/>
        <w:ind w:left="0" w:right="0" w:hanging="0"/>
        <w:jc w:val="left"/>
        <w:rPr>
          <w:caps w:val="false"/>
          <w:smallCaps w:val="false"/>
        </w:rPr>
      </w:pPr>
      <w:r>
        <w:rPr>
          <w:caps w:val="false"/>
          <w:smallCaps w:val="false"/>
        </w:rPr>
        <w:t> </w:t>
      </w:r>
    </w:p>
    <w:tbl>
      <w:tblPr>
        <w:tblW w:w="4824" w:type="dxa"/>
        <w:jc w:val="center"/>
        <w:tblInd w:w="0" w:type="dxa"/>
        <w:tblLayout w:type="fixed"/>
        <w:tblCellMar>
          <w:top w:w="0" w:type="dxa"/>
          <w:left w:w="0" w:type="dxa"/>
          <w:bottom w:w="28" w:type="dxa"/>
          <w:right w:w="0" w:type="dxa"/>
        </w:tblCellMar>
      </w:tblPr>
      <w:tblGrid>
        <w:gridCol w:w="3755"/>
        <w:gridCol w:w="60"/>
        <w:gridCol w:w="142"/>
        <w:gridCol w:w="792"/>
        <w:gridCol w:w="75"/>
      </w:tblGrid>
      <w:tr>
        <w:trPr/>
        <w:tc>
          <w:tcPr>
            <w:tcW w:w="375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Purchase Price Allocation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net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and other inventory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24,570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55,288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40,099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 acquired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2"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bottom w:val="double" w:sz="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145,627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79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share and royalties payable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programming and production costs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13,364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obligations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and postretirement benefit obligation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assumed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2"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bottom w:val="double" w:sz="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47,284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79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 interests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preliminary purchase consideration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2"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bottom w:val="double" w:sz="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97,186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(1)</w:t>
            </w:r>
          </w:p>
        </w:tc>
        <w:tc>
          <w:tcPr>
            <w:tcW w:w="9916" w:type="dxa"/>
            <w:tcBorders/>
            <w:vAlign w:val="center"/>
          </w:tcPr>
          <w:p>
            <w:pPr>
              <w:pStyle w:val="TableContents"/>
              <w:bidi w:val="0"/>
              <w:spacing w:before="0" w:after="283"/>
              <w:jc w:val="both"/>
              <w:rPr/>
            </w:pPr>
            <w:r>
              <w:rPr/>
              <w:t>Goodwill represents the difference between the total preliminary purchase consideration and the estimated fair value of WBD’s net assets based on the preliminary fair value estimates assumed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16</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WARNER BROS. DISCOVERY TRANSACTION ACCOUNTING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Balance Sheet Pro Forma Adjustments</w:t>
      </w:r>
    </w:p>
    <w:p>
      <w:pPr>
        <w:pStyle w:val="TextBody"/>
        <w:bidi w:val="0"/>
        <w:spacing w:before="0" w:after="0"/>
        <w:ind w:left="0" w:right="0" w:hanging="0"/>
        <w:jc w:val="left"/>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635"/>
        <w:gridCol w:w="60"/>
        <w:gridCol w:w="170"/>
        <w:gridCol w:w="885"/>
        <w:gridCol w:w="81"/>
        <w:gridCol w:w="1077"/>
        <w:gridCol w:w="61"/>
        <w:gridCol w:w="332"/>
        <w:gridCol w:w="1052"/>
        <w:gridCol w:w="81"/>
        <w:gridCol w:w="234"/>
        <w:gridCol w:w="127"/>
        <w:gridCol w:w="663"/>
        <w:gridCol w:w="9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63" w:type="dxa"/>
            <w:gridSpan w:val="11"/>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63" w:type="dxa"/>
            <w:gridSpan w:val="11"/>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Transaction Accounting Adjustments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br/>
              <w:t>Adjustments</w:t>
            </w:r>
          </w:p>
        </w:tc>
        <w:tc>
          <w:tcPr>
            <w:tcW w:w="1158"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Intercompany</w:t>
              <w:br/>
              <w:t xml:space="preserve">Transactions </w:t>
            </w:r>
            <w:r>
              <w:rPr>
                <w:rFonts w:ascii="Times New Roman;Times;Serif" w:hAnsi="Times New Roman;Times;Serif"/>
                <w:b/>
                <w:i w:val="false"/>
                <w:caps w:val="false"/>
                <w:smallCaps w:val="false"/>
                <w:position w:val="7"/>
                <w:sz w:val="16"/>
                <w:sz w:val="20"/>
              </w:rPr>
              <w:t>(7)</w:t>
            </w:r>
          </w:p>
        </w:tc>
        <w:tc>
          <w:tcPr>
            <w:tcW w:w="81" w:type="dxa"/>
            <w:tcBorders/>
            <w:vAlign w:val="center"/>
          </w:tcPr>
          <w:p>
            <w:pPr>
              <w:pStyle w:val="TableContents"/>
              <w:bidi w:val="0"/>
              <w:spacing w:before="0" w:after="283"/>
              <w:jc w:val="center"/>
              <w:rPr>
                <w:caps w:val="false"/>
                <w:smallCaps w:val="false"/>
              </w:rPr>
            </w:pPr>
            <w:r>
              <w:rPr>
                <w:caps w:val="false"/>
                <w:smallCaps w:val="false"/>
              </w:rPr>
              <w:t> </w:t>
            </w:r>
          </w:p>
        </w:tc>
        <w:tc>
          <w:tcPr>
            <w:tcW w:w="234"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055" w:type="dxa"/>
            <w:gridSpan w:val="2"/>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84" w:type="dxa"/>
            <w:gridSpan w:val="2"/>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79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(97,672</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 8d</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(97,672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2,986</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3a(6), 8d</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4" w:type="dxa"/>
            <w:tcBorders/>
            <w:shd w:fill="FFFFFF" w:val="cle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(94,686</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4" w:type="dxa"/>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(94,909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and other 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4,979</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4i</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4"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4g</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29,405</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4a</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14,177</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4b</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4k</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consideration for WBD acquisition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3a(5)</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4h, 8d</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(48,123</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2"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4" w:type="dxa"/>
            <w:tcBorders/>
            <w:shd w:fill="FFFFFF" w:val="clear"/>
            <w:vAlign w:val="center"/>
          </w:tcPr>
          <w:p>
            <w:pPr>
              <w:pStyle w:val="TableContents"/>
              <w:bidi w:val="0"/>
              <w:spacing w:before="0" w:after="283"/>
              <w:jc w:val="left"/>
              <w:rPr/>
            </w:pPr>
            <w:r>
              <w:rPr/>
              <w:t> </w:t>
            </w:r>
          </w:p>
        </w:tc>
        <w:tc>
          <w:tcPr>
            <w:tcW w:w="127"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3"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(48,445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3a(6)</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4"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(2,464</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3a(5), 8a, 8d</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programming and production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3a(6)</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4"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3a(3)</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(2,126</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4" w:type="dxa"/>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(18,659</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4c</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(18,659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5,796</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9a</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9a</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3a(3)</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4f</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(56,022</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4f</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(56,022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8,244</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4f</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13,929</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4f, 8b, 8d</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4f</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(33,188</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(33,188</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(48,123</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doub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2"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4" w:type="dxa"/>
            <w:tcBorders/>
            <w:shd w:fill="CCEEFF" w:val="clear"/>
            <w:vAlign w:val="center"/>
          </w:tcPr>
          <w:p>
            <w:pPr>
              <w:pStyle w:val="TableContents"/>
              <w:bidi w:val="0"/>
              <w:spacing w:before="0" w:after="283"/>
              <w:jc w:val="left"/>
              <w:rPr/>
            </w:pPr>
            <w:r>
              <w:rPr/>
              <w:t> </w:t>
            </w:r>
          </w:p>
        </w:tc>
        <w:tc>
          <w:tcPr>
            <w:tcW w:w="127" w:type="dxa"/>
            <w:tcBorders>
              <w:bottom w:val="doub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3"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(48,445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17</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Statements of Operations Pro Forma Adjustments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20"/>
        <w:gridCol w:w="60"/>
        <w:gridCol w:w="196"/>
        <w:gridCol w:w="859"/>
        <w:gridCol w:w="90"/>
        <w:gridCol w:w="780"/>
        <w:gridCol w:w="67"/>
        <w:gridCol w:w="322"/>
        <w:gridCol w:w="1020"/>
        <w:gridCol w:w="90"/>
        <w:gridCol w:w="243"/>
        <w:gridCol w:w="141"/>
        <w:gridCol w:w="617"/>
        <w:gridCol w:w="100"/>
      </w:tblGrid>
      <w:tr>
        <w:trPr/>
        <w:tc>
          <w:tcPr>
            <w:tcW w:w="5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25" w:type="dxa"/>
            <w:gridSpan w:val="11"/>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25" w:type="dxa"/>
            <w:gridSpan w:val="11"/>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Transaction Accounting Adjustments</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br/>
              <w:t>Adjustments</w:t>
            </w:r>
          </w:p>
        </w:tc>
        <w:tc>
          <w:tcPr>
            <w:tcW w:w="87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13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Intercompany </w:t>
              <w:br/>
              <w:t xml:space="preserve">Transactions </w:t>
            </w:r>
            <w:r>
              <w:rPr>
                <w:rFonts w:ascii="Times New Roman;Times;Serif" w:hAnsi="Times New Roman;Times;Serif"/>
                <w:b/>
                <w:i w:val="false"/>
                <w:caps w:val="false"/>
                <w:smallCaps w:val="false"/>
                <w:position w:val="7"/>
                <w:sz w:val="16"/>
                <w:sz w:val="20"/>
              </w:rPr>
              <w:t>(7)</w:t>
            </w:r>
          </w:p>
        </w:tc>
        <w:tc>
          <w:tcPr>
            <w:tcW w:w="333"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3"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5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4j</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3"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4k, 8c, 8d</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3"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Netflix Termination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3a(5)</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4d</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1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Restructuring, transaction-related items and </w:t>
              <w:br/>
              <w:t>other corporate matters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(1,284</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3"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(1,535</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5f</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w:t>
            </w:r>
          </w:p>
        </w:tc>
        <w:tc>
          <w:tcPr>
            <w:tcW w:w="1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 before income taxes and equity in (loss) earnings of investee companies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1,831</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9c</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3"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9c</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attributable to Paramount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2,053</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pPr>
            <w:r>
              <w:rPr/>
              <w:t> </w:t>
            </w:r>
          </w:p>
        </w:tc>
        <w:tc>
          <w:tcPr>
            <w:tcW w:w="141"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7"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8966" w:type="dxa"/>
        <w:jc w:val="left"/>
        <w:tblInd w:w="0" w:type="dxa"/>
        <w:tblLayout w:type="fixed"/>
        <w:tblCellMar>
          <w:top w:w="0" w:type="dxa"/>
          <w:left w:w="0" w:type="dxa"/>
          <w:bottom w:w="0" w:type="dxa"/>
          <w:right w:w="0" w:type="dxa"/>
        </w:tblCellMar>
      </w:tblPr>
      <w:tblGrid>
        <w:gridCol w:w="4085"/>
        <w:gridCol w:w="60"/>
        <w:gridCol w:w="204"/>
        <w:gridCol w:w="895"/>
        <w:gridCol w:w="94"/>
        <w:gridCol w:w="943"/>
        <w:gridCol w:w="70"/>
        <w:gridCol w:w="332"/>
        <w:gridCol w:w="1052"/>
        <w:gridCol w:w="94"/>
        <w:gridCol w:w="253"/>
        <w:gridCol w:w="147"/>
        <w:gridCol w:w="642"/>
        <w:gridCol w:w="95"/>
      </w:tblGrid>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26" w:type="dxa"/>
            <w:gridSpan w:val="11"/>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26" w:type="dxa"/>
            <w:gridSpan w:val="11"/>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Transaction Accounting Adjustments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Transaction </w:t>
              <w:br/>
              <w:t>Accounting</w:t>
              <w:br/>
              <w:t>Adjustments</w:t>
            </w:r>
          </w:p>
        </w:tc>
        <w:tc>
          <w:tcPr>
            <w:tcW w:w="1037"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Intercompany</w:t>
              <w:br/>
              <w:t xml:space="preserve">Transactions </w:t>
            </w:r>
            <w:r>
              <w:rPr>
                <w:rFonts w:ascii="Times New Roman;Times;Serif" w:hAnsi="Times New Roman;Times;Serif"/>
                <w:b/>
                <w:i w:val="false"/>
                <w:caps w:val="false"/>
                <w:smallCaps w:val="false"/>
                <w:position w:val="7"/>
                <w:sz w:val="16"/>
                <w:sz w:val="20"/>
              </w:rPr>
              <w:t>(7)</w:t>
            </w:r>
          </w:p>
        </w:tc>
        <w:tc>
          <w:tcPr>
            <w:tcW w:w="347"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3"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4j</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3"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4k, 8c, 8d</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3"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4d</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Restructuring, transaction-related items and other </w:t>
              <w:br/>
              <w:t>corporate matters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8a</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righ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3,198</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3"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(3,198</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5f</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3" w:type="dxa"/>
            <w:tcBorders/>
            <w:shd w:fill="CCEEFF" w:val="clear"/>
            <w:vAlign w:val="center"/>
          </w:tcPr>
          <w:p>
            <w:pPr>
              <w:pStyle w:val="TableContents"/>
              <w:bidi w:val="0"/>
              <w:spacing w:before="0" w:after="283"/>
              <w:jc w:val="righ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Earnings (loss) before income taxes and equity in </w:t>
              <w:br/>
              <w:t>loss of investee companies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(2,305</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9c</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3"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9c</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(1,854</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righ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attributable to Paramount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(1,854</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doub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2"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right"/>
              <w:rPr/>
            </w:pPr>
            <w:r>
              <w:rPr/>
              <w:t> </w:t>
            </w:r>
          </w:p>
        </w:tc>
        <w:tc>
          <w:tcPr>
            <w:tcW w:w="147" w:type="dxa"/>
            <w:tcBorders>
              <w:bottom w:val="doub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2"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18</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4"/>
        <w:gridCol w:w="9783"/>
      </w:tblGrid>
      <w:tr>
        <w:trPr/>
        <w:tc>
          <w:tcPr>
            <w:tcW w:w="3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(4a)</w:t>
            </w:r>
          </w:p>
        </w:tc>
        <w:tc>
          <w:tcPr>
            <w:tcW w:w="9783" w:type="dxa"/>
            <w:tcBorders/>
            <w:vAlign w:val="center"/>
          </w:tcPr>
          <w:p>
            <w:pPr>
              <w:pStyle w:val="TableContents"/>
              <w:bidi w:val="0"/>
              <w:spacing w:before="0" w:after="283"/>
              <w:jc w:val="both"/>
              <w:rPr/>
            </w:pPr>
            <w:r>
              <w:rPr/>
              <w:t>Reflects the following adjustments to goodwill related to the Acquisition and elimination of intercompany transactions:</w:t>
            </w:r>
          </w:p>
        </w:tc>
      </w:tr>
    </w:tbl>
    <w:p>
      <w:pPr>
        <w:pStyle w:val="TextBody"/>
        <w:bidi w:val="0"/>
        <w:spacing w:before="0" w:after="0"/>
        <w:ind w:left="0" w:right="0" w:hanging="0"/>
        <w:jc w:val="left"/>
        <w:rPr>
          <w:caps w:val="false"/>
          <w:smallCaps w:val="false"/>
        </w:rPr>
      </w:pPr>
      <w:r>
        <w:rPr>
          <w:caps w:val="false"/>
          <w:smallCaps w:val="false"/>
        </w:rPr>
        <w:t> </w:t>
      </w:r>
    </w:p>
    <w:tbl>
      <w:tblPr>
        <w:tblW w:w="8360" w:type="dxa"/>
        <w:jc w:val="center"/>
        <w:tblInd w:w="0" w:type="dxa"/>
        <w:tblLayout w:type="fixed"/>
        <w:tblCellMar>
          <w:top w:w="0" w:type="dxa"/>
          <w:left w:w="0" w:type="dxa"/>
          <w:bottom w:w="0" w:type="dxa"/>
          <w:right w:w="0" w:type="dxa"/>
        </w:tblCellMar>
      </w:tblPr>
      <w:tblGrid>
        <w:gridCol w:w="6425"/>
        <w:gridCol w:w="60"/>
        <w:gridCol w:w="158"/>
        <w:gridCol w:w="822"/>
        <w:gridCol w:w="80"/>
        <w:gridCol w:w="60"/>
        <w:gridCol w:w="755"/>
      </w:tblGrid>
      <w:tr>
        <w:trPr/>
        <w:tc>
          <w:tcPr>
            <w:tcW w:w="6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Adjustment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Reversal of historical WBD 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(4f)</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purchase consideration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(3a)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WBD historical liability for Netflix Termination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(3a(5))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WBD Term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(5b)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preliminary fair value adjustment to acquired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(4b)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preliminary fair value adjustment to assumed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(4c)</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preliminary fair value adjustment to acquired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(4g)</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preliminary fair value adjustment to acquired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(4h)</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preliminary fair value adjustment to acquired programming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(4i)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preliminary fair value adjustment to acquired leases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(4k)</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effects of Acquisition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(4e), (9a)</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Reversal of historical WBD equity, net of historical goodwill reversal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(4f)</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accounting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intercompany transactions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pro forma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2"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2"/>
        <w:gridCol w:w="9815"/>
      </w:tblGrid>
      <w:tr>
        <w:trPr/>
        <w:tc>
          <w:tcPr>
            <w:tcW w:w="3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pPr>
            <w:r>
              <w:rPr/>
              <w:t>(4b)</w:t>
            </w:r>
          </w:p>
        </w:tc>
        <w:tc>
          <w:tcPr>
            <w:tcW w:w="9815" w:type="dxa"/>
            <w:tcBorders/>
            <w:vAlign w:val="center"/>
          </w:tcPr>
          <w:p>
            <w:pPr>
              <w:pStyle w:val="TableContents"/>
              <w:bidi w:val="0"/>
              <w:spacing w:before="0" w:after="283"/>
              <w:jc w:val="both"/>
              <w:rPr/>
            </w:pPr>
            <w:r>
              <w:rPr/>
              <w:t>The pro forma adjustment reflects the estimated incremental fair value of WBD’s intangible assets of $14.2 billion. Estimated amortization of the intangible assets is recognized on a straight-line basis over their respective estimated useful lives. The estimated amortization period, estimated fair values, and related pro forma adjustments for the incremental amortization expense are presented in the table below.</w:t>
            </w:r>
          </w:p>
        </w:tc>
      </w:tr>
    </w:tbl>
    <w:p>
      <w:pPr>
        <w:pStyle w:val="TextBody"/>
        <w:bidi w:val="0"/>
        <w:spacing w:before="0" w:after="0"/>
        <w:ind w:left="0" w:right="0" w:hanging="0"/>
        <w:jc w:val="left"/>
        <w:rPr>
          <w:caps w:val="false"/>
          <w:smallCaps w:val="false"/>
        </w:rPr>
      </w:pPr>
      <w:r>
        <w:rPr>
          <w:caps w:val="false"/>
          <w:smallCaps w:val="false"/>
        </w:rPr>
        <w:t> </w:t>
      </w:r>
    </w:p>
    <w:tbl>
      <w:tblPr>
        <w:tblW w:w="8618" w:type="dxa"/>
        <w:jc w:val="left"/>
        <w:tblInd w:w="0" w:type="dxa"/>
        <w:tblLayout w:type="fixed"/>
        <w:tblCellMar>
          <w:top w:w="0" w:type="dxa"/>
          <w:left w:w="0" w:type="dxa"/>
          <w:bottom w:w="0" w:type="dxa"/>
          <w:right w:w="0" w:type="dxa"/>
        </w:tblCellMar>
      </w:tblPr>
      <w:tblGrid>
        <w:gridCol w:w="2990"/>
        <w:gridCol w:w="60"/>
        <w:gridCol w:w="1775"/>
        <w:gridCol w:w="60"/>
        <w:gridCol w:w="163"/>
        <w:gridCol w:w="771"/>
        <w:gridCol w:w="60"/>
        <w:gridCol w:w="60"/>
        <w:gridCol w:w="267"/>
        <w:gridCol w:w="1042"/>
        <w:gridCol w:w="60"/>
        <w:gridCol w:w="60"/>
        <w:gridCol w:w="240"/>
        <w:gridCol w:w="935"/>
        <w:gridCol w:w="7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Straight-Line </w:t>
              <w:br/>
              <w:t>Amortization Period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w:t>
              <w:br/>
              <w:t>Ended June 30,</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br/>
              <w:t>December 31,</w:t>
              <w:b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10 - 15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Franchises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Character rights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 relationships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5 - 13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Subscriber relationships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Advertisers (relationship &amp; backlog)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historical amortization</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adjustment</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2"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5"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 of acquired intangibles was determined as outlined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Symbol" w:hAnsi="Symbol"/>
              </w:rPr>
            </w:pPr>
            <w:r>
              <w:rPr>
                <w:rFonts w:ascii="Symbol" w:hAnsi="Symbol"/>
              </w:rPr>
              <w:t>·</w:t>
            </w:r>
          </w:p>
        </w:tc>
        <w:tc>
          <w:tcPr>
            <w:tcW w:w="10028" w:type="dxa"/>
            <w:tcBorders/>
            <w:vAlign w:val="center"/>
          </w:tcPr>
          <w:p>
            <w:pPr>
              <w:pStyle w:val="TableContents"/>
              <w:bidi w:val="0"/>
              <w:spacing w:before="0" w:after="283"/>
              <w:jc w:val="both"/>
              <w:rPr/>
            </w:pPr>
            <w:r>
              <w:rPr/>
              <w:t>The estimated value of franchises was determined using the multi-period excess earnings method.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estimated value of affiliate relationships was determined using the multi-period excess earnings method.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Symbol" w:hAnsi="Symbol"/>
              </w:rPr>
            </w:pPr>
            <w:r>
              <w:rPr>
                <w:rFonts w:ascii="Symbol" w:hAnsi="Symbol"/>
              </w:rPr>
              <w:t>·</w:t>
            </w:r>
          </w:p>
        </w:tc>
        <w:tc>
          <w:tcPr>
            <w:tcW w:w="10007" w:type="dxa"/>
            <w:tcBorders/>
            <w:vAlign w:val="center"/>
          </w:tcPr>
          <w:p>
            <w:pPr>
              <w:pStyle w:val="TableContents"/>
              <w:bidi w:val="0"/>
              <w:spacing w:before="0" w:after="283"/>
              <w:jc w:val="both"/>
              <w:rPr/>
            </w:pPr>
            <w:r>
              <w:rPr/>
              <w:t>The estimated value of developed technology was determined using the cost approach.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29"/>
        <w:gridCol w:w="10037"/>
      </w:tblGrid>
      <w:tr>
        <w:trPr/>
        <w:tc>
          <w:tcPr>
            <w:tcW w:w="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7" w:type="dxa"/>
            <w:tcBorders/>
            <w:vAlign w:val="center"/>
          </w:tcPr>
          <w:p>
            <w:pPr>
              <w:pStyle w:val="TableContents"/>
              <w:bidi w:val="0"/>
              <w:spacing w:before="0" w:after="283"/>
              <w:jc w:val="both"/>
              <w:rPr/>
            </w:pPr>
            <w:r>
              <w:rPr/>
              <w:t>The estimated value of character rights was determined using the multi-period excess earnings method.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48"/>
        <w:gridCol w:w="10012"/>
      </w:tblGrid>
      <w:tr>
        <w:trPr/>
        <w:tc>
          <w:tcPr>
            <w:tcW w:w="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rPr>
            </w:pPr>
            <w:r>
              <w:rPr>
                <w:rFonts w:ascii="Symbol" w:hAnsi="Symbol"/>
              </w:rPr>
              <w:t>·</w:t>
            </w:r>
          </w:p>
        </w:tc>
        <w:tc>
          <w:tcPr>
            <w:tcW w:w="10012" w:type="dxa"/>
            <w:tcBorders/>
            <w:vAlign w:val="center"/>
          </w:tcPr>
          <w:p>
            <w:pPr>
              <w:pStyle w:val="TableContents"/>
              <w:bidi w:val="0"/>
              <w:spacing w:before="0" w:after="283"/>
              <w:jc w:val="both"/>
              <w:rPr/>
            </w:pPr>
            <w:r>
              <w:rPr/>
              <w:t>The estimated value of trade names was determined using the relief from royalty method.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4"/>
        <w:gridCol w:w="10031"/>
      </w:tblGrid>
      <w:tr>
        <w:trPr/>
        <w:tc>
          <w:tcPr>
            <w:tcW w:w="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Symbol" w:hAnsi="Symbol"/>
              </w:rPr>
            </w:pPr>
            <w:r>
              <w:rPr>
                <w:rFonts w:ascii="Symbol" w:hAnsi="Symbol"/>
              </w:rPr>
              <w:t>·</w:t>
            </w:r>
          </w:p>
        </w:tc>
        <w:tc>
          <w:tcPr>
            <w:tcW w:w="10031" w:type="dxa"/>
            <w:tcBorders/>
            <w:vAlign w:val="center"/>
          </w:tcPr>
          <w:p>
            <w:pPr>
              <w:pStyle w:val="TableContents"/>
              <w:bidi w:val="0"/>
              <w:spacing w:before="0" w:after="283"/>
              <w:jc w:val="both"/>
              <w:rPr/>
            </w:pPr>
            <w:r>
              <w:rPr/>
              <w:t>The estimated value of advertiser relationships was determined using the with-and-without method.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50"/>
        <w:gridCol w:w="10010"/>
      </w:tblGrid>
      <w:tr>
        <w:trPr/>
        <w:tc>
          <w:tcPr>
            <w:tcW w:w="4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Symbol" w:hAnsi="Symbol"/>
              </w:rPr>
            </w:pPr>
            <w:r>
              <w:rPr>
                <w:rFonts w:ascii="Symbol" w:hAnsi="Symbol"/>
              </w:rPr>
              <w:t>·</w:t>
            </w:r>
          </w:p>
        </w:tc>
        <w:tc>
          <w:tcPr>
            <w:tcW w:w="10010" w:type="dxa"/>
            <w:tcBorders/>
            <w:vAlign w:val="center"/>
          </w:tcPr>
          <w:p>
            <w:pPr>
              <w:pStyle w:val="TableContents"/>
              <w:bidi w:val="0"/>
              <w:spacing w:before="0" w:after="283"/>
              <w:jc w:val="both"/>
              <w:rPr/>
            </w:pPr>
            <w:r>
              <w:rPr/>
              <w:t>The estimated value of subscriber relationships was determined using the cost approach.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19</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5"/>
        <w:gridCol w:w="9822"/>
      </w:tblGrid>
      <w:tr>
        <w:trPr/>
        <w:tc>
          <w:tcPr>
            <w:tcW w:w="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(4c)</w:t>
            </w:r>
          </w:p>
        </w:tc>
        <w:tc>
          <w:tcPr>
            <w:tcW w:w="9822" w:type="dxa"/>
            <w:tcBorders/>
            <w:vAlign w:val="center"/>
          </w:tcPr>
          <w:p>
            <w:pPr>
              <w:pStyle w:val="TableContents"/>
              <w:bidi w:val="0"/>
              <w:spacing w:before="0" w:after="283"/>
              <w:jc w:val="both"/>
              <w:rPr/>
            </w:pPr>
            <w:r>
              <w:rPr/>
              <w:t>Adjustment includes the fair market value step down of outstanding debt of $4.2 billion and the settlement of WBD’s existing $14.7 billion WBD Term Loans net of $241 million in remaining deferred issuance costs related to the WBD Term Loans, which is described further in Note 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(4d)</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 forma adjustments to “Depreciation and amortization” on the unaudited pro forma Condensed Combined Statements of Operations reflect (i) incremental amortization expense related to the intangible assets of $1,192 million and $1,421 million for the six months ended June 30, 2026 and year ended December 31, 2025, respectively, and (ii) a reduction in depreciation expense related to property and equipment of $75 million and $120 million for the six months ended June 30, 2026 and year ended December 31, 2025, respectively. A 10% change in the valuation of finite-lived intangible assets and property and equipment would result in a corresponding increase or decrease in depreciation and amortization expense of approximately $342 million and $683 million for the six months ended June 30, 2026 and year ended December 31, 2025, respectively, based on the estimated useful lives described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8"/>
        <w:gridCol w:w="9829"/>
      </w:tblGrid>
      <w:tr>
        <w:trPr/>
        <w:tc>
          <w:tcPr>
            <w:tcW w:w="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(4e)</w:t>
            </w:r>
          </w:p>
        </w:tc>
        <w:tc>
          <w:tcPr>
            <w:tcW w:w="9829" w:type="dxa"/>
            <w:tcBorders/>
            <w:vAlign w:val="center"/>
          </w:tcPr>
          <w:p>
            <w:pPr>
              <w:pStyle w:val="TableContents"/>
              <w:bidi w:val="0"/>
              <w:spacing w:before="0" w:after="283"/>
              <w:jc w:val="both"/>
              <w:rPr/>
            </w:pPr>
            <w:r>
              <w:rPr/>
              <w:t>The estimated tax impacts of the pro forma adjustments to adjust WBD’s net assets to preliminary estimates of fair value in the unaudited pro forma Condensed Combined Balance Sheet and the related adjustments in the unaudited pro forma Condensed Combined Statements of Operations are reflected using the estimated statutory tax rates of the combined company. See Note 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0"/>
        <w:gridCol w:w="9857"/>
      </w:tblGrid>
      <w:tr>
        <w:trPr/>
        <w:tc>
          <w:tcPr>
            <w:tcW w:w="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(4f)</w:t>
            </w:r>
          </w:p>
        </w:tc>
        <w:tc>
          <w:tcPr>
            <w:tcW w:w="9857" w:type="dxa"/>
            <w:tcBorders/>
            <w:vAlign w:val="center"/>
          </w:tcPr>
          <w:p>
            <w:pPr>
              <w:pStyle w:val="TableContents"/>
              <w:bidi w:val="0"/>
              <w:spacing w:before="0" w:after="283"/>
              <w:jc w:val="both"/>
              <w:rPr/>
            </w:pPr>
            <w:r>
              <w:rPr/>
              <w:t>The pro forma adjustments reflect the removal of WBD’s historical equity balances, net of the $25.9 billion reversal of historical WBD goodwill, including common stock, additional paid-in-capital, retained earnings, and other components of equity. This reflects the adjustments to remeasure WBD’s net assets at fair value as of the acquisition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0"/>
        <w:gridCol w:w="9807"/>
      </w:tblGrid>
      <w:tr>
        <w:trPr/>
        <w:tc>
          <w:tcPr>
            <w:tcW w:w="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(4g)</w:t>
            </w:r>
          </w:p>
        </w:tc>
        <w:tc>
          <w:tcPr>
            <w:tcW w:w="9807" w:type="dxa"/>
            <w:tcBorders/>
            <w:vAlign w:val="center"/>
          </w:tcPr>
          <w:p>
            <w:pPr>
              <w:pStyle w:val="TableContents"/>
              <w:bidi w:val="0"/>
              <w:spacing w:before="0" w:after="283"/>
              <w:jc w:val="both"/>
              <w:rPr/>
            </w:pPr>
            <w:r>
              <w:rPr/>
              <w:t>The balance sheet pro forma adjustment reflects the estimated fair value step down of WBD’s property and equipment of $0.2 billion. The estimated depreciation period, estimated fair values, and related pro forma adjustments for depreciation expense are presented in the table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7"/>
        <w:gridCol w:w="60"/>
        <w:gridCol w:w="2407"/>
        <w:gridCol w:w="60"/>
        <w:gridCol w:w="171"/>
        <w:gridCol w:w="668"/>
        <w:gridCol w:w="60"/>
        <w:gridCol w:w="60"/>
        <w:gridCol w:w="590"/>
        <w:gridCol w:w="1583"/>
        <w:gridCol w:w="80"/>
        <w:gridCol w:w="60"/>
        <w:gridCol w:w="539"/>
        <w:gridCol w:w="1711"/>
        <w:gridCol w:w="99"/>
      </w:tblGrid>
      <w:tr>
        <w:trPr/>
        <w:tc>
          <w:tcPr>
            <w:tcW w:w="20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07"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Straight-Line Depreciation Period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1 - 27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historical depreciation</w:t>
            </w:r>
          </w:p>
        </w:tc>
        <w:tc>
          <w:tcPr>
            <w:tcW w:w="60" w:type="dxa"/>
            <w:tcBorders/>
            <w:shd w:fill="FFFFFF" w:val="clear"/>
            <w:vAlign w:val="center"/>
          </w:tcPr>
          <w:p>
            <w:pPr>
              <w:pStyle w:val="TableContents"/>
              <w:bidi w:val="0"/>
              <w:spacing w:before="0" w:after="283"/>
              <w:jc w:val="left"/>
              <w:rPr/>
            </w:pPr>
            <w:r>
              <w:rPr/>
              <w:t> </w:t>
            </w:r>
          </w:p>
        </w:tc>
        <w:tc>
          <w:tcPr>
            <w:tcW w:w="24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927</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adjustment</w:t>
            </w:r>
          </w:p>
        </w:tc>
        <w:tc>
          <w:tcPr>
            <w:tcW w:w="60" w:type="dxa"/>
            <w:tcBorders/>
            <w:shd w:fill="CCEEFF" w:val="clear"/>
            <w:vAlign w:val="center"/>
          </w:tcPr>
          <w:p>
            <w:pPr>
              <w:pStyle w:val="TableContents"/>
              <w:bidi w:val="0"/>
              <w:spacing w:before="0" w:after="283"/>
              <w:jc w:val="left"/>
              <w:rPr/>
            </w:pPr>
            <w:r>
              <w:rPr/>
              <w:t> </w:t>
            </w:r>
          </w:p>
        </w:tc>
        <w:tc>
          <w:tcPr>
            <w:tcW w:w="24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83"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bottom w:val="doub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11"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8"/>
        <w:gridCol w:w="9779"/>
      </w:tblGrid>
      <w:tr>
        <w:trPr/>
        <w:tc>
          <w:tcPr>
            <w:tcW w:w="3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pPr>
            <w:r>
              <w:rPr/>
              <w:t>(4h)</w:t>
            </w:r>
          </w:p>
        </w:tc>
        <w:tc>
          <w:tcPr>
            <w:tcW w:w="9779" w:type="dxa"/>
            <w:tcBorders/>
            <w:vAlign w:val="center"/>
          </w:tcPr>
          <w:p>
            <w:pPr>
              <w:pStyle w:val="TableContents"/>
              <w:bidi w:val="0"/>
              <w:spacing w:before="0" w:after="283"/>
              <w:jc w:val="both"/>
              <w:rPr/>
            </w:pPr>
            <w:r>
              <w:rPr/>
              <w:t>The pro forma adjustment reflects the estimated incremental fair value of certain unconsolidated investments held by WBD of $0.3 billion.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(4i)</w:t>
            </w:r>
          </w:p>
        </w:tc>
        <w:tc>
          <w:tcPr>
            <w:tcW w:w="9878" w:type="dxa"/>
            <w:tcBorders/>
            <w:vAlign w:val="center"/>
          </w:tcPr>
          <w:p>
            <w:pPr>
              <w:pStyle w:val="TableContents"/>
              <w:bidi w:val="0"/>
              <w:spacing w:before="0" w:after="283"/>
              <w:jc w:val="both"/>
              <w:rPr/>
            </w:pPr>
            <w:r>
              <w:rPr/>
              <w:t>The pro forma adjustment reflects the estimated incremental fair value of WBD’s programming assets of $5.0 billion. The pro forma adjustment to recognize net incremental content amortization expense has been computed with the assumption that the programming assets will be amortized over their estimated useful lives on a straight-line basis, the revenue forecast model or sum of the years’ digits method, as the Company continues to evaluate the pattern of the economic benefit.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(4j)</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 forma adjustments to “Operating expenses” on the unaudited pro forma Condensed Combined Statements of Operations of $0.5 billion and $1.3 billion for the six months ended June 30, 2026 and year ended December 31, 2025, respectively, reflect the net incremental amortization expense related to the programming assets. A 10% change in the valuation of programming assets would result in a corresponding increase or decrease in expense of approximately $50 million and $130 million for the six months ended June 30, 2026 and year ended December 31,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4"/>
        <w:gridCol w:w="9813"/>
      </w:tblGrid>
      <w:tr>
        <w:trPr/>
        <w:tc>
          <w:tcPr>
            <w:tcW w:w="3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(4k)</w:t>
            </w:r>
          </w:p>
        </w:tc>
        <w:tc>
          <w:tcPr>
            <w:tcW w:w="9813" w:type="dxa"/>
            <w:tcBorders/>
            <w:vAlign w:val="center"/>
          </w:tcPr>
          <w:p>
            <w:pPr>
              <w:pStyle w:val="TableContents"/>
              <w:bidi w:val="0"/>
              <w:spacing w:before="0" w:after="283"/>
              <w:jc w:val="both"/>
              <w:rPr/>
            </w:pPr>
            <w:r>
              <w:rPr/>
              <w:t>The pro forma adjustments reflect an increase to “Operating lease assets” for the fair value adjustment to acquired leases with favorable market conditions of $16 million, and the resulting increase to "Selling, general and administrative expenses" of $1 million and $2 million for the six months ended June 30, 2026 and year ended December 31, 2025,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20</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other assets and liabilities and noncontrolling interests the book value was deemed to approximate fair value, and therefore no fair value adjustments were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FINANCING RELATED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Financing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reflects financing assumptions related to the Acquisition, including the issuance of debt, repayment and refinancing of existing indebtedness. Specifically, these unaudited pro forma condensed combined financial statements assume (i) the issuance of the $2.5 billion Term A-1 Loans and $2.5 billion Term A-2 Loans, (ii) the issuance of permanent financing in the form of $51.9 billion of New Permanent Financing, (iii) the issuance of $12.7 billion of Second Lien Secured Exchange Notes in exchange for certain Exchange Offer WBD Notes pursuant to the Exchange Offers, (assuming 100% participation in Exchange Offers), (iv) the purchase of $2.4 billion of Tender Offer WBD Notes for cash pursuant to the Tender Offers, (assuming 100% participation in Tender Offers), (v) the replacement of the $49.0 billion 364-day Bridge Loan Facility, and (vi) the settlement of WBD’s existing $14.7 billion WBD Term Loans. The pro forma adjustments assume that the Acquisition Financing Transactions will be used to fund the Acquisition and to refinance or replace interim financing arrangements, including the 364-day Bridge Loan Facility. The ultimate aggregate principal amount and form of such indebtedness and the terms to which such indebtedness will be subject are subject to market conditions and final execution, and actual results may differ from those reflected herein. Other than the assumptions relating to the New Permanent Financing, the pro forma adjustments are based on financing commitments that are in place as of the date of this filing and do not reflect the impact of any future refinancings or changes in capital structure that may occur prior to or following the consummation of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Balance Sheet Pro Forma Adjustments</w:t>
      </w:r>
    </w:p>
    <w:p>
      <w:pPr>
        <w:pStyle w:val="TextBody"/>
        <w:bidi w:val="0"/>
        <w:spacing w:before="0" w:after="0"/>
        <w:ind w:left="0" w:right="0" w:hanging="0"/>
        <w:jc w:val="left"/>
        <w:rPr>
          <w:caps w:val="false"/>
          <w:smallCaps w:val="false"/>
        </w:rPr>
      </w:pPr>
      <w:r>
        <w:rPr>
          <w:caps w:val="false"/>
          <w:smallCaps w:val="false"/>
        </w:rPr>
        <w:t> </w:t>
      </w:r>
    </w:p>
    <w:tbl>
      <w:tblPr>
        <w:tblW w:w="8961" w:type="dxa"/>
        <w:jc w:val="left"/>
        <w:tblInd w:w="0" w:type="dxa"/>
        <w:tblLayout w:type="fixed"/>
        <w:tblCellMar>
          <w:top w:w="0" w:type="dxa"/>
          <w:left w:w="0" w:type="dxa"/>
          <w:bottom w:w="0" w:type="dxa"/>
          <w:right w:w="0" w:type="dxa"/>
        </w:tblCellMar>
      </w:tblPr>
      <w:tblGrid>
        <w:gridCol w:w="3110"/>
        <w:gridCol w:w="60"/>
        <w:gridCol w:w="189"/>
        <w:gridCol w:w="895"/>
        <w:gridCol w:w="60"/>
        <w:gridCol w:w="60"/>
        <w:gridCol w:w="99"/>
        <w:gridCol w:w="1090"/>
        <w:gridCol w:w="80"/>
        <w:gridCol w:w="60"/>
        <w:gridCol w:w="73"/>
        <w:gridCol w:w="801"/>
        <w:gridCol w:w="80"/>
        <w:gridCol w:w="60"/>
        <w:gridCol w:w="86"/>
        <w:gridCol w:w="803"/>
        <w:gridCol w:w="80"/>
        <w:gridCol w:w="60"/>
        <w:gridCol w:w="125"/>
        <w:gridCol w:w="980"/>
        <w:gridCol w:w="110"/>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Issuance </w:t>
            </w:r>
            <w:r>
              <w:rPr>
                <w:rFonts w:ascii="Times New Roman;Times;Serif" w:hAnsi="Times New Roman;Times;Serif"/>
                <w:b/>
                <w:i w:val="false"/>
                <w:caps w:val="false"/>
                <w:smallCaps w:val="false"/>
                <w:position w:val="7"/>
                <w:sz w:val="16"/>
                <w:sz w:val="20"/>
              </w:rPr>
              <w:t>(5a)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Repayment of</w:t>
              <w:br/>
              <w:t>WBD Term</w:t>
              <w:br/>
              <w:t xml:space="preserve">Loans </w:t>
            </w:r>
            <w:r>
              <w:rPr>
                <w:rFonts w:ascii="Times New Roman;Times;Serif" w:hAnsi="Times New Roman;Times;Serif"/>
                <w:b/>
                <w:i w:val="false"/>
                <w:caps w:val="false"/>
                <w:smallCaps w:val="false"/>
                <w:position w:val="7"/>
                <w:sz w:val="16"/>
                <w:sz w:val="20"/>
              </w:rPr>
              <w:t>(5b)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Offers </w:t>
            </w:r>
            <w:r>
              <w:rPr>
                <w:rFonts w:ascii="Times New Roman;Times;Serif" w:hAnsi="Times New Roman;Times;Serif"/>
                <w:b/>
                <w:i w:val="false"/>
                <w:caps w:val="false"/>
                <w:smallCaps w:val="false"/>
                <w:position w:val="7"/>
                <w:sz w:val="16"/>
                <w:sz w:val="20"/>
              </w:rPr>
              <w:t>(5c)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Tender </w:t>
              <w:br/>
              <w:t xml:space="preserve">Offers </w:t>
            </w:r>
            <w:r>
              <w:rPr>
                <w:rFonts w:ascii="Times New Roman;Times;Serif" w:hAnsi="Times New Roman;Times;Serif"/>
                <w:b/>
                <w:i w:val="false"/>
                <w:caps w:val="false"/>
                <w:smallCaps w:val="false"/>
                <w:position w:val="7"/>
                <w:sz w:val="16"/>
                <w:sz w:val="20"/>
              </w:rPr>
              <w:t>(5d)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Adjustment</w:t>
            </w:r>
          </w:p>
        </w:tc>
        <w:tc>
          <w:tcPr>
            <w:tcW w:w="11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3-year Term A-1 Loans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2,492</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5-year Term A-2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2,492</w:t>
            </w:r>
          </w:p>
        </w:tc>
        <w:tc>
          <w:tcPr>
            <w:tcW w:w="11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7-year Term B Loans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7,374</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First Lien Secured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31,693</w:t>
            </w:r>
          </w:p>
        </w:tc>
        <w:tc>
          <w:tcPr>
            <w:tcW w:w="11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Second Lien Secured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12,328</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Lien Secured Exchange Notes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10,626</w:t>
            </w:r>
          </w:p>
        </w:tc>
        <w:tc>
          <w:tcPr>
            <w:tcW w:w="11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WBD Long-term Debt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(27,557</w:t>
            </w:r>
          </w:p>
        </w:tc>
        <w:tc>
          <w:tcPr>
            <w:tcW w:w="11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adjustment to debt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80"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39,448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0"/>
        <w:gridCol w:w="9837"/>
      </w:tblGrid>
      <w:tr>
        <w:trPr/>
        <w:tc>
          <w:tcPr>
            <w:tcW w:w="3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(5a)</w:t>
            </w:r>
          </w:p>
        </w:tc>
        <w:tc>
          <w:tcPr>
            <w:tcW w:w="9837" w:type="dxa"/>
            <w:tcBorders/>
            <w:vAlign w:val="center"/>
          </w:tcPr>
          <w:p>
            <w:pPr>
              <w:pStyle w:val="TableContents"/>
              <w:bidi w:val="0"/>
              <w:spacing w:before="0" w:after="283"/>
              <w:jc w:val="both"/>
              <w:rPr/>
            </w:pPr>
            <w:r>
              <w:rPr/>
              <w:t>The adjustments reflect the impact of the issuance of the $2.5 billion Term A-1 Loans and $2.5 billion Term A-2 Loans, $7.5 billion Term B Loans, $32.0 billion New First Lien Secured Notes and $12.4 billion New Second Lien Secured Notes, net of debt issuance costs of $0.5 billion. The New Permanent Financing will replace or refinance the 364-day Bridge Loan Facility and proceeds of the New Permanent Financing or the 364-day Bridge Loan Facility, as applicable, will be used to fund the Acquisition. Accordingly, $56.4 billion of cash proceeds were reflected on the unaudited pro forma Condensed Combined Balance Sheet in connection with the issuance of debt.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8"/>
        <w:gridCol w:w="9819"/>
      </w:tblGrid>
      <w:tr>
        <w:trPr/>
        <w:tc>
          <w:tcPr>
            <w:tcW w:w="3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(5b)</w:t>
            </w:r>
          </w:p>
        </w:tc>
        <w:tc>
          <w:tcPr>
            <w:tcW w:w="9819" w:type="dxa"/>
            <w:tcBorders/>
            <w:vAlign w:val="center"/>
          </w:tcPr>
          <w:p>
            <w:pPr>
              <w:pStyle w:val="TableContents"/>
              <w:bidi w:val="0"/>
              <w:spacing w:before="0" w:after="283"/>
              <w:jc w:val="both"/>
              <w:rPr/>
            </w:pPr>
            <w:r>
              <w:rPr/>
              <w:t>The adjustment reflects a transaction accounting adjustment related to the settlement of the $13.0 billion WBD Dollar Term Loans and the €1.7 billion WBD Euro Term Loans net of $0.2 billion in remaining deferred issuance costs related to the WBD Term Loans. The transaction accounting adjustment to debt on the unaudited pro forma Condensed Combined Balance Sheet also includes a fair market value step down of $4.2 billion on WBD’s existing long-term debt, which is not reflected in the table above. See Note 4c.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6"/>
        <w:gridCol w:w="9841"/>
      </w:tblGrid>
      <w:tr>
        <w:trPr/>
        <w:tc>
          <w:tcPr>
            <w:tcW w:w="3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(5c)</w:t>
            </w:r>
          </w:p>
        </w:tc>
        <w:tc>
          <w:tcPr>
            <w:tcW w:w="9841" w:type="dxa"/>
            <w:tcBorders/>
            <w:vAlign w:val="center"/>
          </w:tcPr>
          <w:p>
            <w:pPr>
              <w:pStyle w:val="TableContents"/>
              <w:bidi w:val="0"/>
              <w:spacing w:before="0" w:after="283"/>
              <w:jc w:val="both"/>
              <w:rPr/>
            </w:pPr>
            <w:r>
              <w:rPr/>
              <w:t xml:space="preserve">The adjustments reflect the impact of the Exchange Offers, specifically the $40 million of payments to bondholders, in connection with the Exchange Offers, assuming that 100% of the Exchange Offer WBD Notes eligible to participate in the Exchange Offers will be exchanged in full in the applicable Exchange Offer. The Company expects to account for the Exchange Offers as debt modifications in accordance with ASC 470, </w:t>
            </w:r>
            <w:r>
              <w:rPr>
                <w:i/>
              </w:rPr>
              <w:t>Debt</w:t>
            </w:r>
            <w:r>
              <w:rPr/>
              <w:t>, because all key terms of the Second Lien Secured Exchange Notes are expected to be materially consistent with the current terms. Accordingly, the payments to the bondholders are reflected as a reduction in the carrying value. The carrying value of the Exchange Offer WBD Notes immediately prior to completion of the Exchange Offers and the fair value of the Second Lien Secured Exchange Notes has been assumed to be equal to the estimated fair value of the Exchange Offer WBD Notes assumed in the Acquisition. Estimated third-party expenses of $22 million are included within “Restructuring, transaction-related items and other corporate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21</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0"/>
        <w:gridCol w:w="9827"/>
      </w:tblGrid>
      <w:tr>
        <w:trPr/>
        <w:tc>
          <w:tcPr>
            <w:tcW w:w="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(5d)</w:t>
            </w:r>
          </w:p>
        </w:tc>
        <w:tc>
          <w:tcPr>
            <w:tcW w:w="9827" w:type="dxa"/>
            <w:tcBorders/>
            <w:vAlign w:val="center"/>
          </w:tcPr>
          <w:p>
            <w:pPr>
              <w:pStyle w:val="TableContents"/>
              <w:bidi w:val="0"/>
              <w:spacing w:before="0" w:after="283"/>
              <w:jc w:val="both"/>
              <w:rPr/>
            </w:pPr>
            <w:r>
              <w:rPr/>
              <w:t>The adjustments reflect the impact of the Tender Offers, specifically the purchase of (i) the DCL Issuer’s $1.2 billion aggregate principal amount of 3.950% Senior Notes due 2028 with a carrying amount of $1.230 billion immediately prior to extinguishment, and (ii) the DGH Issuer’s $1.2 billion aggregate principal amount of 3.755% Senior Notes due 2027 with a carrying amount of $1.194 billion immediately prior to extinguishment, assuming 100% of such notes subject to the Tender Offers will be tendered in the applicable Tender Offer. The estimated cash consideration for the Tender Offer WBD Notes subject to the Tender Offers of $2.4 billion was determined based on a fixed-spread pricing formula linked to the yield on the applicable Reference Treasury Security determined as of June 30, 2026. The estimated gain on extinguishment of debt of $10 million is reflected on the unaudited pro forma Condensed Combined Statement of Operations for the year ended December 31, 2025. Estimated payments to bondholders and third-party expenses of $9 million are included within “Restructuring, transaction-related items and other corporate matters”.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6"/>
        <w:gridCol w:w="9831"/>
      </w:tblGrid>
      <w:tr>
        <w:trPr/>
        <w:tc>
          <w:tcPr>
            <w:tcW w:w="3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(5e)</w:t>
            </w:r>
          </w:p>
        </w:tc>
        <w:tc>
          <w:tcPr>
            <w:tcW w:w="9831" w:type="dxa"/>
            <w:tcBorders/>
            <w:vAlign w:val="center"/>
          </w:tcPr>
          <w:p>
            <w:pPr>
              <w:pStyle w:val="TableContents"/>
              <w:bidi w:val="0"/>
              <w:spacing w:before="0" w:after="283"/>
              <w:jc w:val="both"/>
              <w:rPr/>
            </w:pPr>
            <w:r>
              <w:rPr/>
              <w:t>The adjustment reflects the cash paid for certain commitment fees associated with the 364-day Bridge Loan Facility and write-off of those fees due to the replacement or refinancing of the 364-day Bridge Loan Facility with permanent financing. There can be no assurance that such permanent financing will be consummated as currently contemplated or on favorable terms, or that such financing will be consummated at all.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Statements of Operations Pro Forma Adjustments</w:t>
      </w:r>
    </w:p>
    <w:p>
      <w:pPr>
        <w:pStyle w:val="TextBody"/>
        <w:bidi w:val="0"/>
        <w:spacing w:before="0" w:after="0"/>
        <w:ind w:left="0" w:right="0" w:hanging="0"/>
        <w:jc w:val="left"/>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36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(5f)</w:t>
            </w:r>
          </w:p>
        </w:tc>
        <w:tc>
          <w:tcPr>
            <w:tcW w:w="7850" w:type="dxa"/>
            <w:tcBorders/>
            <w:vAlign w:val="center"/>
          </w:tcPr>
          <w:p>
            <w:pPr>
              <w:pStyle w:val="TableContents"/>
              <w:bidi w:val="0"/>
              <w:spacing w:before="0" w:after="283"/>
              <w:jc w:val="both"/>
              <w:rPr/>
            </w:pPr>
            <w:r>
              <w:rPr/>
              <w:t>The adjustments reflect the following increases (decreases) to Interest expense, net: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85"/>
        <w:gridCol w:w="60"/>
        <w:gridCol w:w="2259"/>
        <w:gridCol w:w="60"/>
        <w:gridCol w:w="224"/>
        <w:gridCol w:w="876"/>
        <w:gridCol w:w="80"/>
        <w:gridCol w:w="60"/>
        <w:gridCol w:w="245"/>
        <w:gridCol w:w="957"/>
        <w:gridCol w:w="99"/>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br/>
              <w:t>Ended June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 xml:space="preserve">December 31, </w:t>
              <w:br/>
              <w:t>2025</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interest expense on new financing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4,213</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historical interest expense on WBD bridge facility and term loans (2)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accounting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w:t>
            </w:r>
          </w:p>
        </w:tc>
        <w:tc>
          <w:tcPr>
            <w:tcW w:w="99"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 of historical interest expense on debt subject to fair market value step down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accounting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9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historical interest expense on WBD loans settled through the Tender Offers (4)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accounting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99"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 to historical interest expense on WBD loans subject to the Exchange Offers (5)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accounting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deferred debt issuance costs (6)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adjustments to Interest expense, net</w:t>
            </w:r>
          </w:p>
        </w:tc>
        <w:tc>
          <w:tcPr>
            <w:tcW w:w="60" w:type="dxa"/>
            <w:tcBorders/>
            <w:shd w:fill="CCEEFF" w:val="clear"/>
            <w:vAlign w:val="center"/>
          </w:tcPr>
          <w:p>
            <w:pPr>
              <w:pStyle w:val="TableContents"/>
              <w:bidi w:val="0"/>
              <w:spacing w:before="0" w:after="283"/>
              <w:jc w:val="left"/>
              <w:rPr/>
            </w:pPr>
            <w:r>
              <w:rPr/>
              <w:t> </w:t>
            </w:r>
          </w:p>
        </w:tc>
        <w:tc>
          <w:tcPr>
            <w:tcW w:w="22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3,762</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financing adjustments</w:t>
            </w:r>
          </w:p>
        </w:tc>
        <w:tc>
          <w:tcPr>
            <w:tcW w:w="60" w:type="dxa"/>
            <w:tcBorders/>
            <w:shd w:fill="FFFFFF" w:val="clear"/>
            <w:vAlign w:val="center"/>
          </w:tcPr>
          <w:p>
            <w:pPr>
              <w:pStyle w:val="TableContents"/>
              <w:bidi w:val="0"/>
              <w:spacing w:before="0" w:after="283"/>
              <w:jc w:val="left"/>
              <w:rPr/>
            </w:pPr>
            <w:r>
              <w:rPr/>
              <w:t> </w:t>
            </w:r>
          </w:p>
        </w:tc>
        <w:tc>
          <w:tcPr>
            <w:tcW w:w="22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4,655</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transaction accounting adjustments</w:t>
            </w:r>
          </w:p>
        </w:tc>
        <w:tc>
          <w:tcPr>
            <w:tcW w:w="60" w:type="dxa"/>
            <w:tcBorders/>
            <w:shd w:fill="CCEEFF" w:val="clear"/>
            <w:vAlign w:val="center"/>
          </w:tcPr>
          <w:p>
            <w:pPr>
              <w:pStyle w:val="TableContents"/>
              <w:bidi w:val="0"/>
              <w:spacing w:before="0" w:after="283"/>
              <w:jc w:val="left"/>
              <w:rPr/>
            </w:pPr>
            <w:r>
              <w:rPr/>
              <w:t> </w:t>
            </w:r>
          </w:p>
        </w:tc>
        <w:tc>
          <w:tcPr>
            <w:tcW w:w="22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(893</w:t>
            </w:r>
          </w:p>
        </w:tc>
        <w:tc>
          <w:tcPr>
            <w:tcW w:w="9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(1)</w:t>
            </w:r>
          </w:p>
        </w:tc>
        <w:tc>
          <w:tcPr>
            <w:tcW w:w="9913" w:type="dxa"/>
            <w:tcBorders/>
            <w:vAlign w:val="center"/>
          </w:tcPr>
          <w:p>
            <w:pPr>
              <w:pStyle w:val="TableContents"/>
              <w:bidi w:val="0"/>
              <w:spacing w:before="0" w:after="283"/>
              <w:jc w:val="both"/>
              <w:rPr/>
            </w:pPr>
            <w:r>
              <w:rPr/>
              <w:t>Represents the additional interest expense in connection with the Term A-1 Loans, Term A-2 Loans, Term B Loans, New First Lien Secured Notes and New Second Lien Secured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22</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rates on the Term A-1 Loans and Term A-2 Loans are calculated using SOFR adjusted for a margin and are initially estimated to be approximately 5.94%.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assume an interest rate of 7.50% for the Term B Loans, the New First Lien Secured Notes, and New Second Lien Secured Notes included in the Acquisition Financing Transactions, reflecting the assumed weighted average cost of indebtedness. For purposes of the unaudited pro forma condensed combined financial statements, the Company has assumed that the Acquisition Financing Transactions are completed as described herein, including the consummation of the New Permanent Financing prior to the consummation of the Acquisition. In the event the New Permanent Financing does not occur prior to the Acquisition, or does not occur at all, the maximum interest rate that would initially apply pursuant to the 364-day Bridge Loan Facility is SOFR + 1.875%, increasing by 0.25% for each 3 months that the 364-day Bridge Loan Facility remains outstanding to a maximum of SOFR + 2.625%, unless or until the 364-day Bridge Loan Facility is refinanced.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sensitivity analysis on interest expense with respect to the variable rate Term A-1 Loans and Term A-2 Loans and the interest expense related to the New Permanent Financing for the six months ended June 30, 2026 and the year ended December 31, 2025 has been performed to assess the effect of a change of 0.125% of the hypothetical interest rate. A change in the interest rate of 0.125% would result in a change in estimated interest expense of $36 million and $72 million for the six months ended June 30, 2026 and year ended December 31, 2025, respectively. A change in interest rate of 1% would result in a change in estimated interest expense of $288 million and $575 million for the six months ended June 30, 2026 and year ended December 31, 2025, respectively.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(2)</w:t>
            </w:r>
          </w:p>
        </w:tc>
        <w:tc>
          <w:tcPr>
            <w:tcW w:w="9924" w:type="dxa"/>
            <w:tcBorders/>
            <w:vAlign w:val="center"/>
          </w:tcPr>
          <w:p>
            <w:pPr>
              <w:pStyle w:val="TableContents"/>
              <w:bidi w:val="0"/>
              <w:spacing w:before="0" w:after="283"/>
              <w:jc w:val="both"/>
              <w:rPr/>
            </w:pPr>
            <w:r>
              <w:rPr/>
              <w:t>Represents the elimination of historical interest expense associated with WBD’s $15.0 billion bridge facility and the elimination of historical interest expense associated with the $13.0 billion WBD Dollar Term Loans and €1.7 billion WBD Euro Term Loans.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(3)</w:t>
            </w:r>
          </w:p>
        </w:tc>
        <w:tc>
          <w:tcPr>
            <w:tcW w:w="9937" w:type="dxa"/>
            <w:tcBorders/>
            <w:vAlign w:val="center"/>
          </w:tcPr>
          <w:p>
            <w:pPr>
              <w:pStyle w:val="TableContents"/>
              <w:bidi w:val="0"/>
              <w:spacing w:before="0" w:after="283"/>
              <w:jc w:val="both"/>
              <w:rPr/>
            </w:pPr>
            <w:r>
              <w:rPr/>
              <w:t>In July 2025, WBD made a significant principal payment to reduce debt. The adjustment to interest expense for the year ended December 31, 2025 reflects a $493 million reduction in interest expense resulting from the composition of debt outstanding as of June 30, 2026 compared with the debt outstanding within the historical period, offset by a $328 million increase in interest expense resulting from the accretion of the fair value step down of assumed debt.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(4)</w:t>
            </w:r>
          </w:p>
        </w:tc>
        <w:tc>
          <w:tcPr>
            <w:tcW w:w="9926" w:type="dxa"/>
            <w:tcBorders/>
            <w:vAlign w:val="center"/>
          </w:tcPr>
          <w:p>
            <w:pPr>
              <w:pStyle w:val="TableContents"/>
              <w:bidi w:val="0"/>
              <w:spacing w:before="0" w:after="283"/>
              <w:jc w:val="both"/>
              <w:rPr/>
            </w:pPr>
            <w:r>
              <w:rPr/>
              <w:t>Represents elimination of historical interest expense related to historical WBD debt repurchased as a result of the Tender Offers, assuming that 100% of the Tender Offer WBD Notes eligible to participate in the Tender Offers will be tendered in the applicable Tender Offer.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(5)</w:t>
            </w:r>
          </w:p>
        </w:tc>
        <w:tc>
          <w:tcPr>
            <w:tcW w:w="9937" w:type="dxa"/>
            <w:tcBorders/>
            <w:vAlign w:val="center"/>
          </w:tcPr>
          <w:p>
            <w:pPr>
              <w:pStyle w:val="TableContents"/>
              <w:bidi w:val="0"/>
              <w:spacing w:before="0" w:after="283"/>
              <w:jc w:val="both"/>
              <w:rPr/>
            </w:pPr>
            <w:r>
              <w:rPr/>
              <w:t>For purposes of these pro forma financial statements, the Company has assumed 100% of the Exchange Offer WBD Notes eligible to participate in the Exchange Offers will be exchanged in the applicable Exchange Offer. This adjustment represents the incremental interest expense associated with the difference in coupon rates between the Exchange Offer WBD Notes eligible to participate in the Exchange Offers and the Second Lien Secured Exchange Notes.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(6)</w:t>
            </w:r>
          </w:p>
        </w:tc>
        <w:tc>
          <w:tcPr>
            <w:tcW w:w="9932" w:type="dxa"/>
            <w:tcBorders/>
            <w:vAlign w:val="center"/>
          </w:tcPr>
          <w:p>
            <w:pPr>
              <w:pStyle w:val="TableContents"/>
              <w:bidi w:val="0"/>
              <w:spacing w:before="0" w:after="283"/>
              <w:jc w:val="both"/>
              <w:rPr/>
            </w:pPr>
            <w:r>
              <w:rPr/>
              <w:t>Represents amortization of issuance costs associated with new debt issued by the Company and the write-off of deferred issuance costs associated with the 364-day Bridge Loan Facility that is expected to be replaced by the New Permanent Financing if the Bridge Commitments are not reduced by the New Permanent Financing prior to the Acquisition.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23</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accounting adjustments on the unaudited pro forma Condensed Combined Statement of Operations for the year ended December 31, 2025 also include a $12 million intercompany elimination.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Financing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WBD Merger Agreement, Paramount entered into the Subscription Agreements pursuant to which the Equity Investors committed to purchase shares of Paramount Class B Common Stock in a PIPE financing. Pursuant to the Equity Syndication, the Equity Investors have assigned their subscription rights to a group of institutional investors (each an Equity Syndication Party), comprising affiliates of the Equity Investors, The Public Investment Fund, L'Imad 1st SPV 2 Exempt RSC LTD (an investment vehicle of L'Imad Holding, an Abu Dhabi sovereign wealth fund), QIA TMT Holding LLC (an investment vehicle of the Qatar Investment Authority), and LionTree Investment Fund, L.P. The aggregate allocations cover the full amount committed by the Equity Investors. At closing, the Company will issue to each Equity Syndication Party a number of newly issued shares of nonvoting Paramount Class B Common Stock equal to its allocated amount divided by the Syndication Purchase Price for aggregate gross proceeds sufficient, together with other sources of financing, to fund the Merger Consideration and transaction-related payments.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6"/>
        <w:gridCol w:w="9821"/>
      </w:tblGrid>
      <w:tr>
        <w:trPr/>
        <w:tc>
          <w:tcPr>
            <w:tcW w:w="3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(5g)</w:t>
            </w:r>
          </w:p>
        </w:tc>
        <w:tc>
          <w:tcPr>
            <w:tcW w:w="9821" w:type="dxa"/>
            <w:tcBorders/>
            <w:vAlign w:val="center"/>
          </w:tcPr>
          <w:p>
            <w:pPr>
              <w:pStyle w:val="TableContents"/>
              <w:bidi w:val="0"/>
              <w:spacing w:before="0" w:after="283"/>
              <w:jc w:val="both"/>
              <w:rPr/>
            </w:pPr>
            <w:r>
              <w:rPr/>
              <w:t>In connection with the Acquisition, the pro forma adjustment reflects a net increase in cash of $46.97 billion, representing $47 billion of proceeds from the PIPE financing, inclusive of an assumed additional $44 million of PIPE proceeds related to the assumed $44 million of Ticking Consideration, partially offset by approximately $47 million of issuance costs. The transaction results in the issuance of approximately 3.9 billion shares of Paramount Class B Common Stock at $0.001 par value, with the excess proceeds recorded as additional paid-in-capital assuming a Syndication Purchase Price of $12.00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PRESENTATION OF ADJUSTED PARAMOUNT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Adjusted Combined Statement of Operations of Paramount reflects the combination of (i) the historical consolidated Statement of Operations of Paramount Global (Predecessor) for the period from January 1, 2025 through August 6, 2025 (ii) the historical results of Skydance for the same period (iii) the historical consolidated Statement of Operations of Paramount Skydance Corporation from August 7, 2025 to December 31, 2025 (Successor) and (iv) the effects of the Skydance Transactions and NAI Transaction as if they had closed on January 1, 2025. As a result of the pushdown of the Ultimate Parent’s basis described in Note 1, the net assets of Paramount Global were recorded at their fair value as of the close of the Skydance Transactions and NAI Transaction. No adjustments to the August 7, 2025 to December 31, 2025 Successor period are necessary, as the impacts from the Skydance Transactions and NAI Transaction are included in Paramount’s historical results for this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24</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information of Skydance included in the unaudited pro forma condensed combined financial statements reflects certain reclassifications to conform to the Company’s presentation.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04"/>
        <w:gridCol w:w="60"/>
        <w:gridCol w:w="154"/>
        <w:gridCol w:w="721"/>
        <w:gridCol w:w="80"/>
        <w:gridCol w:w="60"/>
        <w:gridCol w:w="147"/>
        <w:gridCol w:w="698"/>
        <w:gridCol w:w="80"/>
        <w:gridCol w:w="60"/>
        <w:gridCol w:w="186"/>
        <w:gridCol w:w="727"/>
        <w:gridCol w:w="80"/>
        <w:gridCol w:w="60"/>
        <w:gridCol w:w="305"/>
        <w:gridCol w:w="723"/>
        <w:gridCol w:w="95"/>
        <w:gridCol w:w="200"/>
        <w:gridCol w:w="60"/>
        <w:gridCol w:w="264"/>
        <w:gridCol w:w="842"/>
        <w:gridCol w:w="95"/>
        <w:gridCol w:w="200"/>
        <w:gridCol w:w="60"/>
        <w:gridCol w:w="148"/>
        <w:gridCol w:w="697"/>
        <w:gridCol w:w="99"/>
      </w:tblGrid>
      <w:tr>
        <w:trPr/>
        <w:tc>
          <w:tcPr>
            <w:tcW w:w="3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42" w:type="dxa"/>
            <w:gridSpan w:val="24"/>
            <w:tcBorders>
              <w:bottom w:val="single" w:sz="8" w:space="0" w:color="000000"/>
            </w:tcBorders>
            <w:tcMar>
              <w:bottom w:w="28" w:type="dxa"/>
            </w:tcMar>
            <w:vAlign w:val="center"/>
          </w:tcPr>
          <w:p>
            <w:pPr>
              <w:pStyle w:val="TableContents"/>
              <w:bidi w:val="0"/>
              <w:spacing w:before="0" w:after="283"/>
              <w:jc w:val="center"/>
              <w:rPr>
                <w:b/>
                <w:sz w:val="16"/>
              </w:rPr>
            </w:pPr>
            <w:r>
              <w:rPr>
                <w:b/>
                <w:sz w:val="16"/>
              </w:rPr>
              <w:t>Year Ended December 31, 2025</w:t>
            </w:r>
          </w:p>
        </w:tc>
        <w:tc>
          <w:tcPr>
            <w:tcW w:w="99" w:type="dxa"/>
            <w:tcBorders/>
            <w:vAlign w:val="center"/>
          </w:tcPr>
          <w:p>
            <w:pPr>
              <w:pStyle w:val="TableContents"/>
              <w:bidi w:val="0"/>
              <w:spacing w:before="0" w:after="283"/>
              <w:jc w:val="left"/>
              <w:rPr/>
            </w:pPr>
            <w:r>
              <w:rPr/>
              <w:t> </w:t>
            </w:r>
          </w:p>
        </w:tc>
      </w:tr>
      <w:tr>
        <w:trPr/>
        <w:tc>
          <w:tcPr>
            <w:tcW w:w="3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0"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3"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3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Predecessor</w:t>
            </w:r>
          </w:p>
        </w:tc>
        <w:tc>
          <w:tcPr>
            <w:tcW w:w="8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Successor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1" w:type="dxa"/>
            <w:gridSpan w:val="6"/>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33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Paramount</w:t>
              <w:br/>
              <w:t xml:space="preserve">Global </w:t>
            </w:r>
            <w:r>
              <w:rPr>
                <w:b/>
                <w:position w:val="5"/>
                <w:sz w:val="13"/>
                <w:sz w:val="16"/>
              </w:rPr>
              <w:t>(1)</w:t>
            </w:r>
          </w:p>
        </w:tc>
        <w:tc>
          <w:tcPr>
            <w:tcW w:w="80" w:type="dxa"/>
            <w:tcBorders/>
            <w:vAlign w:val="center"/>
          </w:tcPr>
          <w:p>
            <w:pPr>
              <w:pStyle w:val="TableContents"/>
              <w:bidi w:val="0"/>
              <w:spacing w:before="0" w:after="283"/>
              <w:jc w:val="center"/>
              <w:rPr/>
            </w:pPr>
            <w:r>
              <w:rPr/>
              <w:t> </w:t>
            </w:r>
          </w:p>
        </w:tc>
        <w:tc>
          <w:tcPr>
            <w:tcW w:w="60" w:type="dxa"/>
            <w:tcBorders>
              <w:left w:val="single" w:sz="8" w:space="0" w:color="000000"/>
            </w:tcBorders>
            <w:tcMar>
              <w:left w:w="28" w:type="dxa"/>
            </w:tcMar>
            <w:vAlign w:val="center"/>
          </w:tcPr>
          <w:p>
            <w:pPr>
              <w:pStyle w:val="TableContents"/>
              <w:bidi w:val="0"/>
              <w:spacing w:before="0" w:after="283"/>
              <w:jc w:val="center"/>
              <w:rPr/>
            </w:pPr>
            <w:r>
              <w:rPr/>
              <w:t> </w:t>
            </w:r>
          </w:p>
        </w:tc>
        <w:tc>
          <w:tcPr>
            <w:tcW w:w="84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Paramount</w:t>
              <w:br/>
              <w:t>Skydance</w:t>
              <w:br/>
              <w:t xml:space="preserve">Corp. </w:t>
            </w:r>
            <w:r>
              <w:rPr>
                <w:b/>
                <w:position w:val="5"/>
                <w:sz w:val="13"/>
                <w:sz w:val="16"/>
              </w:rPr>
              <w:t>(2)</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13"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Adjusted</w:t>
              <w:br/>
              <w:t>Skydance</w:t>
              <w:br/>
              <w:t xml:space="preserve">Media, LLC </w:t>
            </w:r>
            <w:r>
              <w:rPr>
                <w:b/>
                <w:position w:val="5"/>
                <w:sz w:val="13"/>
                <w:sz w:val="16"/>
              </w:rPr>
              <w:t>(3)</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Skydance</w:t>
              <w:br/>
              <w:t>Transaction</w:t>
              <w:br/>
              <w:t>Accounting</w:t>
              <w:br/>
              <w:t xml:space="preserve">Adjustments </w:t>
            </w:r>
            <w:r>
              <w:rPr>
                <w:b/>
                <w:position w:val="5"/>
                <w:sz w:val="13"/>
                <w:sz w:val="16"/>
              </w:rPr>
              <w:t>(1)</w:t>
            </w:r>
          </w:p>
        </w:tc>
        <w:tc>
          <w:tcPr>
            <w:tcW w:w="9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06"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Adjustments to</w:t>
              <w:br/>
              <w:t xml:space="preserve">Paramount </w:t>
              <w:br/>
              <w:t>Global Historical</w:t>
              <w:br/>
              <w:t xml:space="preserve">Basis </w:t>
            </w:r>
            <w:r>
              <w:rPr>
                <w:b/>
                <w:position w:val="5"/>
                <w:sz w:val="13"/>
                <w:sz w:val="16"/>
              </w:rPr>
              <w:t>(1)</w:t>
            </w:r>
            <w:r>
              <w:rPr>
                <w:b/>
                <w:sz w:val="16"/>
              </w:rPr>
              <w:t xml:space="preserve">  </w:t>
            </w:r>
          </w:p>
        </w:tc>
        <w:tc>
          <w:tcPr>
            <w:tcW w:w="9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4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Paramount</w:t>
              <w:br/>
              <w:t>Skydance</w:t>
              <w:br/>
              <w:t>Corp.</w:t>
              <w:br/>
              <w:t>Adjusted</w:t>
            </w:r>
          </w:p>
        </w:tc>
        <w:tc>
          <w:tcPr>
            <w:tcW w:w="99" w:type="dxa"/>
            <w:tcBorders/>
            <w:vAlign w:val="center"/>
          </w:tcPr>
          <w:p>
            <w:pPr>
              <w:pStyle w:val="TableContents"/>
              <w:bidi w:val="0"/>
              <w:spacing w:before="0" w:after="283"/>
              <w:jc w:val="center"/>
              <w:rPr/>
            </w:pPr>
            <w:r>
              <w:rPr/>
              <w:t> </w:t>
            </w:r>
          </w:p>
        </w:tc>
      </w:tr>
      <w:tr>
        <w:trPr/>
        <w:tc>
          <w:tcPr>
            <w:tcW w:w="3304" w:type="dxa"/>
            <w:tcBorders/>
            <w:shd w:fill="CCEEFF" w:val="clear"/>
            <w:vAlign w:val="center"/>
          </w:tcPr>
          <w:p>
            <w:pPr>
              <w:pStyle w:val="TableContents"/>
              <w:bidi w:val="0"/>
              <w:spacing w:before="0" w:after="283"/>
              <w:jc w:val="left"/>
              <w:rPr>
                <w:sz w:val="16"/>
              </w:rPr>
            </w:pPr>
            <w:r>
              <w:rPr>
                <w:sz w:val="16"/>
              </w:rPr>
              <w:t>Revenues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72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16,622</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698"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12,269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554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(51</w:t>
            </w:r>
          </w:p>
        </w:tc>
        <w:tc>
          <w:tcPr>
            <w:tcW w:w="95" w:type="dxa"/>
            <w:tcBorders/>
            <w:shd w:fill="CCEEFF" w:val="clear"/>
            <w:vAlign w:val="center"/>
          </w:tcPr>
          <w:p>
            <w:pPr>
              <w:pStyle w:val="TableContents"/>
              <w:bidi w:val="0"/>
              <w:spacing w:before="0" w:after="283"/>
              <w:jc w:val="left"/>
              <w:rPr/>
            </w:pPr>
            <w:r>
              <w:rPr/>
              <w:t>)</w:t>
            </w:r>
          </w:p>
        </w:tc>
        <w:tc>
          <w:tcPr>
            <w:tcW w:w="200" w:type="dxa"/>
            <w:tcBorders/>
            <w:shd w:fill="CCEEFF" w:val="clear"/>
            <w:vAlign w:val="center"/>
          </w:tcPr>
          <w:p>
            <w:pPr>
              <w:pStyle w:val="TableContents"/>
              <w:bidi w:val="0"/>
              <w:spacing w:before="0" w:after="283"/>
              <w:jc w:val="left"/>
              <w:rPr>
                <w:i/>
                <w:sz w:val="16"/>
              </w:rPr>
            </w:pPr>
            <w:r>
              <w:rPr>
                <w:i/>
                <w:sz w:val="16"/>
              </w:rPr>
              <w:t>6a</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8"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29,394</w:t>
            </w:r>
          </w:p>
        </w:tc>
        <w:tc>
          <w:tcPr>
            <w:tcW w:w="99" w:type="dxa"/>
            <w:tcBorders/>
            <w:shd w:fill="CCEEFF" w:val="cle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sz w:val="16"/>
              </w:rPr>
            </w:pPr>
            <w:r>
              <w:rPr>
                <w:sz w:val="16"/>
              </w:rPr>
              <w:t>Costs and expenses: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304" w:type="dxa"/>
            <w:tcBorders/>
            <w:shd w:fill="CCEEFF" w:val="clear"/>
            <w:vAlign w:val="center"/>
          </w:tcPr>
          <w:p>
            <w:pPr>
              <w:pStyle w:val="TableContents"/>
              <w:bidi w:val="0"/>
              <w:spacing w:before="0" w:after="283"/>
              <w:jc w:val="left"/>
              <w:rPr>
                <w:sz w:val="16"/>
              </w:rPr>
            </w:pPr>
            <w:r>
              <w:rPr>
                <w:sz w:val="16"/>
              </w:rPr>
              <w:t>Operating</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sz w:val="16"/>
              </w:rPr>
            </w:pPr>
            <w:r>
              <w:rPr>
                <w:sz w:val="16"/>
              </w:rPr>
              <w:t>11,287</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sz w:val="16"/>
              </w:rPr>
            </w:pPr>
            <w:r>
              <w:rPr>
                <w:sz w:val="16"/>
              </w:rPr>
              <w:t>8,408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sz w:val="16"/>
              </w:rPr>
            </w:pPr>
            <w:r>
              <w:rPr>
                <w:sz w:val="16"/>
              </w:rPr>
              <w:t>724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sz w:val="16"/>
              </w:rPr>
            </w:pPr>
            <w:r>
              <w:rPr>
                <w:sz w:val="16"/>
              </w:rPr>
              <w:t>(72</w:t>
            </w:r>
          </w:p>
        </w:tc>
        <w:tc>
          <w:tcPr>
            <w:tcW w:w="95" w:type="dxa"/>
            <w:tcBorders/>
            <w:shd w:fill="CCEEFF" w:val="clear"/>
            <w:vAlign w:val="center"/>
          </w:tcPr>
          <w:p>
            <w:pPr>
              <w:pStyle w:val="TableContents"/>
              <w:bidi w:val="0"/>
              <w:spacing w:before="0" w:after="283"/>
              <w:jc w:val="left"/>
              <w:rPr/>
            </w:pPr>
            <w:r>
              <w:rPr/>
              <w:t>)</w:t>
            </w:r>
          </w:p>
        </w:tc>
        <w:tc>
          <w:tcPr>
            <w:tcW w:w="200" w:type="dxa"/>
            <w:tcBorders/>
            <w:shd w:fill="CCEEFF" w:val="clear"/>
            <w:vAlign w:val="center"/>
          </w:tcPr>
          <w:p>
            <w:pPr>
              <w:pStyle w:val="TableContents"/>
              <w:bidi w:val="0"/>
              <w:spacing w:before="0" w:after="283"/>
              <w:jc w:val="left"/>
              <w:rPr>
                <w:i/>
                <w:sz w:val="16"/>
              </w:rPr>
            </w:pPr>
            <w:r>
              <w:rPr>
                <w:i/>
                <w:sz w:val="16"/>
              </w:rPr>
              <w:t>6b</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i/>
                <w:sz w:val="16"/>
              </w:rPr>
            </w:pPr>
            <w:r>
              <w:rPr>
                <w:i/>
                <w:sz w:val="16"/>
              </w:rPr>
              <w:t>6i</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sz w:val="16"/>
              </w:rPr>
            </w:pPr>
            <w:r>
              <w:rPr>
                <w:sz w:val="16"/>
              </w:rPr>
              <w:t>20,347</w:t>
            </w:r>
          </w:p>
        </w:tc>
        <w:tc>
          <w:tcPr>
            <w:tcW w:w="99" w:type="dxa"/>
            <w:tcBorders/>
            <w:shd w:fill="CCEEFF" w:val="cle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sz w:val="16"/>
              </w:rPr>
            </w:pPr>
            <w:r>
              <w:rPr>
                <w:sz w:val="16"/>
              </w:rPr>
              <w:t>Programming charges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sz w:val="16"/>
              </w:rPr>
            </w:pPr>
            <w:r>
              <w:rPr>
                <w:sz w:val="16"/>
              </w:rPr>
              <w:t>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sz w:val="16"/>
              </w:rPr>
            </w:pPr>
            <w:r>
              <w:rPr>
                <w:sz w:val="16"/>
              </w:rPr>
              <w:t>41</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3304" w:type="dxa"/>
            <w:tcBorders/>
            <w:shd w:fill="CCEEFF" w:val="clear"/>
            <w:vAlign w:val="center"/>
          </w:tcPr>
          <w:p>
            <w:pPr>
              <w:pStyle w:val="TableContents"/>
              <w:bidi w:val="0"/>
              <w:spacing w:before="0" w:after="283"/>
              <w:jc w:val="left"/>
              <w:rPr>
                <w:sz w:val="16"/>
              </w:rPr>
            </w:pPr>
            <w:r>
              <w:rPr>
                <w:sz w:val="16"/>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sz w:val="16"/>
              </w:rPr>
            </w:pPr>
            <w:r>
              <w:rPr>
                <w:sz w:val="16"/>
              </w:rPr>
              <w:t>3,526</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sz w:val="16"/>
              </w:rPr>
            </w:pPr>
            <w:r>
              <w:rPr>
                <w:sz w:val="16"/>
              </w:rPr>
              <w:t>2,594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sz w:val="16"/>
              </w:rPr>
            </w:pPr>
            <w:r>
              <w:rPr>
                <w:sz w:val="16"/>
              </w:rPr>
              <w:t>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sz w:val="16"/>
              </w:rPr>
            </w:pPr>
            <w:r>
              <w:rPr>
                <w:sz w:val="16"/>
              </w:rPr>
              <w:t>6,136</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3304" w:type="dxa"/>
            <w:tcBorders/>
            <w:shd w:fill="FFFFFF" w:val="clear"/>
            <w:vAlign w:val="center"/>
          </w:tcPr>
          <w:p>
            <w:pPr>
              <w:pStyle w:val="TableContents"/>
              <w:bidi w:val="0"/>
              <w:spacing w:before="0" w:after="283"/>
              <w:jc w:val="left"/>
              <w:rPr>
                <w:sz w:val="16"/>
              </w:rPr>
            </w:pPr>
            <w:r>
              <w:rPr>
                <w:sz w:val="16"/>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sz w:val="16"/>
              </w:rPr>
            </w:pPr>
            <w:r>
              <w:rPr>
                <w:sz w:val="16"/>
              </w:rPr>
              <w:t>204</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sz w:val="16"/>
              </w:rPr>
            </w:pPr>
            <w:r>
              <w:rPr>
                <w:sz w:val="16"/>
              </w:rPr>
              <w:t>590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sz w:val="16"/>
              </w:rPr>
            </w:pPr>
            <w:r>
              <w:rPr>
                <w:sz w:val="16"/>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sz w:val="16"/>
              </w:rPr>
            </w:pPr>
            <w:r>
              <w:rPr>
                <w:sz w:val="16"/>
              </w:rPr>
              <w:t>674</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i/>
                <w:sz w:val="16"/>
              </w:rPr>
            </w:pPr>
            <w:r>
              <w:rPr>
                <w:i/>
                <w:sz w:val="16"/>
              </w:rPr>
              <w:t>6e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sz w:val="16"/>
              </w:rPr>
            </w:pPr>
            <w:r>
              <w:rPr>
                <w:sz w:val="16"/>
              </w:rPr>
              <w:t>1,469</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3304" w:type="dxa"/>
            <w:tcBorders/>
            <w:shd w:fill="CCEEFF" w:val="clear"/>
            <w:vAlign w:val="center"/>
          </w:tcPr>
          <w:p>
            <w:pPr>
              <w:pStyle w:val="TableContents"/>
              <w:bidi w:val="0"/>
              <w:spacing w:before="0" w:after="283"/>
              <w:jc w:val="left"/>
              <w:rPr>
                <w:sz w:val="16"/>
              </w:rPr>
            </w:pPr>
            <w:r>
              <w:rPr>
                <w:sz w:val="16"/>
              </w:rPr>
              <w:t>Impairment charges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sz w:val="16"/>
              </w:rPr>
            </w:pPr>
            <w:r>
              <w:rPr>
                <w:sz w:val="16"/>
              </w:rPr>
              <w:t>157</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sz w:val="16"/>
              </w:rPr>
            </w:pPr>
            <w:r>
              <w:rPr>
                <w:sz w:val="16"/>
              </w:rPr>
              <w:t>157</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3304" w:type="dxa"/>
            <w:tcBorders/>
            <w:shd w:fill="FFFFFF" w:val="clear"/>
            <w:vAlign w:val="center"/>
          </w:tcPr>
          <w:p>
            <w:pPr>
              <w:pStyle w:val="TableContents"/>
              <w:bidi w:val="0"/>
              <w:spacing w:before="0" w:after="283"/>
              <w:jc w:val="left"/>
              <w:rPr>
                <w:sz w:val="16"/>
              </w:rPr>
            </w:pPr>
            <w:r>
              <w:rPr>
                <w:sz w:val="16"/>
              </w:rPr>
              <w:t>Restructuring, transaction-related items, and other corporate matters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454</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8"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731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7"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1,453</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3304" w:type="dxa"/>
            <w:tcBorders/>
            <w:shd w:fill="CCEEFF" w:val="clear"/>
            <w:vAlign w:val="center"/>
          </w:tcPr>
          <w:p>
            <w:pPr>
              <w:pStyle w:val="TableContents"/>
              <w:bidi w:val="0"/>
              <w:spacing w:before="0" w:after="283"/>
              <w:jc w:val="left"/>
              <w:rPr>
                <w:sz w:val="16"/>
              </w:rPr>
            </w:pPr>
            <w:r>
              <w:rPr>
                <w:sz w:val="16"/>
              </w:rPr>
              <w:t>Total costs and expenses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sz w:val="16"/>
              </w:rPr>
            </w:pPr>
            <w:r>
              <w:rPr>
                <w:sz w:val="16"/>
              </w:rPr>
              <w:t>15,628</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sz w:val="16"/>
              </w:rPr>
            </w:pPr>
            <w:r>
              <w:rPr>
                <w:sz w:val="16"/>
              </w:rPr>
              <w:t>12,364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sz w:val="16"/>
              </w:rPr>
            </w:pPr>
            <w:r>
              <w:rPr>
                <w:sz w:val="16"/>
              </w:rPr>
              <w:t>1,009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sz w:val="16"/>
              </w:rPr>
            </w:pPr>
            <w:r>
              <w:rPr>
                <w:sz w:val="16"/>
              </w:rPr>
              <w:t>(72</w:t>
            </w:r>
          </w:p>
        </w:tc>
        <w:tc>
          <w:tcPr>
            <w:tcW w:w="95" w:type="dxa"/>
            <w:tcBorders/>
            <w:shd w:fill="CCEEFF" w:val="clear"/>
            <w:vAlign w:val="center"/>
          </w:tcPr>
          <w:p>
            <w:pPr>
              <w:pStyle w:val="TableContents"/>
              <w:bidi w:val="0"/>
              <w:spacing w:before="0" w:after="283"/>
              <w:jc w:val="left"/>
              <w:rPr/>
            </w:pPr>
            <w:r>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sz w:val="16"/>
              </w:rPr>
            </w:pPr>
            <w:r>
              <w:rPr>
                <w:sz w:val="16"/>
              </w:rPr>
              <w:t>674</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sz w:val="16"/>
              </w:rPr>
            </w:pPr>
            <w:r>
              <w:rPr>
                <w:sz w:val="16"/>
              </w:rPr>
              <w:t>29,603</w:t>
            </w:r>
          </w:p>
        </w:tc>
        <w:tc>
          <w:tcPr>
            <w:tcW w:w="99" w:type="dxa"/>
            <w:tcBorders/>
            <w:shd w:fill="CCEEFF" w:val="cle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sz w:val="16"/>
              </w:rPr>
            </w:pPr>
            <w:r>
              <w:rPr>
                <w:sz w:val="16"/>
              </w:rPr>
              <w:t>Gain on dispositions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35</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7"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35</w:t>
            </w:r>
          </w:p>
        </w:tc>
        <w:tc>
          <w:tcPr>
            <w:tcW w:w="99" w:type="dxa"/>
            <w:tcBorders/>
            <w:shd w:fill="FFFFFF" w:val="clear"/>
            <w:vAlign w:val="center"/>
          </w:tcPr>
          <w:p>
            <w:pPr>
              <w:pStyle w:val="TableContents"/>
              <w:bidi w:val="0"/>
              <w:spacing w:before="0" w:after="283"/>
              <w:jc w:val="left"/>
              <w:rPr/>
            </w:pPr>
            <w:r>
              <w:rPr/>
              <w:t> </w:t>
            </w:r>
          </w:p>
        </w:tc>
      </w:tr>
      <w:tr>
        <w:trPr/>
        <w:tc>
          <w:tcPr>
            <w:tcW w:w="3304" w:type="dxa"/>
            <w:tcBorders/>
            <w:shd w:fill="CCEEFF" w:val="clear"/>
            <w:vAlign w:val="center"/>
          </w:tcPr>
          <w:p>
            <w:pPr>
              <w:pStyle w:val="TableContents"/>
              <w:bidi w:val="0"/>
              <w:spacing w:before="0" w:after="283"/>
              <w:jc w:val="left"/>
              <w:rPr>
                <w:sz w:val="16"/>
              </w:rPr>
            </w:pPr>
            <w:r>
              <w:rPr>
                <w:sz w:val="16"/>
              </w:rPr>
              <w:t>Operating income (loss)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sz w:val="16"/>
              </w:rPr>
            </w:pPr>
            <w:r>
              <w:rPr>
                <w:sz w:val="16"/>
              </w:rPr>
              <w:t>1,029</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sz w:val="16"/>
              </w:rPr>
            </w:pPr>
            <w:r>
              <w:rPr>
                <w:sz w:val="16"/>
              </w:rPr>
              <w:t>(95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sz w:val="16"/>
              </w:rPr>
            </w:pPr>
            <w:r>
              <w:rPr>
                <w:sz w:val="16"/>
              </w:rPr>
              <w:t>(455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sz w:val="16"/>
              </w:rPr>
            </w:pPr>
            <w:r>
              <w:rPr>
                <w:sz w:val="16"/>
              </w:rPr>
              <w:t>21</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sz w:val="16"/>
              </w:rPr>
            </w:pPr>
            <w:r>
              <w:rPr>
                <w:sz w:val="16"/>
              </w:rPr>
              <w:t>(674</w:t>
            </w:r>
          </w:p>
        </w:tc>
        <w:tc>
          <w:tcPr>
            <w:tcW w:w="95" w:type="dxa"/>
            <w:tcBorders/>
            <w:shd w:fill="CCEEFF" w:val="clear"/>
            <w:vAlign w:val="center"/>
          </w:tcPr>
          <w:p>
            <w:pPr>
              <w:pStyle w:val="TableContents"/>
              <w:bidi w:val="0"/>
              <w:spacing w:before="0" w:after="283"/>
              <w:jc w:val="left"/>
              <w:rPr/>
            </w:pPr>
            <w:r>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sz w:val="16"/>
              </w:rPr>
            </w:pPr>
            <w:r>
              <w:rPr>
                <w:sz w:val="16"/>
              </w:rPr>
              <w:t>(174</w:t>
            </w:r>
          </w:p>
        </w:tc>
        <w:tc>
          <w:tcPr>
            <w:tcW w:w="99" w:type="dxa"/>
            <w:tcBorders/>
            <w:shd w:fill="CCEEFF" w:val="clear"/>
            <w:vAlign w:val="center"/>
          </w:tcPr>
          <w:p>
            <w:pPr>
              <w:pStyle w:val="TableContents"/>
              <w:bidi w:val="0"/>
              <w:spacing w:before="0" w:after="283"/>
              <w:jc w:val="left"/>
              <w:rPr>
                <w:sz w:val="16"/>
              </w:rPr>
            </w:pPr>
            <w:r>
              <w:rPr>
                <w:sz w:val="16"/>
              </w:rPr>
              <w:t>)</w:t>
            </w:r>
          </w:p>
        </w:tc>
      </w:tr>
      <w:tr>
        <w:trPr/>
        <w:tc>
          <w:tcPr>
            <w:tcW w:w="3304" w:type="dxa"/>
            <w:tcBorders/>
            <w:shd w:fill="FFFFFF" w:val="clear"/>
            <w:vAlign w:val="center"/>
          </w:tcPr>
          <w:p>
            <w:pPr>
              <w:pStyle w:val="TableContents"/>
              <w:bidi w:val="0"/>
              <w:spacing w:before="0" w:after="283"/>
              <w:jc w:val="left"/>
              <w:rPr>
                <w:sz w:val="16"/>
              </w:rPr>
            </w:pPr>
            <w:r>
              <w:rPr>
                <w:sz w:val="16"/>
              </w:rPr>
              <w:t>Interest expense,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sz w:val="16"/>
              </w:rPr>
            </w:pPr>
            <w:r>
              <w:rPr>
                <w:sz w:val="16"/>
              </w:rPr>
              <w:t>(433</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sz w:val="16"/>
              </w:rPr>
            </w:pPr>
            <w:r>
              <w:rPr>
                <w:sz w:val="16"/>
              </w:rPr>
              <w:t>(302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sz w:val="16"/>
              </w:rPr>
            </w:pPr>
            <w:r>
              <w:rPr>
                <w:sz w:val="16"/>
              </w:rPr>
              <w:t>(8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sz w:val="16"/>
              </w:rPr>
            </w:pPr>
            <w:r>
              <w:rPr>
                <w:sz w:val="16"/>
              </w:rPr>
              <w:t>14</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i/>
                <w:sz w:val="16"/>
              </w:rPr>
            </w:pPr>
            <w:r>
              <w:rPr>
                <w:i/>
                <w:sz w:val="16"/>
              </w:rPr>
              <w:t>6c</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sz w:val="16"/>
              </w:rPr>
            </w:pPr>
            <w:r>
              <w:rPr>
                <w:sz w:val="16"/>
              </w:rPr>
              <w:t>(31</w:t>
            </w:r>
          </w:p>
        </w:tc>
        <w:tc>
          <w:tcPr>
            <w:tcW w:w="95" w:type="dxa"/>
            <w:tcBorders/>
            <w:shd w:fill="FFFFFF" w:val="clear"/>
            <w:vAlign w:val="center"/>
          </w:tcPr>
          <w:p>
            <w:pPr>
              <w:pStyle w:val="TableContents"/>
              <w:bidi w:val="0"/>
              <w:spacing w:before="0" w:after="283"/>
              <w:jc w:val="left"/>
              <w:rPr/>
            </w:pPr>
            <w:r>
              <w:rPr/>
              <w:t>)</w:t>
            </w:r>
          </w:p>
        </w:tc>
        <w:tc>
          <w:tcPr>
            <w:tcW w:w="200" w:type="dxa"/>
            <w:tcBorders/>
            <w:shd w:fill="FFFFFF" w:val="clear"/>
            <w:vAlign w:val="center"/>
          </w:tcPr>
          <w:p>
            <w:pPr>
              <w:pStyle w:val="TableContents"/>
              <w:bidi w:val="0"/>
              <w:spacing w:before="0" w:after="283"/>
              <w:jc w:val="left"/>
              <w:rPr>
                <w:i/>
                <w:sz w:val="16"/>
              </w:rPr>
            </w:pPr>
            <w:r>
              <w:rPr>
                <w:i/>
                <w:sz w:val="16"/>
              </w:rPr>
              <w:t>6f</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sz w:val="16"/>
              </w:rPr>
            </w:pPr>
            <w:r>
              <w:rPr>
                <w:sz w:val="16"/>
              </w:rPr>
              <w:t>(760</w:t>
            </w:r>
          </w:p>
        </w:tc>
        <w:tc>
          <w:tcPr>
            <w:tcW w:w="99" w:type="dxa"/>
            <w:tcBorders/>
            <w:shd w:fill="FFFFFF" w:val="clear"/>
            <w:vAlign w:val="center"/>
          </w:tcPr>
          <w:p>
            <w:pPr>
              <w:pStyle w:val="TableContents"/>
              <w:bidi w:val="0"/>
              <w:spacing w:before="0" w:after="283"/>
              <w:jc w:val="left"/>
              <w:rPr>
                <w:sz w:val="16"/>
              </w:rPr>
            </w:pPr>
            <w:r>
              <w:rPr>
                <w:sz w:val="16"/>
              </w:rPr>
              <w:t>)</w:t>
            </w:r>
          </w:p>
        </w:tc>
      </w:tr>
      <w:tr>
        <w:trPr/>
        <w:tc>
          <w:tcPr>
            <w:tcW w:w="3304" w:type="dxa"/>
            <w:tcBorders/>
            <w:shd w:fill="CCEEFF" w:val="clear"/>
            <w:vAlign w:val="center"/>
          </w:tcPr>
          <w:p>
            <w:pPr>
              <w:pStyle w:val="TableContents"/>
              <w:bidi w:val="0"/>
              <w:spacing w:before="0" w:after="283"/>
              <w:jc w:val="left"/>
              <w:rPr>
                <w:sz w:val="16"/>
              </w:rPr>
            </w:pPr>
            <w:r>
              <w:rPr>
                <w:sz w:val="16"/>
              </w:rPr>
              <w:t>Loss from investments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sz w:val="16"/>
              </w:rPr>
            </w:pPr>
            <w:r>
              <w:rPr>
                <w:sz w:val="16"/>
              </w:rPr>
              <w:t>(40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sz w:val="16"/>
              </w:rPr>
            </w:pPr>
            <w:r>
              <w:rPr>
                <w:sz w:val="16"/>
              </w:rPr>
              <w:t>(40</w:t>
            </w:r>
          </w:p>
        </w:tc>
        <w:tc>
          <w:tcPr>
            <w:tcW w:w="99" w:type="dxa"/>
            <w:tcBorders/>
            <w:shd w:fill="CCEEFF" w:val="clear"/>
            <w:vAlign w:val="center"/>
          </w:tcPr>
          <w:p>
            <w:pPr>
              <w:pStyle w:val="TableContents"/>
              <w:bidi w:val="0"/>
              <w:spacing w:before="0" w:after="283"/>
              <w:jc w:val="left"/>
              <w:rPr>
                <w:sz w:val="16"/>
              </w:rPr>
            </w:pPr>
            <w:r>
              <w:rPr>
                <w:sz w:val="16"/>
              </w:rPr>
              <w:t>)</w:t>
            </w:r>
          </w:p>
        </w:tc>
      </w:tr>
      <w:tr>
        <w:trPr/>
        <w:tc>
          <w:tcPr>
            <w:tcW w:w="3304" w:type="dxa"/>
            <w:tcBorders/>
            <w:shd w:fill="FFFFFF" w:val="clear"/>
            <w:vAlign w:val="center"/>
          </w:tcPr>
          <w:p>
            <w:pPr>
              <w:pStyle w:val="TableContents"/>
              <w:bidi w:val="0"/>
              <w:spacing w:before="0" w:after="283"/>
              <w:jc w:val="left"/>
              <w:rPr>
                <w:sz w:val="16"/>
              </w:rPr>
            </w:pPr>
            <w:r>
              <w:rPr>
                <w:sz w:val="16"/>
              </w:rPr>
              <w:t>Other items, net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(92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8"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80</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i/>
                <w:sz w:val="16"/>
              </w:rPr>
            </w:pPr>
            <w:r>
              <w:rPr>
                <w:i/>
                <w:sz w:val="16"/>
              </w:rPr>
              <w:t>6g</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7"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(51</w:t>
            </w:r>
          </w:p>
        </w:tc>
        <w:tc>
          <w:tcPr>
            <w:tcW w:w="99"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3304" w:type="dxa"/>
            <w:tcBorders/>
            <w:shd w:fill="CCEEFF" w:val="clear"/>
            <w:vAlign w:val="center"/>
          </w:tcPr>
          <w:p>
            <w:pPr>
              <w:pStyle w:val="TableContents"/>
              <w:bidi w:val="0"/>
              <w:spacing w:before="0" w:after="283"/>
              <w:jc w:val="left"/>
              <w:rPr>
                <w:sz w:val="16"/>
              </w:rPr>
            </w:pPr>
            <w:r>
              <w:rPr>
                <w:sz w:val="16"/>
              </w:rPr>
              <w:t>Earnings (loss) before income taxes and equity in loss of investee companies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sz w:val="16"/>
              </w:rPr>
            </w:pPr>
            <w:r>
              <w:rPr>
                <w:sz w:val="16"/>
              </w:rPr>
              <w:t>504</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sz w:val="16"/>
              </w:rPr>
            </w:pPr>
            <w:r>
              <w:rPr>
                <w:sz w:val="16"/>
              </w:rPr>
              <w:t>(476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sz w:val="16"/>
              </w:rPr>
            </w:pPr>
            <w:r>
              <w:rPr>
                <w:sz w:val="16"/>
              </w:rPr>
              <w:t>(463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sz w:val="16"/>
              </w:rPr>
            </w:pPr>
            <w:r>
              <w:rPr>
                <w:sz w:val="16"/>
              </w:rPr>
              <w:t>35</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sz w:val="16"/>
              </w:rPr>
            </w:pPr>
            <w:r>
              <w:rPr>
                <w:sz w:val="16"/>
              </w:rPr>
              <w:t>(625</w:t>
            </w:r>
          </w:p>
        </w:tc>
        <w:tc>
          <w:tcPr>
            <w:tcW w:w="95" w:type="dxa"/>
            <w:tcBorders/>
            <w:shd w:fill="CCEEFF" w:val="clear"/>
            <w:vAlign w:val="center"/>
          </w:tcPr>
          <w:p>
            <w:pPr>
              <w:pStyle w:val="TableContents"/>
              <w:bidi w:val="0"/>
              <w:spacing w:before="0" w:after="283"/>
              <w:jc w:val="left"/>
              <w:rPr/>
            </w:pPr>
            <w:r>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sz w:val="16"/>
              </w:rPr>
            </w:pPr>
            <w:r>
              <w:rPr>
                <w:sz w:val="16"/>
              </w:rPr>
              <w:t>(1,025</w:t>
            </w:r>
          </w:p>
        </w:tc>
        <w:tc>
          <w:tcPr>
            <w:tcW w:w="99" w:type="dxa"/>
            <w:tcBorders/>
            <w:shd w:fill="CCEEFF" w:val="clear"/>
            <w:vAlign w:val="center"/>
          </w:tcPr>
          <w:p>
            <w:pPr>
              <w:pStyle w:val="TableContents"/>
              <w:bidi w:val="0"/>
              <w:spacing w:before="0" w:after="283"/>
              <w:jc w:val="left"/>
              <w:rPr>
                <w:sz w:val="16"/>
              </w:rPr>
            </w:pPr>
            <w:r>
              <w:rPr>
                <w:sz w:val="16"/>
              </w:rPr>
              <w:t>)</w:t>
            </w:r>
          </w:p>
        </w:tc>
      </w:tr>
      <w:tr>
        <w:trPr/>
        <w:tc>
          <w:tcPr>
            <w:tcW w:w="3304" w:type="dxa"/>
            <w:tcBorders/>
            <w:shd w:fill="FFFFFF" w:val="clear"/>
            <w:vAlign w:val="center"/>
          </w:tcPr>
          <w:p>
            <w:pPr>
              <w:pStyle w:val="TableContents"/>
              <w:bidi w:val="0"/>
              <w:spacing w:before="0" w:after="283"/>
              <w:jc w:val="left"/>
              <w:rPr>
                <w:sz w:val="16"/>
              </w:rPr>
            </w:pPr>
            <w:r>
              <w:rPr>
                <w:sz w:val="16"/>
              </w:rPr>
              <w:t>Benefit from income taxes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sz w:val="16"/>
              </w:rPr>
            </w:pPr>
            <w:r>
              <w:rPr>
                <w:sz w:val="16"/>
              </w:rPr>
              <w:t>79</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sz w:val="16"/>
              </w:rPr>
            </w:pPr>
            <w:r>
              <w:rPr>
                <w:sz w:val="16"/>
              </w:rPr>
              <w:t>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sz w:val="16"/>
              </w:rPr>
            </w:pPr>
            <w:r>
              <w:rPr>
                <w:sz w:val="16"/>
              </w:rPr>
              <w:t>47</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i/>
                <w:sz w:val="16"/>
              </w:rPr>
            </w:pPr>
            <w:r>
              <w:rPr>
                <w:i/>
                <w:sz w:val="16"/>
              </w:rPr>
              <w:t>6d</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sz w:val="16"/>
              </w:rPr>
            </w:pPr>
            <w:r>
              <w:rPr>
                <w:sz w:val="16"/>
              </w:rPr>
              <w:t>153</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i/>
                <w:sz w:val="16"/>
              </w:rPr>
            </w:pPr>
            <w:r>
              <w:rPr>
                <w:i/>
                <w:sz w:val="16"/>
              </w:rPr>
              <w:t>6h</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sz w:val="16"/>
              </w:rPr>
            </w:pPr>
            <w:r>
              <w:rPr>
                <w:sz w:val="16"/>
              </w:rPr>
              <w:t>319</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3304" w:type="dxa"/>
            <w:tcBorders/>
            <w:shd w:fill="CCEEFF" w:val="clear"/>
            <w:vAlign w:val="center"/>
          </w:tcPr>
          <w:p>
            <w:pPr>
              <w:pStyle w:val="TableContents"/>
              <w:bidi w:val="0"/>
              <w:spacing w:before="0" w:after="283"/>
              <w:jc w:val="left"/>
              <w:rPr>
                <w:sz w:val="16"/>
              </w:rPr>
            </w:pPr>
            <w:r>
              <w:rPr>
                <w:sz w:val="16"/>
              </w:rPr>
              <w:t>Equity in loss of investee companies, net of tax</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(171</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8"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(104</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(275</w:t>
            </w:r>
          </w:p>
        </w:tc>
        <w:tc>
          <w:tcPr>
            <w:tcW w:w="99"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3304" w:type="dxa"/>
            <w:tcBorders/>
            <w:shd w:fill="FFFFFF" w:val="clear"/>
            <w:vAlign w:val="center"/>
          </w:tcPr>
          <w:p>
            <w:pPr>
              <w:pStyle w:val="TableContents"/>
              <w:bidi w:val="0"/>
              <w:spacing w:before="0" w:after="283"/>
              <w:jc w:val="left"/>
              <w:rPr>
                <w:sz w:val="16"/>
              </w:rPr>
            </w:pPr>
            <w:r>
              <w:rPr>
                <w:sz w:val="16"/>
              </w:rPr>
              <w:t>Net earnings (loss) (Paramount and noncontrolling interests)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sz w:val="16"/>
              </w:rPr>
            </w:pPr>
            <w:r>
              <w:rPr>
                <w:sz w:val="16"/>
              </w:rPr>
              <w:t>412</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sz w:val="16"/>
              </w:rPr>
            </w:pPr>
            <w:r>
              <w:rPr>
                <w:sz w:val="16"/>
              </w:rPr>
              <w:t>(540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sz w:val="16"/>
              </w:rPr>
            </w:pPr>
            <w:r>
              <w:rPr>
                <w:sz w:val="16"/>
              </w:rPr>
              <w:t>(463</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sz w:val="16"/>
              </w:rPr>
            </w:pPr>
            <w:r>
              <w:rPr>
                <w:sz w:val="16"/>
              </w:rPr>
              <w:t>82</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sz w:val="16"/>
              </w:rPr>
            </w:pPr>
            <w:r>
              <w:rPr>
                <w:sz w:val="16"/>
              </w:rPr>
              <w:t>(472</w:t>
            </w:r>
          </w:p>
        </w:tc>
        <w:tc>
          <w:tcPr>
            <w:tcW w:w="95" w:type="dxa"/>
            <w:tcBorders/>
            <w:shd w:fill="FFFFFF" w:val="clear"/>
            <w:vAlign w:val="center"/>
          </w:tcPr>
          <w:p>
            <w:pPr>
              <w:pStyle w:val="TableContents"/>
              <w:bidi w:val="0"/>
              <w:spacing w:before="0" w:after="283"/>
              <w:jc w:val="left"/>
              <w:rPr/>
            </w:pPr>
            <w:r>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sz w:val="16"/>
              </w:rPr>
            </w:pPr>
            <w:r>
              <w:rPr>
                <w:sz w:val="16"/>
              </w:rPr>
              <w:t>(981</w:t>
            </w:r>
          </w:p>
        </w:tc>
        <w:tc>
          <w:tcPr>
            <w:tcW w:w="99"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3304" w:type="dxa"/>
            <w:tcBorders/>
            <w:shd w:fill="CCEEFF" w:val="clear"/>
            <w:vAlign w:val="center"/>
          </w:tcPr>
          <w:p>
            <w:pPr>
              <w:pStyle w:val="TableContents"/>
              <w:bidi w:val="0"/>
              <w:spacing w:before="0" w:after="283"/>
              <w:jc w:val="left"/>
              <w:rPr>
                <w:sz w:val="16"/>
              </w:rPr>
            </w:pPr>
            <w:r>
              <w:rPr>
                <w:sz w:val="16"/>
              </w:rPr>
              <w:t>Net earnings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(447</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8"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(490</w:t>
            </w:r>
          </w:p>
        </w:tc>
        <w:tc>
          <w:tcPr>
            <w:tcW w:w="99"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3304" w:type="dxa"/>
            <w:tcBorders/>
            <w:shd w:fill="FFFFFF" w:val="clear"/>
            <w:vAlign w:val="center"/>
          </w:tcPr>
          <w:p>
            <w:pPr>
              <w:pStyle w:val="TableContents"/>
              <w:bidi w:val="0"/>
              <w:spacing w:before="0" w:after="283"/>
              <w:jc w:val="left"/>
              <w:rPr>
                <w:sz w:val="16"/>
              </w:rPr>
            </w:pPr>
            <w:r>
              <w:rPr>
                <w:sz w:val="16"/>
              </w:rPr>
              <w:t>Net loss attributable to Paramount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721"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(35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698"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(586</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727"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(460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723"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82</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42"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(472</w:t>
            </w:r>
          </w:p>
        </w:tc>
        <w:tc>
          <w:tcPr>
            <w:tcW w:w="95" w:type="dxa"/>
            <w:tcBorders/>
            <w:shd w:fill="FFFFFF" w:val="clear"/>
            <w:vAlign w:val="center"/>
          </w:tcPr>
          <w:p>
            <w:pPr>
              <w:pStyle w:val="TableContents"/>
              <w:bidi w:val="0"/>
              <w:spacing w:before="0" w:after="283"/>
              <w:jc w:val="left"/>
              <w:rPr/>
            </w:pPr>
            <w:r>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697"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(1,471</w:t>
            </w:r>
          </w:p>
        </w:tc>
        <w:tc>
          <w:tcPr>
            <w:tcW w:w="99" w:type="dxa"/>
            <w:tcBorders/>
            <w:shd w:fill="FFFFFF" w:val="clear"/>
            <w:vAlign w:val="center"/>
          </w:tcPr>
          <w:p>
            <w:pPr>
              <w:pStyle w:val="TableContents"/>
              <w:bidi w:val="0"/>
              <w:spacing w:before="0" w:after="283"/>
              <w:jc w:val="left"/>
              <w:rPr>
                <w:sz w:val="16"/>
              </w:rPr>
            </w:pPr>
            <w:r>
              <w:rPr>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(1)</w:t>
            </w:r>
          </w:p>
        </w:tc>
        <w:tc>
          <w:tcPr>
            <w:tcW w:w="9907" w:type="dxa"/>
            <w:tcBorders/>
            <w:vAlign w:val="center"/>
          </w:tcPr>
          <w:p>
            <w:pPr>
              <w:pStyle w:val="TableContents"/>
              <w:bidi w:val="0"/>
              <w:spacing w:before="0" w:after="283"/>
              <w:jc w:val="both"/>
              <w:rPr/>
            </w:pPr>
            <w:r>
              <w:rPr/>
              <w:t>Represents the historical results of Paramount Global and pro forma adjustments for the period from January 1, 2025 to August 6,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(2)</w:t>
            </w:r>
          </w:p>
        </w:tc>
        <w:tc>
          <w:tcPr>
            <w:tcW w:w="9907" w:type="dxa"/>
            <w:tcBorders/>
            <w:vAlign w:val="center"/>
          </w:tcPr>
          <w:p>
            <w:pPr>
              <w:pStyle w:val="TableContents"/>
              <w:bidi w:val="0"/>
              <w:spacing w:before="0" w:after="283"/>
              <w:jc w:val="both"/>
              <w:rPr/>
            </w:pPr>
            <w:r>
              <w:rPr/>
              <w:t>Represents the historical results for the period from August 7, 2025 through December 31,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907" w:type="dxa"/>
            <w:tcBorders/>
            <w:vAlign w:val="center"/>
          </w:tcPr>
          <w:p>
            <w:pPr>
              <w:pStyle w:val="TableContents"/>
              <w:bidi w:val="0"/>
              <w:spacing w:before="0" w:after="283"/>
              <w:jc w:val="both"/>
              <w:rPr/>
            </w:pPr>
            <w:r>
              <w:rPr/>
              <w:t>Represents the historical results of Skydance for the period from January 1, 2025 to August 6, 2025, derived from the historical books and records of Skydance.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2"/>
        <w:gridCol w:w="9825"/>
      </w:tblGrid>
      <w:tr>
        <w:trPr/>
        <w:tc>
          <w:tcPr>
            <w:tcW w:w="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(6a)</w:t>
            </w:r>
          </w:p>
        </w:tc>
        <w:tc>
          <w:tcPr>
            <w:tcW w:w="9825" w:type="dxa"/>
            <w:tcBorders/>
            <w:vAlign w:val="center"/>
          </w:tcPr>
          <w:p>
            <w:pPr>
              <w:pStyle w:val="TableContents"/>
              <w:bidi w:val="0"/>
              <w:spacing w:before="0" w:after="283"/>
              <w:jc w:val="both"/>
              <w:rPr/>
            </w:pPr>
            <w:r>
              <w:rPr/>
              <w:t>The pro forma adjustment to “Revenues” reflects a reduction of $51 million primarily for Skydance’s co-participant share of revenues for feature film and television productions with Paramount that would have been eliminated upon consolidation if the Skydance Transactions had occurred on January 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25</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8"/>
        <w:gridCol w:w="9819"/>
      </w:tblGrid>
      <w:tr>
        <w:trPr/>
        <w:tc>
          <w:tcPr>
            <w:tcW w:w="3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(6b)</w:t>
            </w:r>
          </w:p>
        </w:tc>
        <w:tc>
          <w:tcPr>
            <w:tcW w:w="9819" w:type="dxa"/>
            <w:tcBorders/>
            <w:vAlign w:val="center"/>
          </w:tcPr>
          <w:p>
            <w:pPr>
              <w:pStyle w:val="TableContents"/>
              <w:bidi w:val="0"/>
              <w:spacing w:before="0" w:after="283"/>
              <w:jc w:val="both"/>
              <w:rPr/>
            </w:pPr>
            <w:r>
              <w:rPr/>
              <w:t>“</w:t>
            </w:r>
            <w:r>
              <w:rPr/>
              <w:t>Operating expenses” has been adjusted for the impact of intercompany transactions between Paramount and Skydance, including elimination of Paramount’s participation expenses related to Skydance’s proportionate share of revenue for co-production titles, recorded on a gross basis by Paramount and adjustments to the historical amortization of production costs that would have been recorded for co-production titles had Paramount and Skydance been a combined entity during the Predecessor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8"/>
        <w:gridCol w:w="9829"/>
      </w:tblGrid>
      <w:tr>
        <w:trPr/>
        <w:tc>
          <w:tcPr>
            <w:tcW w:w="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(6c)</w:t>
            </w:r>
          </w:p>
        </w:tc>
        <w:tc>
          <w:tcPr>
            <w:tcW w:w="9829" w:type="dxa"/>
            <w:tcBorders/>
            <w:vAlign w:val="center"/>
          </w:tcPr>
          <w:p>
            <w:pPr>
              <w:pStyle w:val="TableContents"/>
              <w:bidi w:val="0"/>
              <w:spacing w:before="0" w:after="283"/>
              <w:jc w:val="both"/>
              <w:rPr/>
            </w:pPr>
            <w:r>
              <w:rPr/>
              <w:t>The transaction accounting adjustment to “Interest expense, net” reflects the impact of the repayment of outstanding borrowings under Skydance’s revolving credit facility in connection with the closing of the Skydance Transactions. Interest expense would have decreased by $14 million if the Skydance Transactions and NAI Transaction had occurred on January 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6"/>
        <w:gridCol w:w="9801"/>
      </w:tblGrid>
      <w:tr>
        <w:trPr/>
        <w:tc>
          <w:tcPr>
            <w:tcW w:w="3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pPr>
            <w:r>
              <w:rPr/>
              <w:t>(6d)</w:t>
            </w:r>
          </w:p>
        </w:tc>
        <w:tc>
          <w:tcPr>
            <w:tcW w:w="9801" w:type="dxa"/>
            <w:tcBorders/>
            <w:vAlign w:val="center"/>
          </w:tcPr>
          <w:p>
            <w:pPr>
              <w:pStyle w:val="TableContents"/>
              <w:bidi w:val="0"/>
              <w:spacing w:before="0" w:after="283"/>
              <w:jc w:val="both"/>
              <w:rPr/>
            </w:pPr>
            <w:r>
              <w:rPr/>
              <w:t>The transaction accounting adjustment to “Benefit from income taxes” reflects an increase to the tax benefit of $47 million for the inclusion of Skydance in Paramount’s consolidated income tax calculation for the Predecessor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8"/>
        <w:gridCol w:w="9829"/>
      </w:tblGrid>
      <w:tr>
        <w:trPr/>
        <w:tc>
          <w:tcPr>
            <w:tcW w:w="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(6e)</w:t>
            </w:r>
          </w:p>
        </w:tc>
        <w:tc>
          <w:tcPr>
            <w:tcW w:w="9829" w:type="dxa"/>
            <w:tcBorders/>
            <w:vAlign w:val="center"/>
          </w:tcPr>
          <w:p>
            <w:pPr>
              <w:pStyle w:val="TableContents"/>
              <w:bidi w:val="0"/>
              <w:spacing w:before="0" w:after="283"/>
              <w:jc w:val="both"/>
              <w:rPr/>
            </w:pPr>
            <w:r>
              <w:rPr/>
              <w:t>The pro forma adjustment to “Depreciation and amortization” reflects the impact from the changes to Paramount Global’s historical basis applied as if the Skydance Transactions and NAI Transaction had occurred on January 1, 2025. The adjustment of $674 million principally reflects net incremental amortization expense related to identified finite-lived intangible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0"/>
        <w:gridCol w:w="9857"/>
      </w:tblGrid>
      <w:tr>
        <w:trPr/>
        <w:tc>
          <w:tcPr>
            <w:tcW w:w="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(6f)</w:t>
            </w:r>
          </w:p>
        </w:tc>
        <w:tc>
          <w:tcPr>
            <w:tcW w:w="9857" w:type="dxa"/>
            <w:tcBorders/>
            <w:vAlign w:val="center"/>
          </w:tcPr>
          <w:p>
            <w:pPr>
              <w:pStyle w:val="TableContents"/>
              <w:bidi w:val="0"/>
              <w:spacing w:before="0" w:after="283"/>
              <w:jc w:val="both"/>
              <w:rPr/>
            </w:pPr>
            <w:r>
              <w:rPr/>
              <w:t>The pro forma adjustment of $31 million to “Interest expense, net” reflects the amortization of the fair value adjustment to debt, partially offset by the removal of the amortization of debt issuance costs as the unamortized debt issuance costs relating to Paramount Global’s debt were reversed in connection with recording the debt at fair value.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6"/>
        <w:gridCol w:w="9811"/>
      </w:tblGrid>
      <w:tr>
        <w:trPr/>
        <w:tc>
          <w:tcPr>
            <w:tcW w:w="3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pPr>
            <w:r>
              <w:rPr/>
              <w:t>(6g)</w:t>
            </w:r>
          </w:p>
        </w:tc>
        <w:tc>
          <w:tcPr>
            <w:tcW w:w="9811" w:type="dxa"/>
            <w:tcBorders/>
            <w:vAlign w:val="center"/>
          </w:tcPr>
          <w:p>
            <w:pPr>
              <w:pStyle w:val="TableContents"/>
              <w:bidi w:val="0"/>
              <w:spacing w:before="0" w:after="283"/>
              <w:jc w:val="both"/>
              <w:rPr/>
            </w:pPr>
            <w:r>
              <w:rPr/>
              <w:t>The pro forma adjustment of $80 million to “Other items, net” reflects the reversal of the amortization of net actuarial losses for Paramount Global’s pension and other postretirement benefit plans. Paramount Global’s historical equity accounts were reversed in connection with the pushdown of the Ultimate Parent’s basis.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9"/>
        <w:gridCol w:w="9808"/>
      </w:tblGrid>
      <w:tr>
        <w:trPr/>
        <w:tc>
          <w:tcPr>
            <w:tcW w:w="3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(6h)</w:t>
            </w:r>
          </w:p>
        </w:tc>
        <w:tc>
          <w:tcPr>
            <w:tcW w:w="9808" w:type="dxa"/>
            <w:tcBorders/>
            <w:vAlign w:val="center"/>
          </w:tcPr>
          <w:p>
            <w:pPr>
              <w:pStyle w:val="TableContents"/>
              <w:bidi w:val="0"/>
              <w:spacing w:before="0" w:after="283"/>
              <w:jc w:val="both"/>
              <w:rPr/>
            </w:pPr>
            <w:r>
              <w:rPr/>
              <w:t>The pro forma adjustment of $153 million to “Benefit from income taxes” for the year ended December 31, 2025 reflects the tax impacts of the pro forma adjustments to Paramount Global’s basis as if the Skydance Transactions and NAI Transaction had occurred on January 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(6i)</w:t>
            </w:r>
          </w:p>
        </w:tc>
        <w:tc>
          <w:tcPr>
            <w:tcW w:w="9882" w:type="dxa"/>
            <w:tcBorders/>
            <w:vAlign w:val="center"/>
          </w:tcPr>
          <w:p>
            <w:pPr>
              <w:pStyle w:val="TableContents"/>
              <w:bidi w:val="0"/>
              <w:spacing w:before="0" w:after="283"/>
              <w:jc w:val="both"/>
              <w:rPr/>
            </w:pPr>
            <w:r>
              <w:rPr/>
              <w:t>The unaudited pro forma Condensed Combined Statements of Operations do not include any pro forma adjustments to “Operating expenses” as a result of recording Paramount Global’s programming assets at their estimated fair values. It is not practicable to estimate the impact of the fair value adjustments on historical content amortization expense because Paramount’s content portfolio at any point in time is comprised of numerous assets with a different mix of useful lives and amortization patterns that limit the comparability of the content portfolio as of the closing of the Skydance Transactions to the content portfolio in prior historical periods.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(6j)</w:t>
            </w:r>
          </w:p>
        </w:tc>
        <w:tc>
          <w:tcPr>
            <w:tcW w:w="9883" w:type="dxa"/>
            <w:tcBorders/>
            <w:vAlign w:val="center"/>
          </w:tcPr>
          <w:p>
            <w:pPr>
              <w:pStyle w:val="TableContents"/>
              <w:bidi w:val="0"/>
              <w:spacing w:before="0" w:after="283"/>
              <w:jc w:val="both"/>
              <w:rPr/>
            </w:pPr>
            <w:r>
              <w:rPr/>
              <w:t>The Paramount Adjusted basic and diluted weighted average number of common shares outstanding of 1,099 million for the year ended December 31, 2025 is calculated based on a weighted average of the number of days in each of the Predecessor and Successor periods, as further detailed in the table below. Since the unaudited pro forma condensed combined Statement of Operations gives effect to the Skydance Transactions as if they occurred on January 1, 2025, the weighted average number of common shares outstanding for the Predecessor period has been adjusted to reflect the actual common shares outstanding of 1,096 million as of August 7, 2025 following the closing of the Skydance Transactions.</w:t>
            </w:r>
          </w:p>
        </w:tc>
      </w:tr>
    </w:tbl>
    <w:p>
      <w:pPr>
        <w:pStyle w:val="TextBody"/>
        <w:bidi w:val="0"/>
        <w:spacing w:before="0" w:after="0"/>
        <w:ind w:left="0" w:right="0" w:hanging="0"/>
        <w:jc w:val="left"/>
        <w:rPr>
          <w:caps w:val="false"/>
          <w:smallCaps w:val="false"/>
        </w:rPr>
      </w:pPr>
      <w:r>
        <w:rPr>
          <w:caps w:val="false"/>
          <w:smallCaps w:val="false"/>
        </w:rPr>
        <w:t> </w:t>
      </w:r>
    </w:p>
    <w:tbl>
      <w:tblPr>
        <w:tblW w:w="7588" w:type="dxa"/>
        <w:jc w:val="center"/>
        <w:tblInd w:w="0" w:type="dxa"/>
        <w:tblLayout w:type="fixed"/>
        <w:tblCellMar>
          <w:top w:w="0" w:type="dxa"/>
          <w:left w:w="0" w:type="dxa"/>
          <w:bottom w:w="0" w:type="dxa"/>
          <w:right w:w="0" w:type="dxa"/>
        </w:tblCellMar>
      </w:tblPr>
      <w:tblGrid>
        <w:gridCol w:w="5015"/>
        <w:gridCol w:w="60"/>
        <w:gridCol w:w="183"/>
        <w:gridCol w:w="1486"/>
        <w:gridCol w:w="60"/>
        <w:gridCol w:w="60"/>
        <w:gridCol w:w="98"/>
        <w:gridCol w:w="551"/>
        <w:gridCol w:w="75"/>
      </w:tblGrid>
      <w:tr>
        <w:trPr/>
        <w:tc>
          <w:tcPr>
            <w:tcW w:w="5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br/>
              <w:t>Shares Outstanding</w:t>
              <w:br/>
              <w:t>(in millions)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Days in</w:t>
              <w:br/>
              <w:t>Period</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Predecessor Period January 1, 2025 - August 6,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Period August 7, 2025 -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sz w:val="20"/>
              </w:rPr>
            </w:pPr>
            <w:r>
              <w:rPr>
                <w:b/>
                <w:sz w:val="20"/>
              </w:rPr>
              <w:t>Paramount, Adjusted January 1, 2025 -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26</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PARAMOUNT-WBD INTERCOMPANY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between Paramount and WBD primarily include content licensing, co-production, and advertising arrangements. The unaudited pro forma Condensed Combined Statements of Operations include estimated adjustments to eliminate transactions between Paramount and WBD for content licensing, co-production, and advertising arrangements, consisting of revenues and expenses recognized as part of the intercompany transactions and adjustments to the amortization expense for the profit in capitalized content licenses. The unaudited pro forma Condensed Combined Balance Sheet includes adjustments to eliminate “Accounts Receivable” and “Accounts Payable” between Paramount and WBD for content licensing and advertising arrangements, the elimination of intercompany profit on content licensing arrangements recorded within “Programming and other inventory”, and the elimination of “Accrued programming and production costs” related to programming obligations between Paramount and WBD. “Goodwill” was also adjusted to eliminate intercompany profit on content licensing arrangements to reflect the impact of the elimination on retained earnings that is adjusted against goodwill as part of purchase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OTHER TRANSACTION ACCOUNTING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Transaction-Related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include adjustments for transaction-related costs expected to be incurred by Paramount from July 1, 2026 through the closing date of the Acquisition. These costs and the corresponding adjustments to “Accrued expenses” on the unaudited pro forma Condensed Combined Balance Sheet and “Restructuring, transaction-related items and other corporate matters” on the unaudited pro forma Condensed Combined Statement of Operations for the year ended December 31, 2025 are described in the table below.</w:t>
      </w:r>
    </w:p>
    <w:p>
      <w:pPr>
        <w:pStyle w:val="TextBody"/>
        <w:bidi w:val="0"/>
        <w:spacing w:before="0" w:after="0"/>
        <w:ind w:left="0" w:right="0" w:hanging="0"/>
        <w:jc w:val="left"/>
        <w:rPr>
          <w:caps w:val="false"/>
          <w:smallCaps w:val="false"/>
        </w:rPr>
      </w:pPr>
      <w:r>
        <w:rPr>
          <w:caps w:val="false"/>
          <w:smallCaps w:val="false"/>
        </w:rPr>
        <w:t> </w:t>
      </w:r>
    </w:p>
    <w:tbl>
      <w:tblPr>
        <w:tblW w:w="6468" w:type="dxa"/>
        <w:jc w:val="center"/>
        <w:tblInd w:w="0" w:type="dxa"/>
        <w:tblLayout w:type="fixed"/>
        <w:tblCellMar>
          <w:top w:w="0" w:type="dxa"/>
          <w:left w:w="0" w:type="dxa"/>
          <w:bottom w:w="0" w:type="dxa"/>
          <w:right w:w="0" w:type="dxa"/>
        </w:tblCellMar>
      </w:tblPr>
      <w:tblGrid>
        <w:gridCol w:w="2060"/>
        <w:gridCol w:w="60"/>
        <w:gridCol w:w="420"/>
        <w:gridCol w:w="1129"/>
        <w:gridCol w:w="60"/>
        <w:gridCol w:w="60"/>
        <w:gridCol w:w="644"/>
        <w:gridCol w:w="1730"/>
        <w:gridCol w:w="60"/>
        <w:gridCol w:w="245"/>
      </w:tblGrid>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 Expenses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Restructuring, Transaction-</w:t>
              <w:br/>
              <w:t>Related Items and Other</w:t>
              <w:br/>
              <w:t>Corporate Matters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Transaction-related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8a</w:t>
            </w:r>
          </w:p>
        </w:tc>
      </w:tr>
      <w:tr>
        <w:trPr/>
        <w:tc>
          <w:tcPr>
            <w:tcW w:w="2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3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0"/>
        <w:gridCol w:w="9837"/>
      </w:tblGrid>
      <w:tr>
        <w:trPr/>
        <w:tc>
          <w:tcPr>
            <w:tcW w:w="3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(8a)</w:t>
            </w:r>
          </w:p>
        </w:tc>
        <w:tc>
          <w:tcPr>
            <w:tcW w:w="9837" w:type="dxa"/>
            <w:tcBorders/>
            <w:vAlign w:val="center"/>
          </w:tcPr>
          <w:p>
            <w:pPr>
              <w:pStyle w:val="TableContents"/>
              <w:bidi w:val="0"/>
              <w:spacing w:before="0" w:after="283"/>
              <w:jc w:val="both"/>
              <w:rPr/>
            </w:pPr>
            <w:r>
              <w:rPr/>
              <w:t>Reflects estimated transaction-related costs of $515 million anticipated to be incurred by Paramount between July 2026 to actual transaction close, consisting mainly of banking, legal, advisory and other professional fees in connection with the Acquisition as well as a payment and cost reimbursements anticipated, subject to court approval, in connection with the settlement of certain merger-related litigation actions. The estimated transaction-related costs are not anticipated to affect the unaudited pro forma Condensed Combined Statements of Operations beyond twelve months after the closing date of the Acquisition.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3"/>
        <w:gridCol w:w="9814"/>
      </w:tblGrid>
      <w:tr>
        <w:trPr/>
        <w:tc>
          <w:tcPr>
            <w:tcW w:w="3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pPr>
            <w:r>
              <w:rPr/>
              <w:t>(8b)</w:t>
            </w:r>
          </w:p>
        </w:tc>
        <w:tc>
          <w:tcPr>
            <w:tcW w:w="9814" w:type="dxa"/>
            <w:tcBorders/>
            <w:vAlign w:val="center"/>
          </w:tcPr>
          <w:p>
            <w:pPr>
              <w:pStyle w:val="TableContents"/>
              <w:bidi w:val="0"/>
              <w:spacing w:before="0" w:after="283"/>
              <w:jc w:val="both"/>
              <w:rPr/>
            </w:pPr>
            <w:r>
              <w:rPr/>
              <w:t>The reduction of $481 million to "Retained earnings (accumulated deficit)” on the unaudited pro forma Condensed Combined Balance Sheet reflects the impact from the transaction-related costs adjustment to “Accrued expenses” presented in the table above, which totals $515 million, net of the related tax benefit, where applicable, of $34 million (see Note 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Shares and Related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Paramount will undertake a series of equity issuances and related financing arrangements to facilitate the consummation of the Acquisition, as further described in Note 5. These activities include the cancellation of all issued and outstanding shares of WBD Common Stock at the Effective Time and their conversion into the right to receive the applicable cash merger consideration. No shares of Paramount common stock will be issued to former WBD shareholders as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Paramount Class B Common Stock (excluding shares held by any Equity Investor or affiliate thereof, certain Company subsidiaries and Benefit Plans) as of an assumed record date of October 5, 2026, will receive, without payment of any consideration, one 10-year Warrant for each share held, exercisable at an initial exercise price per share equal to the Syndication Purchase Price and subject to customary anti-dilution and fundamental change make-whole adjustments. Beginning on the third anniversary of issuance, Paramount may call the Warrants for early expiration if the closing price of Paramount Class B Common Stock equals or exceeds $30.00 for at least 20 trading days in any 30 consecutive trading day period and warrant holders will have until such early expiration date to exercise their Warrants. In connection with this series of issuances, existing Paramount RSUs will be “made-whole” for the value of the Warrants pursuant to a pre-existing anti-dilution provision in Paramount equity plans. The pro forma financial statements do not include an adjustment for the “make-whole” provision, as the issuance is not expected to result in incremental 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27</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the effective time of the Acquisition, outstanding equity-based awards of WBD will be treated in accordance with the WBD Merger Agreement. Vested equity awards will be cancelled and settled in cash based on the applicable Merger Consideration, while unvested equity awards will be converted into a contingent right to receive cash-based awards of Paramount, as applicable, generally subject to the same vesting terms and conditions as were in effect immediately prior to the Effective Time, provided the WBD Notional Units outstanding as part of the WBD Non-Employee Directors Deferral Plan and WBD Supplemental Retirement Plan (collectively the “Replaced WBD Equity”) will receive notional units with respect to a number of shares of Paramount Class B Common Stock based on the ratio of (i) Merger Consideration divided by (ii) the 15 day VWAP of Paramount Class B Common Stock, where the 15 day period will end 3 trading days prior to the closing date of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reflects the cancellation of WBD Common Stock upon consummation of the Acquisition; the issuance of Paramount Class B Common Stock pursuant to the PIPE financing (see Note 5); and the settlement, conversion, or replacement of WBD equity awards at the Effective Time. No pro forma adjustment has been reflected for the issuance of equity-based awards that are subject to future service requirements, except to the extent such awards are reflected as compensation cost in accordance with applicable accounting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 forma adjustment has been recorded for warrants to existing shareholders, as the Company’s accumulated deficit position results in no net impact to additional paid-in-capital. Accordingly, other than as described in Note 10, the effect of these warrants is not reflected in the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4"/>
        <w:gridCol w:w="9843"/>
      </w:tblGrid>
      <w:tr>
        <w:trPr/>
        <w:tc>
          <w:tcPr>
            <w:tcW w:w="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(8c)</w:t>
            </w:r>
          </w:p>
        </w:tc>
        <w:tc>
          <w:tcPr>
            <w:tcW w:w="9843" w:type="dxa"/>
            <w:tcBorders/>
            <w:vAlign w:val="center"/>
          </w:tcPr>
          <w:p>
            <w:pPr>
              <w:pStyle w:val="TableContents"/>
              <w:bidi w:val="0"/>
              <w:spacing w:before="0" w:after="283"/>
              <w:jc w:val="both"/>
              <w:rPr/>
            </w:pPr>
            <w:r>
              <w:rPr/>
              <w:t>The pro forma adjustments reflect the new compensation arrangements executed with WBD employees who held unvested options that were in the money, unvested RSUs, and unvested performance restricted stock units in connection with the Acquisition, resulting in a $67 million decrease and $164 million increase in compensation expense for the six months ended June 30, 2026, and year ended December 31, 2025, respectively. The pro forma adjustments also reflect new compensation arrangements approved by the Board for a grant of Paramount RSUs (the “2026 RSUs”) to certain Paramount executive employees in connection with the Acquisition which will become effective at the time of closing. The 2026 RSUs will vest in equal quarterly installments over a five-year period following the closing of the Acquisition, subject to the applicable executive’s continued employment with the Company through the applicable vesting date, and will vest in full (to the extent then-unvested) upon a change in control of the Company (as defined in the Paramount 2025 Incentive Award Plan). The unaudited pro forma condensed combined financial statements assume Paramount RSUs totaling approximately 11 million will be granted for the 2026 RSUs, resulting in an increase to compensation expense of $15 million and $61 million for the six months ended June 30, 2026 and year ended December 31, 2025,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 Securitization Facility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9"/>
        <w:gridCol w:w="9798"/>
      </w:tblGrid>
      <w:tr>
        <w:trPr/>
        <w:tc>
          <w:tcPr>
            <w:tcW w:w="3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pPr>
            <w:r>
              <w:rPr/>
              <w:t>(8d)</w:t>
            </w:r>
          </w:p>
        </w:tc>
        <w:tc>
          <w:tcPr>
            <w:tcW w:w="9798" w:type="dxa"/>
            <w:tcBorders/>
            <w:vAlign w:val="center"/>
          </w:tcPr>
          <w:p>
            <w:pPr>
              <w:pStyle w:val="TableContents"/>
              <w:bidi w:val="0"/>
              <w:spacing w:before="0" w:after="283"/>
              <w:jc w:val="both"/>
              <w:rPr/>
            </w:pPr>
            <w:r>
              <w:rPr/>
              <w:t>The pro forma adjustment reflects the refinancing and termination of WBD’s securitized accounts receivable facility which is expected within close proximity to the closing of the Acquisition (or shortly thereafter).</w:t>
            </w:r>
          </w:p>
        </w:tc>
      </w:tr>
    </w:tbl>
    <w:p>
      <w:pPr>
        <w:pStyle w:val="TextBody"/>
        <w:bidi w:val="0"/>
        <w:spacing w:before="0" w:after="0"/>
        <w:ind w:left="0" w:right="0" w:hanging="0"/>
        <w:jc w:val="left"/>
        <w:rPr>
          <w:caps w:val="false"/>
          <w:smallCaps w:val="false"/>
        </w:rPr>
      </w:pPr>
      <w:r>
        <w:rPr>
          <w:caps w:val="false"/>
          <w:smallCaps w:val="false"/>
        </w:rPr>
        <w:t> </w:t>
      </w:r>
    </w:p>
    <w:tbl>
      <w:tblPr>
        <w:tblW w:w="9413" w:type="dxa"/>
        <w:jc w:val="left"/>
        <w:tblInd w:w="0" w:type="dxa"/>
        <w:tblLayout w:type="fixed"/>
        <w:tblCellMar>
          <w:top w:w="0" w:type="dxa"/>
          <w:left w:w="0" w:type="dxa"/>
          <w:bottom w:w="0" w:type="dxa"/>
          <w:right w:w="0" w:type="dxa"/>
        </w:tblCellMar>
      </w:tblPr>
      <w:tblGrid>
        <w:gridCol w:w="3215"/>
        <w:gridCol w:w="60"/>
        <w:gridCol w:w="125"/>
        <w:gridCol w:w="545"/>
        <w:gridCol w:w="80"/>
        <w:gridCol w:w="60"/>
        <w:gridCol w:w="152"/>
        <w:gridCol w:w="407"/>
        <w:gridCol w:w="60"/>
        <w:gridCol w:w="60"/>
        <w:gridCol w:w="228"/>
        <w:gridCol w:w="886"/>
        <w:gridCol w:w="60"/>
        <w:gridCol w:w="60"/>
        <w:gridCol w:w="192"/>
        <w:gridCol w:w="608"/>
        <w:gridCol w:w="80"/>
        <w:gridCol w:w="125"/>
        <w:gridCol w:w="1115"/>
        <w:gridCol w:w="60"/>
        <w:gridCol w:w="315"/>
        <w:gridCol w:w="845"/>
        <w:gridCol w:w="7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br/>
              <w:t>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Receivables, </w:t>
              <w:br/>
              <w:t>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w:t>
              <w:br/>
              <w:t>Expenses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tcMar>
              <w:bottom w:w="28" w:type="dxa"/>
            </w:tcMar>
            <w:vAlign w:val="center"/>
          </w:tcPr>
          <w:p>
            <w:pPr>
              <w:pStyle w:val="TableContents"/>
              <w:bidi w:val="0"/>
              <w:spacing w:before="0" w:after="283"/>
              <w:jc w:val="center"/>
              <w:rPr>
                <w:b/>
              </w:rPr>
            </w:pPr>
            <w:r>
              <w:rPr>
                <w:b/>
              </w:rPr>
              <w:t>Deferred</w:t>
              <w:br/>
              <w:t>income tax</w:t>
              <w:br/>
              <w:t>liabilities,</w:t>
              <w:br/>
              <w:t>net</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Retained</w:t>
              <w:br/>
              <w:t>Earnings</w:t>
              <w:br/>
              <w:t>(accumulated</w:t>
              <w:br/>
              <w:t>deficit)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 Securitization Facility Termination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pPr>
            <w:r>
              <w:rPr/>
              <w:t>18</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28</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adjustments to the unaudited pro forma Condensed Combined Statements of Operations reflect the removal of expenses associated with the accounts receivable securitization fees, resulting in a decrease to “Selling, general and administrative expenses” of $54 million and $145 million for the six months ended June 30, 2026 and year ended December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reflect the impacts on the unaudited pro forma condensed combined financial statements from the inclusion of WBD in Paramount’s calculation of income taxes and the tax impacts of the transaction accounting adjustments and financing adjustments. An estimated tax rate of 25% was applied in determining the figures presented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Balance Sheet Pro Forma Adjustments</w:t>
      </w:r>
    </w:p>
    <w:p>
      <w:pPr>
        <w:pStyle w:val="TextBody"/>
        <w:bidi w:val="0"/>
        <w:spacing w:before="0" w:after="0"/>
        <w:ind w:left="0" w:right="0" w:hanging="0"/>
        <w:jc w:val="left"/>
        <w:rPr>
          <w:caps w:val="false"/>
          <w:smallCaps w:val="false"/>
        </w:rPr>
      </w:pPr>
      <w:r>
        <w:rPr>
          <w:caps w:val="false"/>
          <w:smallCaps w:val="false"/>
        </w:rPr>
        <w:t> </w:t>
      </w:r>
    </w:p>
    <w:tbl>
      <w:tblPr>
        <w:tblW w:w="5107" w:type="dxa"/>
        <w:jc w:val="center"/>
        <w:tblInd w:w="0" w:type="dxa"/>
        <w:tblLayout w:type="fixed"/>
        <w:tblCellMar>
          <w:top w:w="0" w:type="dxa"/>
          <w:left w:w="0" w:type="dxa"/>
          <w:bottom w:w="0" w:type="dxa"/>
          <w:right w:w="0" w:type="dxa"/>
        </w:tblCellMar>
      </w:tblPr>
      <w:tblGrid>
        <w:gridCol w:w="2495"/>
        <w:gridCol w:w="60"/>
        <w:gridCol w:w="216"/>
        <w:gridCol w:w="839"/>
        <w:gridCol w:w="63"/>
        <w:gridCol w:w="241"/>
        <w:gridCol w:w="63"/>
        <w:gridCol w:w="342"/>
        <w:gridCol w:w="713"/>
        <w:gridCol w:w="75"/>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7"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June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br/>
              <w:t>Adjustments</w:t>
            </w:r>
          </w:p>
        </w:tc>
        <w:tc>
          <w:tcPr>
            <w:tcW w:w="63"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br/>
              <w:t>Adjustments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5,860</w:t>
            </w:r>
          </w:p>
        </w:tc>
        <w:tc>
          <w:tcPr>
            <w:tcW w:w="6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9a</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5,876</w:t>
            </w:r>
          </w:p>
        </w:tc>
        <w:tc>
          <w:tcPr>
            <w:tcW w:w="6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9b</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 -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Statements of Operations Pro Forma Adjustments</w:t>
      </w:r>
    </w:p>
    <w:p>
      <w:pPr>
        <w:pStyle w:val="TextBody"/>
        <w:bidi w:val="0"/>
        <w:spacing w:before="0" w:after="0"/>
        <w:ind w:left="0" w:right="0" w:hanging="0"/>
        <w:jc w:val="left"/>
        <w:rPr>
          <w:caps w:val="false"/>
          <w:smallCaps w:val="false"/>
        </w:rPr>
      </w:pPr>
      <w:r>
        <w:rPr>
          <w:caps w:val="false"/>
          <w:smallCaps w:val="false"/>
        </w:rPr>
        <w:t> </w:t>
      </w:r>
    </w:p>
    <w:tbl>
      <w:tblPr>
        <w:tblW w:w="8318" w:type="dxa"/>
        <w:jc w:val="left"/>
        <w:tblInd w:w="0" w:type="dxa"/>
        <w:tblLayout w:type="fixed"/>
        <w:tblCellMar>
          <w:top w:w="0" w:type="dxa"/>
          <w:left w:w="0" w:type="dxa"/>
          <w:bottom w:w="0" w:type="dxa"/>
          <w:right w:w="0" w:type="dxa"/>
        </w:tblCellMar>
      </w:tblPr>
      <w:tblGrid>
        <w:gridCol w:w="2165"/>
        <w:gridCol w:w="60"/>
        <w:gridCol w:w="289"/>
        <w:gridCol w:w="775"/>
        <w:gridCol w:w="497"/>
        <w:gridCol w:w="138"/>
        <w:gridCol w:w="289"/>
        <w:gridCol w:w="775"/>
        <w:gridCol w:w="215"/>
        <w:gridCol w:w="60"/>
        <w:gridCol w:w="286"/>
        <w:gridCol w:w="769"/>
        <w:gridCol w:w="430"/>
        <w:gridCol w:w="120"/>
        <w:gridCol w:w="250"/>
        <w:gridCol w:w="970"/>
        <w:gridCol w:w="230"/>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6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br/>
              <w:t>Adjustments</w:t>
            </w:r>
          </w:p>
        </w:tc>
        <w:tc>
          <w:tcPr>
            <w:tcW w:w="497"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10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br/>
              <w:t>Adjustments</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br/>
              <w:t>Adjustments</w:t>
            </w:r>
          </w:p>
        </w:tc>
        <w:tc>
          <w:tcPr>
            <w:tcW w:w="430" w:type="dxa"/>
            <w:tcBorders/>
            <w:vAlign w:val="center"/>
          </w:tcPr>
          <w:p>
            <w:pPr>
              <w:pStyle w:val="TableContents"/>
              <w:bidi w:val="0"/>
              <w:spacing w:before="0" w:after="283"/>
              <w:jc w:val="left"/>
              <w:rPr>
                <w:caps w:val="false"/>
                <w:smallCaps w:val="false"/>
              </w:rPr>
            </w:pPr>
            <w:r>
              <w:rPr>
                <w:caps w:val="false"/>
                <w:smallCaps w:val="false"/>
              </w:rPr>
              <w:t> </w:t>
            </w:r>
          </w:p>
        </w:tc>
        <w:tc>
          <w:tcPr>
            <w:tcW w:w="12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br/>
              <w:t>Adjustments</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from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49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w:t>
            </w:r>
          </w:p>
        </w:tc>
        <w:tc>
          <w:tcPr>
            <w:tcW w:w="2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w:t>
            </w:r>
          </w:p>
        </w:tc>
        <w:tc>
          <w:tcPr>
            <w:tcW w:w="4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w:t>
            </w:r>
          </w:p>
        </w:tc>
        <w:tc>
          <w:tcPr>
            <w:tcW w:w="2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1"/>
        <w:gridCol w:w="9836"/>
      </w:tblGrid>
      <w:tr>
        <w:trPr/>
        <w:tc>
          <w:tcPr>
            <w:tcW w:w="3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pPr>
            <w:r>
              <w:rPr/>
              <w:t>(9a)</w:t>
            </w:r>
          </w:p>
        </w:tc>
        <w:tc>
          <w:tcPr>
            <w:tcW w:w="9836" w:type="dxa"/>
            <w:tcBorders/>
            <w:vAlign w:val="center"/>
          </w:tcPr>
          <w:p>
            <w:pPr>
              <w:pStyle w:val="TableContents"/>
              <w:bidi w:val="0"/>
              <w:spacing w:before="0" w:after="283"/>
              <w:jc w:val="both"/>
              <w:rPr/>
            </w:pPr>
            <w:r>
              <w:rPr/>
              <w:t>The adjustment to “Deferred income tax liabilities” as of June 30, 2026 includes an increase of $5,812 million for the deferred income tax impact of the pro forma adjustments described in Note 4 to reflect WBD’s assets and liabilities at fair value, an increase of $64 million for the deferred tax impact of the elimination of transactions between Paramount and WBD as described in Note 7, and a decrease of $16 million for the deferred tax impact of the transaction-related costs and accounts receivable securitization fees adjustments as described in Note 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4"/>
        <w:gridCol w:w="9783"/>
      </w:tblGrid>
      <w:tr>
        <w:trPr/>
        <w:tc>
          <w:tcPr>
            <w:tcW w:w="3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(9b)</w:t>
            </w:r>
          </w:p>
        </w:tc>
        <w:tc>
          <w:tcPr>
            <w:tcW w:w="9783" w:type="dxa"/>
            <w:tcBorders/>
            <w:vAlign w:val="center"/>
          </w:tcPr>
          <w:p>
            <w:pPr>
              <w:pStyle w:val="TableContents"/>
              <w:bidi w:val="0"/>
              <w:spacing w:before="0" w:after="283"/>
              <w:jc w:val="both"/>
              <w:rPr/>
            </w:pPr>
            <w:r>
              <w:rPr/>
              <w:t>The adjustment to “Goodwill” reflects the offsetting impact to the adjustments to “Deferred income tax liabilities” to establish the deferred income taxes.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8"/>
        <w:gridCol w:w="9829"/>
      </w:tblGrid>
      <w:tr>
        <w:trPr/>
        <w:tc>
          <w:tcPr>
            <w:tcW w:w="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(9c)</w:t>
            </w:r>
          </w:p>
        </w:tc>
        <w:tc>
          <w:tcPr>
            <w:tcW w:w="9829" w:type="dxa"/>
            <w:tcBorders/>
            <w:vAlign w:val="center"/>
          </w:tcPr>
          <w:p>
            <w:pPr>
              <w:pStyle w:val="TableContents"/>
              <w:bidi w:val="0"/>
              <w:spacing w:before="0" w:after="283"/>
              <w:jc w:val="both"/>
              <w:rPr/>
            </w:pPr>
            <w:r>
              <w:rPr/>
              <w:t>The adjustments to “(Provision for) Benefit from income taxes” for the six months ended June 30, 2026 and year ended December 31, 2025 reflect tax benefits of $780 million and $1,605 million, respectively, related to tax effects of the transaction accounting adjustments and financing adjustments with the exception of the Netflix Termination Fee as described in Note 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to “Deferred income tax assets” and “Deferred income tax liabilities” are based on the estimated deferred tax rates of the combined company. The actual deferred tax liabilities may differ materially based on changes resulting from finalizing the deferred tax rates for the combined company and finalizing the fair value adjustments for WBD’s net assets that are not reasonably estimable for the purposes of the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29</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income tax estimates and the related tax rates may also differ materially in periods subsequent to the consummation of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EARNINGS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basic and diluted weighted average number of common shares presented in the unaudited pro forma Condensed Combined Statements of Operations are based on the weighted average number of common shares issued and outstanding as if the Transactions occurred on January 1, 2025. Since the Warrants described in Note 8 will only be issued to certain holders of Paramount Class B Common Stock, the estimated value of the Warrants is considered a deemed dividend which results in the application of the two-class method of EPS for the year ended December 31, 2025. Under the application of the two-class method, earnings per share is calculated separately for the holders of Paramount Class B Common Stock who received the deemed dividend and the common stockholders (primarily comprised of the Equity Investors and their affiliates) who did not receive the deemed dividend. The calculation of the weighted average number of common shares outstanding contemplates an adjustment for the issuance of shares of Paramount Class B Common Stock pursuant to the PIPE financing. All stock options, RSU Awards, and warrants were excluded from the calculation of historical and pro forma diluted net loss per common share ("EPS") for the year ended December 31, 2025 because their inclusion would have been antidilutive since a net loss was reported in the period. The dilutive impact of Paramount RSU Awards totaling 6 million were excluded from the calculation of pro forma diluted EPS for the six months ended June 30, 2026 because their inclusion would have been antidilutive since there is a pro forma net loss for the period. Also excluded from the calculation of diluted EPS in each period are the Warrants and “make-whole” RSUs described in Note 8 because their inclusion also would have been anti-dilutive in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calculation of pro forma EPS including, for the year ended December 31, 2025, amounts attributable to stockholders who received the deemed dividend and stockholders who did not receive it. There was no deemed dividend for the six months ended June 30, 2026, and therefore this presentation is not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51"/>
        <w:gridCol w:w="60"/>
        <w:gridCol w:w="316"/>
        <w:gridCol w:w="1381"/>
        <w:gridCol w:w="80"/>
        <w:gridCol w:w="60"/>
        <w:gridCol w:w="308"/>
        <w:gridCol w:w="1351"/>
        <w:gridCol w:w="98"/>
      </w:tblGrid>
      <w:tr>
        <w:trPr/>
        <w:tc>
          <w:tcPr>
            <w:tcW w:w="6551"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in millions)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9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w:t>
              <w:br/>
              <w:t>30, 2026</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w:t>
              <w:br/>
              <w:t> 31, 2025</w:t>
            </w:r>
          </w:p>
        </w:tc>
        <w:tc>
          <w:tcPr>
            <w:tcW w:w="9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551"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 Numerator: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jc w:val="left"/>
              <w:rPr/>
            </w:pPr>
            <w:r>
              <w:rPr/>
              <w:t> </w:t>
            </w:r>
          </w:p>
        </w:tc>
        <w:tc>
          <w:tcPr>
            <w:tcW w:w="1381"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 </w:t>
            </w:r>
          </w:p>
        </w:tc>
        <w:tc>
          <w:tcPr>
            <w:tcW w:w="1351" w:type="dxa"/>
            <w:tcBorders/>
            <w:shd w:fill="CCEEFF" w:val="clear"/>
            <w:tcMar>
              <w:bottom w:w="0" w:type="dxa"/>
            </w:tcMar>
            <w:vAlign w:val="center"/>
          </w:tcPr>
          <w:p>
            <w:pPr>
              <w:pStyle w:val="TableContents"/>
              <w:bidi w:val="0"/>
              <w:spacing w:before="0" w:after="283"/>
              <w:jc w:val="righ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655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net loss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(6,059</w:t>
            </w:r>
          </w:p>
        </w:tc>
        <w:tc>
          <w:tcPr>
            <w:tcW w:w="9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5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dividend to Class B common stockholders - Receiving Warrants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(2,952</w:t>
            </w:r>
          </w:p>
        </w:tc>
        <w:tc>
          <w:tcPr>
            <w:tcW w:w="9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5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Undistributed Net Loss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(9,011</w:t>
            </w:r>
          </w:p>
        </w:tc>
        <w:tc>
          <w:tcPr>
            <w:tcW w:w="9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5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attributable to Class B common stockholders - Receiving Warrants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2,108</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55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stockholders - Other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(8,167</w:t>
            </w:r>
          </w:p>
        </w:tc>
        <w:tc>
          <w:tcPr>
            <w:tcW w:w="9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5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stockholders - All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(6,059</w:t>
            </w:r>
          </w:p>
        </w:tc>
        <w:tc>
          <w:tcPr>
            <w:tcW w:w="9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51"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 Denominator: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6" w:type="dxa"/>
            <w:tcBorders/>
            <w:shd w:fill="FFFFFF" w:val="clear"/>
            <w:tcMar>
              <w:bottom w:w="0" w:type="dxa"/>
            </w:tcMar>
            <w:vAlign w:val="center"/>
          </w:tcPr>
          <w:p>
            <w:pPr>
              <w:pStyle w:val="TableContents"/>
              <w:bidi w:val="0"/>
              <w:spacing w:before="0" w:after="283"/>
              <w:jc w:val="left"/>
              <w:rPr/>
            </w:pPr>
            <w:r>
              <w:rPr/>
              <w:t> </w:t>
            </w:r>
          </w:p>
        </w:tc>
        <w:tc>
          <w:tcPr>
            <w:tcW w:w="1381"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left"/>
              <w:rPr/>
            </w:pPr>
            <w:r>
              <w:rPr/>
              <w:t> </w:t>
            </w:r>
          </w:p>
        </w:tc>
        <w:tc>
          <w:tcPr>
            <w:tcW w:w="1351" w:type="dxa"/>
            <w:tcBorders/>
            <w:shd w:fill="FFFFFF" w:val="clear"/>
            <w:tcMar>
              <w:bottom w:w="0" w:type="dxa"/>
            </w:tcMar>
            <w:vAlign w:val="center"/>
          </w:tcPr>
          <w:p>
            <w:pPr>
              <w:pStyle w:val="TableContents"/>
              <w:bidi w:val="0"/>
              <w:spacing w:before="0" w:after="283"/>
              <w:jc w:val="right"/>
              <w:rPr/>
            </w:pPr>
            <w:r>
              <w:rPr/>
              <w:t> </w:t>
            </w:r>
          </w:p>
        </w:tc>
        <w:tc>
          <w:tcPr>
            <w:tcW w:w="9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55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for Class B common stockholders - Receiving Warrants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55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for common stockholders - Other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4,547</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55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for common stockholders - All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5,017</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55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6" w:type="dxa"/>
            <w:tcBorders/>
            <w:shd w:fill="FFFFFF" w:val="clear"/>
            <w:tcMar>
              <w:bottom w:w="0" w:type="dxa"/>
            </w:tcMar>
            <w:vAlign w:val="center"/>
          </w:tcPr>
          <w:p>
            <w:pPr>
              <w:pStyle w:val="TableContents"/>
              <w:bidi w:val="0"/>
              <w:spacing w:before="0" w:after="283"/>
              <w:jc w:val="left"/>
              <w:rPr/>
            </w:pPr>
            <w:r>
              <w:rPr/>
              <w:t> </w:t>
            </w:r>
          </w:p>
        </w:tc>
        <w:tc>
          <w:tcPr>
            <w:tcW w:w="1381"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left"/>
              <w:rPr/>
            </w:pPr>
            <w:r>
              <w:rPr/>
              <w:t> </w:t>
            </w:r>
          </w:p>
        </w:tc>
        <w:tc>
          <w:tcPr>
            <w:tcW w:w="1351" w:type="dxa"/>
            <w:tcBorders/>
            <w:shd w:fill="FFFFFF" w:val="clear"/>
            <w:tcMar>
              <w:bottom w:w="0" w:type="dxa"/>
            </w:tcMar>
            <w:vAlign w:val="center"/>
          </w:tcPr>
          <w:p>
            <w:pPr>
              <w:pStyle w:val="TableContents"/>
              <w:bidi w:val="0"/>
              <w:spacing w:before="0" w:after="283"/>
              <w:jc w:val="righ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6551"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EPS: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jc w:val="left"/>
              <w:rPr/>
            </w:pPr>
            <w:r>
              <w:rPr/>
              <w:t> </w:t>
            </w:r>
          </w:p>
        </w:tc>
        <w:tc>
          <w:tcPr>
            <w:tcW w:w="1381"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 </w:t>
            </w:r>
          </w:p>
        </w:tc>
        <w:tc>
          <w:tcPr>
            <w:tcW w:w="1351" w:type="dxa"/>
            <w:tcBorders/>
            <w:shd w:fill="CCEEFF" w:val="clear"/>
            <w:tcMar>
              <w:bottom w:w="0" w:type="dxa"/>
            </w:tcMar>
            <w:vAlign w:val="center"/>
          </w:tcPr>
          <w:p>
            <w:pPr>
              <w:pStyle w:val="TableContents"/>
              <w:bidi w:val="0"/>
              <w:spacing w:before="0" w:after="283"/>
              <w:jc w:val="righ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655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EPS - Class B common stockholders - Receiving Warrants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55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EPS - common stockholders - Other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9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5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EPS - common stockholders - All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 -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30</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Paramount Class B Common Stock to be issued in connection with the Equity Syndication are determined based on a Syndication Purchase Price equal to the average of the daily VWAPs of Paramount Class B Common Stock, for the 20 trading days up to, and including, the third business day prior to the closing of the Acquisition (the “Pricing Date”), subject to a price collar with a floor of $12.00 per share and a cap of $16.02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unaudited pro forma condensed combined financial information, the issuance of 3,918 million shares of Paramount Class B Common Stock included in weighted average common shares outstanding for the six months ended June 30, 2026 and year ended December 31, 2025 has been calculated using an assumed Syndication Purchase Price of $12.00 per share, which is the floor of the collar range. Accordingly, the aggregate number of shares to be issued is equal to the aggregate commitment amount of $47 billion divided by the assumed Syndication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shares issued upon consummation of the Acquisition will vary depending on the actual 20-day VWAP. If the VWAP is below the $12.00 floor, approximately 3,918 million shares will be issued based on a price of $12.00 per share; if the VWAP is above the $16.02 cap, approximately 2,935 million shares will be issued based on a price of $16.02 per share; and if the VWAP falls within the collar range, the Syndication Purchase Price will equal the VWAP. As a result, the total number of shares issued is inversely related to the Syndication Purchase Price within the collar and may differ materially from the pro forma amounts presented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reflect any adjustment for potential variability in the number of shares issued resulting from changes in the VWAP, as such amounts are not determinable as of the date of these pro forma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the exercise price of the Warrants will be set based on the average of the daily VWAPs of Paramount Class B Common Stock for the 20 trading days up to, and including, the third business day prior to the closing of the Acquisition. For purposes of determining the value of the deemed dividend in the calculation of basic and diluted EPS, it has been assumed that the exercise price of the Warrants is $12.00, which is the floor of the collar range.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31</w:t>
      </w:r>
      <w:r>
        <w:rPr>
          <w:bdr w:val="single" w:sz="8" w:space="1" w:color="000000"/>
        </w:rPr>
        <w:t>-</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20372</Words>
  <Characters>112509</Characters>
  <CharactersWithSpaces>135401</CharactersWithSpaces>
  <Paragraphs>7812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