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923d1_s8.htm"/>
      <w:bookmarkStart w:id="1" w:name="kstm2627923d1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20,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240" w:after="6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br/>
        <w:t>THE SECURITIES ACT OF 1933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36"/>
        </w:rPr>
        <w:t>Skydance Corporation</w:t>
      </w:r>
      <w:r>
        <w:rPr>
          <w:rFonts w:ascii="Times New Roman;Times;Serif" w:hAnsi="Times New Roman;Times;Serif"/>
          <w:b/>
          <w:i w:val="false"/>
          <w:caps w:val="false"/>
          <w:smallCaps w:val="false"/>
          <w:sz w:val="20"/>
        </w:rPr>
        <w:br/>
        <w:t>(Exact Name of Registrant as Specified in its Charter)</w:t>
      </w:r>
    </w:p>
    <w:tbl>
      <w:tblPr>
        <w:tblW w:w="8170" w:type="dxa"/>
        <w:jc w:val="left"/>
        <w:tblInd w:w="0" w:type="dxa"/>
        <w:tblLayout w:type="fixed"/>
        <w:tblCellMar>
          <w:top w:w="0" w:type="dxa"/>
          <w:left w:w="0" w:type="dxa"/>
          <w:bottom w:w="0" w:type="dxa"/>
          <w:right w:w="0" w:type="dxa"/>
        </w:tblCellMar>
      </w:tblPr>
      <w:tblGrid>
        <w:gridCol w:w="5150"/>
        <w:gridCol w:w="3020"/>
      </w:tblGrid>
      <w:tr>
        <w:trPr/>
        <w:tc>
          <w:tcPr>
            <w:tcW w:w="515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283"/>
              <w:jc w:val="center"/>
              <w:rPr/>
            </w:pPr>
            <w:r>
              <w:rPr/>
              <w:t> </w:t>
            </w:r>
          </w:p>
        </w:tc>
      </w:tr>
      <w:tr>
        <w:trPr/>
        <w:tc>
          <w:tcPr>
            <w:tcW w:w="5150" w:type="dxa"/>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br/>
              <w:t>(State or other jurisdiction of incorporation or organization)</w:t>
            </w:r>
          </w:p>
        </w:tc>
        <w:tc>
          <w:tcPr>
            <w:tcW w:w="3020" w:type="dxa"/>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99-3917985</w:t>
              <w:b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1515 Broadway</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New York, New York 10036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 (Zip code)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 2025 Incentive Award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 title of the plan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Ellison</w:t>
        <w:br/>
        <w:t>c/o Skydance Corporation</w:t>
        <w:br/>
      </w:r>
      <w:r>
        <w:rPr>
          <w:rFonts w:ascii="Times New Roman;Times;Serif" w:hAnsi="Times New Roman;Times;Serif"/>
          <w:b/>
          <w:i w:val="false"/>
          <w:caps w:val="false"/>
          <w:smallCaps w:val="false"/>
          <w:sz w:val="20"/>
          <w:shd w:fill="FFFFFF" w:val="clear"/>
        </w:rPr>
        <w:t>1515 Broadway</w:t>
        <w:br/>
        <w:t xml:space="preserve">New York, New York 10036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(212) 258-6000</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(Telephone number, including area code, of agent for service)</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Skydance Corporation,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consummated its previously announced acquisition of Warner Bros. Discovery, Inc., a Delaware corporation (“</w:t>
      </w:r>
      <w:r>
        <w:rPr>
          <w:rFonts w:ascii="Times New Roman;Times;Serif" w:hAnsi="Times New Roman;Times;Serif"/>
          <w:b/>
          <w:i/>
          <w:caps w:val="false"/>
          <w:smallCaps w:val="false"/>
          <w:sz w:val="20"/>
        </w:rPr>
        <w:t>WBD</w:t>
      </w:r>
      <w:r>
        <w:rPr>
          <w:rFonts w:ascii="Times New Roman;Times;Serif" w:hAnsi="Times New Roman;Times;Serif"/>
          <w:b w:val="false"/>
          <w:i w:val="false"/>
          <w:caps w:val="false"/>
          <w:smallCaps w:val="false"/>
          <w:sz w:val="20"/>
        </w:rPr>
        <w:t>”), with WBD surviving as a wholly owned subsidiary of the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Following the completion of the Merger, the Company distributed on October 13, 2026, one warrant (each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to purchase one share of the Company’s Class B Common Stock, par value $0.001 per share (the “</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for each share of Class B Common Stock held by a stockholder as of the record date of October 5, 2026, other than shares held by each of Lawrence J. Ellison, David F. Ellison, Gerald Cardinale, The Lawrence J. Ellison Revocable Trust, u/a/d 1/22/88, as amended, and RedBird Capital Partners Fund IV (Master), L.P. or any of their respective affiliates, successors or transferees.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distribution of the Warrants, the Company equitably adjusted the number of shares reserved for issuance under the Skydance Corporation 2025 Incentive Award Plan (the “</w:t>
      </w:r>
      <w:r>
        <w:rPr>
          <w:rFonts w:ascii="Times New Roman;Times;Serif" w:hAnsi="Times New Roman;Times;Serif"/>
          <w:b/>
          <w:i/>
          <w:caps w:val="false"/>
          <w:smallCaps w:val="false"/>
          <w:sz w:val="20"/>
        </w:rPr>
        <w:t>2025 Plan</w:t>
      </w:r>
      <w:r>
        <w:rPr>
          <w:rFonts w:ascii="Times New Roman;Times;Serif" w:hAnsi="Times New Roman;Times;Serif"/>
          <w:b w:val="false"/>
          <w:i w:val="false"/>
          <w:caps w:val="false"/>
          <w:smallCaps w:val="false"/>
          <w:sz w:val="20"/>
        </w:rPr>
        <w:t>,” and such adjustment, the “</w:t>
      </w:r>
      <w:r>
        <w:rPr>
          <w:rFonts w:ascii="Times New Roman;Times;Serif" w:hAnsi="Times New Roman;Times;Serif"/>
          <w:b/>
          <w:i/>
          <w:caps w:val="false"/>
          <w:smallCaps w:val="false"/>
          <w:sz w:val="20"/>
        </w:rPr>
        <w:t>Adjustment</w:t>
      </w:r>
      <w:r>
        <w:rPr>
          <w:rFonts w:ascii="Times New Roman;Times;Serif" w:hAnsi="Times New Roman;Times;Serif"/>
          <w:b w:val="false"/>
          <w:i w:val="false"/>
          <w:caps w:val="false"/>
          <w:smallCaps w:val="false"/>
          <w:sz w:val="20"/>
        </w:rPr>
        <w:t>”). The Company also equitably adjusted the outstanding awards of restricted stock units covering Class B Common Stock under the 2025 Plan, the Paramount Global Amended and Restated Long-Term Incentive Plan, the Paramount Global Amended and Restated Equity Plan for Outside Directors, and the Viacom Inc. 2011 RSU Plan for Outside Directors (the “</w:t>
      </w:r>
      <w:r>
        <w:rPr>
          <w:rFonts w:ascii="Times New Roman;Times;Serif" w:hAnsi="Times New Roman;Times;Serif"/>
          <w:b/>
          <w:i/>
          <w:caps w:val="false"/>
          <w:smallCaps w:val="false"/>
          <w:sz w:val="20"/>
        </w:rPr>
        <w:t>RSU Adjustment</w:t>
      </w:r>
      <w:r>
        <w:rPr>
          <w:rFonts w:ascii="Times New Roman;Times;Serif" w:hAnsi="Times New Roman;Times;Serif"/>
          <w:b w:val="false"/>
          <w:i w:val="false"/>
          <w:caps w:val="false"/>
          <w:smallCaps w:val="false"/>
          <w:sz w:val="20"/>
        </w:rPr>
        <w:t>”) pursuant to mandatory anti-dilution adjustment provisions contained in such plans. Pursuant to Rule 416(a)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additional shares of Class B Common Stock issuable pursuant to the RSU Adjustment are deemed covered by, and registered pursuant to, the Company's registration statement on Form S-8, filed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August 7, 2025 (File No. 333-289341). Accordingly, such shares are not being registered pursuant to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is being filed by the Company in connection with the registration of an additional 34,152,673 shares of Class B Common Stock issuable pursuant to the Adjustment as described in the Filing Fee Table on Exhibit 107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b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this Part I of Form S-8 (plan information and registration information and employee plan annual information) will be sent or given to employees as specified by the Commission pursuant to Rule 428(b)(1) of the Securities Act. Such documents are not required to be and are not filed with the Commission either as part of this Registration Statement or as prospectuses or prospectus supplements pursuant to Rule 424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REQUIRED IN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This Registration Statement is being filed for the purpose of registering an additional 34,152,673 shares of Class B Common Stock issuable under the 2025 Plan for which registration statements on Form S-8, filed with the Commission on </w:t>
      </w:r>
      <w:hyperlink r:id="rId2">
        <w:r>
          <w:rPr>
            <w:rStyle w:val="InternetLink"/>
            <w:rFonts w:ascii="Times New Roman;Times;Serif" w:hAnsi="Times New Roman;Times;Serif"/>
            <w:b w:val="false"/>
            <w:i w:val="false"/>
            <w:caps w:val="false"/>
            <w:smallCaps w:val="false"/>
            <w:sz w:val="20"/>
          </w:rPr>
          <w:t>August 7, 2025 (File No. 333-289341)</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October 6, 2026 (File No. 333-299307)</w:t>
        </w:r>
      </w:hyperlink>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caps w:val="false"/>
          <w:smallCaps w:val="false"/>
          <w:sz w:val="20"/>
        </w:rPr>
        <w:t>Prior Registration Statements</w:t>
      </w:r>
      <w:r>
        <w:rPr>
          <w:rFonts w:ascii="Times New Roman;Times;Serif" w:hAnsi="Times New Roman;Times;Serif"/>
          <w:b w:val="false"/>
          <w:i w:val="false"/>
          <w:caps w:val="false"/>
          <w:smallCaps w:val="false"/>
          <w:sz w:val="20"/>
        </w:rPr>
        <w:t>”), are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of Form S-8, the contents of the Prior Registration Statements are incorporated by reference in this Registration Statement to the extent not modified or superseded hereby or by any subsequently filed document which is incorporated by reference herein or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shall any information furnished under Item 2.02 or 7.01 of Form 8-K be deemed incorporated herein by reference unless such Form 8-K expressly provides to the contrary.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60"/>
        <w:gridCol w:w="6894"/>
        <w:gridCol w:w="60"/>
        <w:gridCol w:w="571"/>
        <w:gridCol w:w="68"/>
        <w:gridCol w:w="743"/>
        <w:gridCol w:w="68"/>
        <w:gridCol w:w="956"/>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6" w:type="dxa"/>
            <w:gridSpan w:val="5"/>
            <w:tcBorders>
              <w:bottom w:val="single" w:sz="8" w:space="0" w:color="000000"/>
            </w:tcBorders>
            <w:tcMar>
              <w:bottom w:w="28" w:type="dxa"/>
            </w:tcMar>
            <w:vAlign w:val="center"/>
          </w:tcPr>
          <w:p>
            <w:pPr>
              <w:pStyle w:val="TableContents"/>
              <w:bidi w:val="0"/>
              <w:spacing w:before="0" w:after="283"/>
              <w:jc w:val="center"/>
              <w:rPr/>
            </w:pPr>
            <w:r>
              <w:rPr>
                <w:b/>
              </w:rPr>
              <w:t>Incorporated</w:t>
            </w:r>
            <w:r>
              <w:rPr/>
              <w:t xml:space="preserve"> </w:t>
            </w:r>
            <w:r>
              <w:rPr>
                <w:b/>
              </w:rPr>
              <w:t>by Reference</w:t>
            </w:r>
          </w:p>
        </w:tc>
      </w:tr>
      <w:tr>
        <w:trPr/>
        <w:tc>
          <w:tcPr>
            <w:tcW w:w="785" w:type="dxa"/>
            <w:tcBorders>
              <w:bottom w:val="single" w:sz="8" w:space="0" w:color="000000"/>
            </w:tcBorders>
            <w:tcMar>
              <w:bottom w:w="28" w:type="dxa"/>
            </w:tcMar>
            <w:vAlign w:val="center"/>
          </w:tcPr>
          <w:p>
            <w:pPr>
              <w:pStyle w:val="TableContents"/>
              <w:bidi w:val="0"/>
              <w:spacing w:before="0" w:after="283"/>
              <w:jc w:val="left"/>
              <w:rPr>
                <w:b/>
              </w:rPr>
            </w:pPr>
            <w:r>
              <w:rPr>
                <w:b/>
              </w:rPr>
              <w:t>Exhibit</w:t>
            </w:r>
          </w:p>
        </w:tc>
        <w:tc>
          <w:tcPr>
            <w:tcW w:w="60" w:type="dxa"/>
            <w:tcBorders/>
            <w:vAlign w:val="center"/>
          </w:tcPr>
          <w:p>
            <w:pPr>
              <w:pStyle w:val="TableContents"/>
              <w:bidi w:val="0"/>
              <w:spacing w:before="0" w:after="283"/>
              <w:jc w:val="left"/>
              <w:rPr/>
            </w:pPr>
            <w:r>
              <w:rPr/>
              <w:t> </w:t>
            </w:r>
          </w:p>
        </w:tc>
        <w:tc>
          <w:tcPr>
            <w:tcW w:w="689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57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Form</w:t>
            </w:r>
          </w:p>
        </w:tc>
        <w:tc>
          <w:tcPr>
            <w:tcW w:w="68" w:type="dxa"/>
            <w:tcBorders/>
            <w:vAlign w:val="center"/>
          </w:tcPr>
          <w:p>
            <w:pPr>
              <w:pStyle w:val="TableContents"/>
              <w:bidi w:val="0"/>
              <w:spacing w:before="0" w:after="283"/>
              <w:jc w:val="left"/>
              <w:rPr/>
            </w:pPr>
            <w:r>
              <w:rPr/>
              <w:t> </w:t>
            </w:r>
          </w:p>
        </w:tc>
        <w:tc>
          <w:tcPr>
            <w:tcW w:w="74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Exhibit</w:t>
            </w:r>
          </w:p>
        </w:tc>
        <w:tc>
          <w:tcPr>
            <w:tcW w:w="68" w:type="dxa"/>
            <w:tcBorders/>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Filing Date</w:t>
            </w:r>
          </w:p>
        </w:tc>
      </w:tr>
      <w:tr>
        <w:trPr/>
        <w:tc>
          <w:tcPr>
            <w:tcW w:w="785" w:type="dxa"/>
            <w:tcBorders/>
            <w:vAlign w:val="center"/>
          </w:tcPr>
          <w:p>
            <w:pPr>
              <w:pStyle w:val="TableContents"/>
              <w:bidi w:val="0"/>
              <w:spacing w:before="0" w:after="283"/>
              <w:jc w:val="left"/>
              <w:rPr/>
            </w:pPr>
            <w:hyperlink r:id="rId4">
              <w:r>
                <w:rPr>
                  <w:rStyle w:val="InternetLink"/>
                </w:rPr>
                <w:t>3.1</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r:id="rId5">
              <w:r>
                <w:rPr>
                  <w:rStyle w:val="InternetLink"/>
                  <w:sz w:val="20"/>
                </w:rPr>
                <w:t>Amended and Restated Certificate of Incorporation of Skydance Corporation</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pPr>
            <w:hyperlink r:id="rId6">
              <w:r>
                <w:rPr>
                  <w:rStyle w:val="InternetLink"/>
                  <w:sz w:val="20"/>
                </w:rPr>
                <w:t>8-K</w:t>
              </w:r>
            </w:hyperlink>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hyperlink r:id="rId7">
              <w:r>
                <w:rPr>
                  <w:rStyle w:val="InternetLink"/>
                  <w:sz w:val="20"/>
                </w:rPr>
                <w:t>3.1</w:t>
              </w:r>
            </w:hyperlink>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center"/>
              <w:rPr/>
            </w:pPr>
            <w:hyperlink r:id="rId8">
              <w:r>
                <w:rPr>
                  <w:rStyle w:val="InternetLink"/>
                  <w:sz w:val="20"/>
                </w:rPr>
                <w:t>10/6/26</w:t>
              </w:r>
            </w:hyperlink>
          </w:p>
        </w:tc>
      </w:tr>
      <w:tr>
        <w:trPr/>
        <w:tc>
          <w:tcPr>
            <w:tcW w:w="785" w:type="dxa"/>
            <w:tcBorders/>
            <w:vAlign w:val="center"/>
          </w:tcPr>
          <w:p>
            <w:pPr>
              <w:pStyle w:val="TableContents"/>
              <w:bidi w:val="0"/>
              <w:spacing w:before="0" w:after="283"/>
              <w:jc w:val="left"/>
              <w:rPr/>
            </w:pPr>
            <w:hyperlink r:id="rId9">
              <w:r>
                <w:rPr>
                  <w:rStyle w:val="InternetLink"/>
                </w:rPr>
                <w:t>3.2</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r:id="rId10">
              <w:r>
                <w:rPr>
                  <w:rStyle w:val="InternetLink"/>
                  <w:sz w:val="20"/>
                </w:rPr>
                <w:t>Amended and Restated Bylaws of Skydance Corporation</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pPr>
            <w:hyperlink r:id="rId11">
              <w:r>
                <w:rPr>
                  <w:rStyle w:val="InternetLink"/>
                  <w:sz w:val="20"/>
                </w:rPr>
                <w:t>8-K</w:t>
              </w:r>
            </w:hyperlink>
          </w:p>
        </w:tc>
        <w:tc>
          <w:tcPr>
            <w:tcW w:w="68" w:type="dxa"/>
            <w:tcBorders/>
            <w:vAlign w:val="center"/>
          </w:tcPr>
          <w:p>
            <w:pPr>
              <w:pStyle w:val="TableContents"/>
              <w:bidi w:val="0"/>
              <w:spacing w:before="0" w:after="283"/>
              <w:jc w:val="center"/>
              <w:rPr/>
            </w:pPr>
            <w:r>
              <w:rPr/>
              <w:t> </w:t>
            </w:r>
          </w:p>
        </w:tc>
        <w:tc>
          <w:tcPr>
            <w:tcW w:w="743" w:type="dxa"/>
            <w:tcBorders/>
            <w:vAlign w:val="center"/>
          </w:tcPr>
          <w:p>
            <w:pPr>
              <w:pStyle w:val="TableContents"/>
              <w:bidi w:val="0"/>
              <w:spacing w:before="0" w:after="283"/>
              <w:jc w:val="center"/>
              <w:rPr/>
            </w:pPr>
            <w:hyperlink r:id="rId12">
              <w:r>
                <w:rPr>
                  <w:rStyle w:val="InternetLink"/>
                  <w:sz w:val="20"/>
                </w:rPr>
                <w:t>3.2</w:t>
              </w:r>
            </w:hyperlink>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center"/>
              <w:rPr/>
            </w:pPr>
            <w:hyperlink r:id="rId13">
              <w:r>
                <w:rPr>
                  <w:rStyle w:val="InternetLink"/>
                  <w:sz w:val="20"/>
                </w:rPr>
                <w:t>10/6/26</w:t>
              </w:r>
            </w:hyperlink>
          </w:p>
        </w:tc>
      </w:tr>
      <w:tr>
        <w:trPr/>
        <w:tc>
          <w:tcPr>
            <w:tcW w:w="785" w:type="dxa"/>
            <w:tcBorders/>
            <w:vAlign w:val="center"/>
          </w:tcPr>
          <w:p>
            <w:pPr>
              <w:pStyle w:val="TableContents"/>
              <w:bidi w:val="0"/>
              <w:spacing w:before="0" w:after="283"/>
              <w:jc w:val="left"/>
              <w:rPr/>
            </w:pPr>
            <w:hyperlink r:id="rId14">
              <w:r>
                <w:rPr>
                  <w:rStyle w:val="InternetLink"/>
                </w:rPr>
                <w:t>4.1#</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r:id="rId15">
              <w:r>
                <w:rPr>
                  <w:rStyle w:val="InternetLink"/>
                  <w:sz w:val="20"/>
                </w:rPr>
                <w:t>Skydance Corporation 2025 Incentive Award Plan</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pPr>
            <w:hyperlink r:id="rId16">
              <w:r>
                <w:rPr>
                  <w:rStyle w:val="InternetLink"/>
                </w:rPr>
                <w:t>S-8</w:t>
              </w:r>
            </w:hyperlink>
          </w:p>
        </w:tc>
        <w:tc>
          <w:tcPr>
            <w:tcW w:w="68" w:type="dxa"/>
            <w:tcBorders/>
            <w:vAlign w:val="center"/>
          </w:tcPr>
          <w:p>
            <w:pPr>
              <w:pStyle w:val="TableContents"/>
              <w:bidi w:val="0"/>
              <w:spacing w:before="0" w:after="283"/>
              <w:jc w:val="center"/>
              <w:rPr/>
            </w:pPr>
            <w:r>
              <w:rPr/>
              <w:t> </w:t>
            </w:r>
          </w:p>
        </w:tc>
        <w:tc>
          <w:tcPr>
            <w:tcW w:w="743" w:type="dxa"/>
            <w:tcBorders/>
            <w:vAlign w:val="center"/>
          </w:tcPr>
          <w:p>
            <w:pPr>
              <w:pStyle w:val="TableContents"/>
              <w:bidi w:val="0"/>
              <w:spacing w:before="0" w:after="283"/>
              <w:jc w:val="center"/>
              <w:rPr/>
            </w:pPr>
            <w:hyperlink r:id="rId17">
              <w:r>
                <w:rPr>
                  <w:rStyle w:val="InternetLink"/>
                  <w:sz w:val="20"/>
                </w:rPr>
                <w:t>4.1</w:t>
              </w:r>
            </w:hyperlink>
          </w:p>
        </w:tc>
        <w:tc>
          <w:tcPr>
            <w:tcW w:w="68" w:type="dxa"/>
            <w:tcBorders/>
            <w:vAlign w:val="center"/>
          </w:tcPr>
          <w:p>
            <w:pPr>
              <w:pStyle w:val="TableContents"/>
              <w:bidi w:val="0"/>
              <w:spacing w:before="0" w:after="283"/>
              <w:jc w:val="center"/>
              <w:rPr/>
            </w:pPr>
            <w:r>
              <w:rPr/>
              <w:t> </w:t>
            </w:r>
          </w:p>
        </w:tc>
        <w:tc>
          <w:tcPr>
            <w:tcW w:w="956" w:type="dxa"/>
            <w:tcBorders/>
            <w:vAlign w:val="center"/>
          </w:tcPr>
          <w:p>
            <w:pPr>
              <w:pStyle w:val="TableContents"/>
              <w:bidi w:val="0"/>
              <w:spacing w:before="0" w:after="283"/>
              <w:jc w:val="center"/>
              <w:rPr/>
            </w:pPr>
            <w:hyperlink r:id="rId18">
              <w:r>
                <w:rPr>
                  <w:rStyle w:val="InternetLink"/>
                  <w:sz w:val="20"/>
                </w:rPr>
                <w:t>8/7/25</w:t>
              </w:r>
            </w:hyperlink>
          </w:p>
        </w:tc>
      </w:tr>
      <w:tr>
        <w:trPr/>
        <w:tc>
          <w:tcPr>
            <w:tcW w:w="785" w:type="dxa"/>
            <w:tcBorders/>
            <w:vAlign w:val="center"/>
          </w:tcPr>
          <w:p>
            <w:pPr>
              <w:pStyle w:val="TableContents"/>
              <w:bidi w:val="0"/>
              <w:spacing w:before="0" w:after="283"/>
              <w:jc w:val="left"/>
              <w:rPr/>
            </w:pPr>
            <w:hyperlink r:id="rId19">
              <w:r>
                <w:rPr>
                  <w:rStyle w:val="InternetLink"/>
                </w:rPr>
                <w:t>4.2#</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r:id="rId20">
              <w:r>
                <w:rPr>
                  <w:rStyle w:val="InternetLink"/>
                  <w:sz w:val="20"/>
                </w:rPr>
                <w:t>First Amendment to the Skydance Corporation 2025 Incentive Award Plan</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pPr>
            <w:hyperlink r:id="rId21">
              <w:r>
                <w:rPr>
                  <w:rStyle w:val="InternetLink"/>
                  <w:sz w:val="20"/>
                </w:rPr>
                <w:t>8-K</w:t>
              </w:r>
            </w:hyperlink>
          </w:p>
        </w:tc>
        <w:tc>
          <w:tcPr>
            <w:tcW w:w="68" w:type="dxa"/>
            <w:tcBorders/>
            <w:vAlign w:val="center"/>
          </w:tcPr>
          <w:p>
            <w:pPr>
              <w:pStyle w:val="TableContents"/>
              <w:bidi w:val="0"/>
              <w:spacing w:before="0" w:after="283"/>
              <w:jc w:val="center"/>
              <w:rPr/>
            </w:pPr>
            <w:r>
              <w:rPr/>
              <w:t> </w:t>
            </w:r>
          </w:p>
        </w:tc>
        <w:tc>
          <w:tcPr>
            <w:tcW w:w="743" w:type="dxa"/>
            <w:tcBorders/>
            <w:vAlign w:val="center"/>
          </w:tcPr>
          <w:p>
            <w:pPr>
              <w:pStyle w:val="TableContents"/>
              <w:bidi w:val="0"/>
              <w:spacing w:before="0" w:after="283"/>
              <w:jc w:val="center"/>
              <w:rPr/>
            </w:pPr>
            <w:hyperlink r:id="rId22">
              <w:r>
                <w:rPr>
                  <w:rStyle w:val="InternetLink"/>
                  <w:sz w:val="20"/>
                </w:rPr>
                <w:t>10.1</w:t>
              </w:r>
            </w:hyperlink>
          </w:p>
        </w:tc>
        <w:tc>
          <w:tcPr>
            <w:tcW w:w="68" w:type="dxa"/>
            <w:tcBorders/>
            <w:vAlign w:val="center"/>
          </w:tcPr>
          <w:p>
            <w:pPr>
              <w:pStyle w:val="TableContents"/>
              <w:bidi w:val="0"/>
              <w:spacing w:before="0" w:after="283"/>
              <w:jc w:val="center"/>
              <w:rPr/>
            </w:pPr>
            <w:r>
              <w:rPr/>
              <w:t> </w:t>
            </w:r>
          </w:p>
        </w:tc>
        <w:tc>
          <w:tcPr>
            <w:tcW w:w="956" w:type="dxa"/>
            <w:tcBorders/>
            <w:vAlign w:val="center"/>
          </w:tcPr>
          <w:p>
            <w:pPr>
              <w:pStyle w:val="TableContents"/>
              <w:bidi w:val="0"/>
              <w:spacing w:before="0" w:after="283"/>
              <w:jc w:val="center"/>
              <w:rPr/>
            </w:pPr>
            <w:hyperlink r:id="rId23">
              <w:r>
                <w:rPr>
                  <w:rStyle w:val="InternetLink"/>
                  <w:sz w:val="20"/>
                </w:rPr>
                <w:t>10/6/26</w:t>
              </w:r>
            </w:hyperlink>
          </w:p>
        </w:tc>
      </w:tr>
      <w:tr>
        <w:trPr/>
        <w:tc>
          <w:tcPr>
            <w:tcW w:w="785" w:type="dxa"/>
            <w:tcBorders/>
            <w:vAlign w:val="center"/>
          </w:tcPr>
          <w:p>
            <w:pPr>
              <w:pStyle w:val="TableContents"/>
              <w:bidi w:val="0"/>
              <w:spacing w:before="0" w:after="283"/>
              <w:jc w:val="left"/>
              <w:rPr/>
            </w:pPr>
            <w:hyperlink w:anchor="tm2627923d1_ex5-1.htm">
              <w:r>
                <w:rPr>
                  <w:rStyle w:val="InternetLink"/>
                </w:rPr>
                <w:t>5.1*</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w:anchor="tm2627923d1_ex5-1.htm">
              <w:r>
                <w:rPr>
                  <w:rStyle w:val="InternetLink"/>
                  <w:sz w:val="20"/>
                </w:rPr>
                <w:t>Opinion of Latham &amp; Watkins LLP</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7923d1_ex23-1.htm">
              <w:r>
                <w:rPr>
                  <w:rStyle w:val="InternetLink"/>
                </w:rPr>
                <w:t>23.1*</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w:anchor="tm2627923d1_ex23-1.htm">
              <w:r>
                <w:rPr>
                  <w:rStyle w:val="InternetLink"/>
                  <w:sz w:val="20"/>
                </w:rPr>
                <w:t>Consents of PricewaterhouseCoopers LLP, Independent Registered Public Accounting Firm for Skydance Corporation</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7923d1_ex23-2.htm">
              <w:r>
                <w:rPr>
                  <w:rStyle w:val="InternetLink"/>
                </w:rPr>
                <w:t>23.2*</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w:anchor="tm2627923d1_ex23-2.htm">
              <w:r>
                <w:rPr>
                  <w:rStyle w:val="InternetLink"/>
                  <w:sz w:val="20"/>
                </w:rPr>
                <w:t>Consent of PricewaterhouseCoopers LLP, Independent Registered Public Accounting Firm for Warner Bros. Discovery, Inc.</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7923d1_ex5-1.htm">
              <w:r>
                <w:rPr>
                  <w:rStyle w:val="InternetLink"/>
                </w:rPr>
                <w:t>23.3*</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w:anchor="tm2627923d1_ex5-1.htm">
              <w:r>
                <w:rPr>
                  <w:rStyle w:val="InternetLink"/>
                  <w:sz w:val="20"/>
                </w:rPr>
                <w:t>Consent of Latham &amp; Watkins LLP (included in Exhibit 5.1)</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a_001">
              <w:r>
                <w:rPr>
                  <w:rStyle w:val="InternetLink"/>
                </w:rPr>
                <w:t>24.1*</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w:anchor="a_001">
              <w:r>
                <w:rPr>
                  <w:rStyle w:val="InternetLink"/>
                  <w:sz w:val="20"/>
                </w:rPr>
                <w:t>Power of Attorney (included on signature page of this Registration Statement)</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7923d1_exfilingfee.htm">
              <w:r>
                <w:rPr>
                  <w:rStyle w:val="InternetLink"/>
                </w:rPr>
                <w:t>107*</w:t>
              </w:r>
            </w:hyperlink>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left"/>
              <w:rPr/>
            </w:pPr>
            <w:hyperlink w:anchor="tm2627923d1_exfilingfee.htm">
              <w:r>
                <w:rPr>
                  <w:rStyle w:val="InternetLink"/>
                  <w:sz w:val="20"/>
                </w:rPr>
                <w:t>Filing Fee Table</w:t>
              </w:r>
            </w:hyperlink>
          </w:p>
        </w:tc>
        <w:tc>
          <w:tcPr>
            <w:tcW w:w="60"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spacing w:before="0" w:after="0"/>
        <w:ind w:left="0" w:right="0" w:firstLine="36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75"/>
        <w:gridCol w:w="3320"/>
      </w:tblGrid>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b/>
              </w:rPr>
            </w:pPr>
            <w:r>
              <w:rPr>
                <w:b/>
              </w:rPr>
              <w:t>SKYDANCE CORPORATION</w:t>
            </w:r>
          </w:p>
        </w:tc>
      </w:tr>
    </w:tbl>
    <w:tbl>
      <w:tblPr>
        <w:tblW w:w="3450" w:type="dxa"/>
        <w:jc w:val="left"/>
        <w:tblInd w:w="0" w:type="dxa"/>
        <w:tblLayout w:type="fixed"/>
        <w:tblCellMar>
          <w:top w:w="0" w:type="dxa"/>
          <w:left w:w="0" w:type="dxa"/>
          <w:bottom w:w="0" w:type="dxa"/>
          <w:right w:w="0" w:type="dxa"/>
        </w:tblCellMar>
      </w:tblPr>
      <w:tblGrid>
        <w:gridCol w:w="75"/>
        <w:gridCol w:w="365"/>
        <w:gridCol w:w="710"/>
        <w:gridCol w:w="230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10" w:type="dxa"/>
            <w:gridSpan w:val="2"/>
            <w:tcBorders>
              <w:bottom w:val="single" w:sz="8" w:space="0" w:color="000000"/>
            </w:tcBorders>
            <w:tcMar>
              <w:bottom w:w="28" w:type="dxa"/>
            </w:tcMar>
            <w:vAlign w:val="center"/>
          </w:tcPr>
          <w:p>
            <w:pPr>
              <w:pStyle w:val="TableContents"/>
              <w:bidi w:val="0"/>
              <w:spacing w:before="0" w:after="283"/>
              <w:jc w:val="left"/>
              <w:rPr/>
            </w:pPr>
            <w:r>
              <w:rPr/>
              <w:t>/s/ David Ellison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David Ellison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tbl>
      <w:tblPr>
        <w:tblW w:w="76" w:type="dxa"/>
        <w:jc w:val="left"/>
        <w:tblInd w:w="0" w:type="dxa"/>
        <w:tblLayout w:type="fixed"/>
        <w:tblCellMar>
          <w:top w:w="0" w:type="dxa"/>
          <w:left w:w="0" w:type="dxa"/>
          <w:bottom w:w="0" w:type="dxa"/>
          <w:right w:w="0" w:type="dxa"/>
        </w:tblCellMar>
      </w:tblPr>
      <w:tblGrid>
        <w:gridCol w:w="38"/>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Stephanie Kyoko McKinnon and David Ellison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U.S.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as of the dates indicated.</w:t>
      </w:r>
    </w:p>
    <w:p>
      <w:pPr>
        <w:pStyle w:val="TextBody"/>
        <w:bidi w:val="0"/>
        <w:spacing w:before="0" w:after="0"/>
        <w:ind w:left="0" w:right="0" w:firstLine="360"/>
        <w:jc w:val="both"/>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2780"/>
        <w:gridCol w:w="60"/>
        <w:gridCol w:w="5435"/>
        <w:gridCol w:w="60"/>
        <w:gridCol w:w="1700"/>
      </w:tblGrid>
      <w:tr>
        <w:trPr/>
        <w:tc>
          <w:tcPr>
            <w:tcW w:w="2780" w:type="dxa"/>
            <w:tcBorders>
              <w:bottom w:val="single" w:sz="8" w:space="0" w:color="000000"/>
            </w:tcBorders>
            <w:vAlign w:val="center"/>
          </w:tcPr>
          <w:p>
            <w:pPr>
              <w:pStyle w:val="TableContents"/>
              <w:bidi w:val="0"/>
              <w:spacing w:before="0" w:after="283"/>
              <w:jc w:val="center"/>
              <w:rPr/>
            </w:pPr>
            <w:r>
              <w:rPr>
                <w:b/>
              </w:rPr>
              <w:t>Signature</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5435"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8" w:space="0" w:color="000000"/>
            </w:tcBorders>
            <w:vAlign w:val="center"/>
          </w:tcPr>
          <w:p>
            <w:pPr>
              <w:pStyle w:val="TableContents"/>
              <w:bidi w:val="0"/>
              <w:spacing w:before="0" w:after="283"/>
              <w:jc w:val="center"/>
              <w:rPr>
                <w:b/>
              </w:rPr>
            </w:pPr>
            <w:r>
              <w:rPr>
                <w:b/>
              </w:rPr>
              <w:t>Date</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David Ellison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David Ellison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w:t>
            </w:r>
            <w:r>
              <w:rPr>
                <w:i/>
              </w:rPr>
              <w:t>Principal Executive Officer</w:t>
            </w:r>
            <w:r>
              <w:rPr/>
              <w: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Dennis Cinelli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Dennis Cinelli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w:t>
            </w:r>
            <w:r>
              <w:rPr>
                <w:i/>
              </w:rPr>
              <w:t>Principal Financial Officer</w:t>
            </w:r>
            <w:r>
              <w:rPr/>
              <w: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Katherine M. Gill-Charest</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Controller and Chief Accounting Officer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Katherine M. Gill-Charest</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w:t>
            </w:r>
            <w:r>
              <w:rPr>
                <w:i/>
              </w:rPr>
              <w:t>Principal Accounting Officer</w:t>
            </w:r>
            <w:r>
              <w:rPr/>
              <w: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Andrew Brandon-Gordon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Andrew Brandon-Gordon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Barbara M. Byrne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Barbara M. Byrne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Andrew Campion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Andrew Campion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Gerald J. Cardinale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Gerald J. Cardinale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Safra A. Catz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Safra A. Catz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Justin G. Hamill</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Justin G. Hamill</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Robert A. Kotick</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Robert A. Kotick</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Ynon Kreiz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Ynon Kreiz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Sherry Lansing</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Sherry Lansing</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Paul T. Marinelli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Paul T. Marinelli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Laurene Powell Jobs</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Laurene Powell Jobs</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John L. Thornton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20, 2026</w:t>
            </w:r>
          </w:p>
        </w:tc>
      </w:tr>
      <w:tr>
        <w:trPr/>
        <w:tc>
          <w:tcPr>
            <w:tcW w:w="2780" w:type="dxa"/>
            <w:tcBorders/>
            <w:tcMar>
              <w:bottom w:w="0" w:type="dxa"/>
            </w:tcMar>
            <w:vAlign w:val="center"/>
          </w:tcPr>
          <w:p>
            <w:pPr>
              <w:pStyle w:val="TableContents"/>
              <w:bidi w:val="0"/>
              <w:spacing w:before="0" w:after="283"/>
              <w:jc w:val="center"/>
              <w:rPr/>
            </w:pPr>
            <w:r>
              <w:rPr/>
              <w:t>John L. Thornton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bookmarkStart w:id="3" w:name="tm2627923d1_ex5-1.htm"/>
      <w:bookmarkStart w:id="4" w:name="kstm2627923d1_ex51"/>
      <w:bookmarkEnd w:id="3"/>
      <w:bookmarkEnd w:id="4"/>
      <w:r>
        <w:rPr/>
        <w:t> </w:t>
      </w:r>
      <w:r>
        <w:br w:type="page"/>
      </w:r>
    </w:p>
    <w:p>
      <w:pPr>
        <w:pStyle w:val="TextBody"/>
        <w:bidi w:val="0"/>
        <w:spacing w:before="0" w:after="0"/>
        <w:ind w:left="0" w:right="0" w:hanging="0"/>
        <w:jc w:val="right"/>
        <w:rPr>
          <w:b/>
        </w:rPr>
      </w:pPr>
      <w:r>
        <w:rPr>
          <w:b/>
        </w:rPr>
        <w:t>Exhibit 5.1</w:t>
      </w:r>
    </w:p>
    <w:p>
      <w:pPr>
        <w:pStyle w:val="TextBody"/>
        <w:bidi w:val="0"/>
        <w:spacing w:before="0" w:after="0"/>
        <w:ind w:left="0" w:right="0" w:hanging="0"/>
        <w:jc w:val="left"/>
        <w:rPr/>
      </w:pPr>
      <w:r>
        <w:rPr/>
        <w:t> </w:t>
      </w:r>
    </w:p>
    <w:tbl>
      <w:tblPr>
        <w:tblW w:w="4415" w:type="dxa"/>
        <w:jc w:val="left"/>
        <w:tblInd w:w="0" w:type="dxa"/>
        <w:tblLayout w:type="fixed"/>
        <w:tblCellMar>
          <w:top w:w="0" w:type="dxa"/>
          <w:left w:w="0" w:type="dxa"/>
          <w:bottom w:w="0" w:type="dxa"/>
          <w:right w:w="0" w:type="dxa"/>
        </w:tblCellMar>
      </w:tblPr>
      <w:tblGrid>
        <w:gridCol w:w="75"/>
        <w:gridCol w:w="4340"/>
      </w:tblGrid>
      <w:tr>
        <w:trPr/>
        <w:tc>
          <w:tcPr>
            <w:tcW w:w="7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1271 Avenue of the Americas</w:t>
            </w:r>
          </w:p>
        </w:tc>
      </w:tr>
      <w:tr>
        <w:trPr/>
        <w:tc>
          <w:tcPr>
            <w:tcW w:w="7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New York, New York  10020-1401</w:t>
            </w:r>
          </w:p>
        </w:tc>
      </w:tr>
      <w:tr>
        <w:trPr/>
        <w:tc>
          <w:tcPr>
            <w:tcW w:w="7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Tel: +1.212.906.1200  Fax: +1.212.751.4864</w:t>
            </w:r>
          </w:p>
        </w:tc>
      </w:tr>
      <w:tr>
        <w:trPr/>
        <w:tc>
          <w:tcPr>
            <w:tcW w:w="75"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www.lw.com</w:t>
            </w:r>
          </w:p>
        </w:tc>
      </w:tr>
    </w:tbl>
    <w:p>
      <w:pPr>
        <w:pStyle w:val="TextBody"/>
        <w:bidi w:val="0"/>
        <w:spacing w:before="0" w:after="283"/>
        <w:jc w:val="left"/>
        <w:rPr/>
      </w:pPr>
      <w:r>
        <w:rPr/>
        <w:t> </w:t>
      </w:r>
    </w:p>
    <w:tbl>
      <w:tblPr>
        <w:tblW w:w="4985" w:type="dxa"/>
        <w:jc w:val="left"/>
        <w:tblInd w:w="0" w:type="dxa"/>
        <w:tblLayout w:type="fixed"/>
        <w:tblCellMar>
          <w:top w:w="0" w:type="dxa"/>
          <w:left w:w="0" w:type="dxa"/>
          <w:bottom w:w="0" w:type="dxa"/>
          <w:right w:w="0" w:type="dxa"/>
        </w:tblCellMar>
      </w:tblPr>
      <w:tblGrid>
        <w:gridCol w:w="1861"/>
        <w:gridCol w:w="1254"/>
        <w:gridCol w:w="1795"/>
        <w:gridCol w:w="75"/>
      </w:tblGrid>
      <w:tr>
        <w:trPr/>
        <w:tc>
          <w:tcPr>
            <w:tcW w:w="1861" w:type="dxa"/>
            <w:tcBorders/>
            <w:vAlign w:val="center"/>
          </w:tcPr>
          <w:p>
            <w:pPr>
              <w:pStyle w:val="TableContents"/>
              <w:bidi w:val="0"/>
              <w:spacing w:before="0" w:after="283"/>
              <w:jc w:val="left"/>
              <w:rPr/>
            </w:pPr>
            <w:r>
              <w:rPr/>
              <w:t> </w:t>
            </w:r>
            <w:r>
              <w:rPr/>
              <w:drawing>
                <wp:inline distT="0" distB="0" distL="0" distR="0">
                  <wp:extent cx="1134110" cy="151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1134110" cy="151130"/>
                          </a:xfrm>
                          <a:prstGeom prst="rect">
                            <a:avLst/>
                          </a:prstGeom>
                        </pic:spPr>
                      </pic:pic>
                    </a:graphicData>
                  </a:graphic>
                </wp:inline>
              </w:drawing>
            </w:r>
          </w:p>
        </w:tc>
        <w:tc>
          <w:tcPr>
            <w:tcW w:w="3049" w:type="dxa"/>
            <w:gridSpan w:val="2"/>
            <w:tcBorders/>
            <w:vAlign w:val="center"/>
          </w:tcPr>
          <w:p>
            <w:pPr>
              <w:pStyle w:val="TableContents"/>
              <w:bidi w:val="0"/>
              <w:spacing w:before="0" w:after="283"/>
              <w:jc w:val="left"/>
              <w:rPr/>
            </w:pPr>
            <w:r>
              <w:rPr/>
              <w:t>FIRM / AFFILIATE OFFICES</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Austin</w:t>
            </w:r>
          </w:p>
        </w:tc>
        <w:tc>
          <w:tcPr>
            <w:tcW w:w="1795" w:type="dxa"/>
            <w:tcBorders/>
            <w:vAlign w:val="center"/>
          </w:tcPr>
          <w:p>
            <w:pPr>
              <w:pStyle w:val="TableContents"/>
              <w:bidi w:val="0"/>
              <w:spacing w:before="0" w:after="283"/>
              <w:jc w:val="left"/>
              <w:rPr/>
            </w:pPr>
            <w:r>
              <w:rPr/>
              <w:t>Milan</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Beijing</w:t>
            </w:r>
          </w:p>
        </w:tc>
        <w:tc>
          <w:tcPr>
            <w:tcW w:w="1795" w:type="dxa"/>
            <w:tcBorders/>
            <w:vAlign w:val="center"/>
          </w:tcPr>
          <w:p>
            <w:pPr>
              <w:pStyle w:val="TableContents"/>
              <w:bidi w:val="0"/>
              <w:spacing w:before="0" w:after="283"/>
              <w:jc w:val="left"/>
              <w:rPr/>
            </w:pPr>
            <w:r>
              <w:rPr/>
              <w:t>Munich</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Boston</w:t>
            </w:r>
          </w:p>
        </w:tc>
        <w:tc>
          <w:tcPr>
            <w:tcW w:w="1795" w:type="dxa"/>
            <w:tcBorders/>
            <w:vAlign w:val="center"/>
          </w:tcPr>
          <w:p>
            <w:pPr>
              <w:pStyle w:val="TableContents"/>
              <w:bidi w:val="0"/>
              <w:spacing w:before="0" w:after="283"/>
              <w:jc w:val="left"/>
              <w:rPr/>
            </w:pPr>
            <w:r>
              <w:rPr/>
              <w:t>New York</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Brussels</w:t>
            </w:r>
          </w:p>
        </w:tc>
        <w:tc>
          <w:tcPr>
            <w:tcW w:w="1795" w:type="dxa"/>
            <w:tcBorders/>
            <w:vAlign w:val="center"/>
          </w:tcPr>
          <w:p>
            <w:pPr>
              <w:pStyle w:val="TableContents"/>
              <w:bidi w:val="0"/>
              <w:spacing w:before="0" w:after="283"/>
              <w:jc w:val="left"/>
              <w:rPr/>
            </w:pPr>
            <w:r>
              <w:rPr/>
              <w:t>Orange County</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Chicago</w:t>
            </w:r>
          </w:p>
        </w:tc>
        <w:tc>
          <w:tcPr>
            <w:tcW w:w="1795" w:type="dxa"/>
            <w:tcBorders/>
            <w:vAlign w:val="center"/>
          </w:tcPr>
          <w:p>
            <w:pPr>
              <w:pStyle w:val="TableContents"/>
              <w:bidi w:val="0"/>
              <w:spacing w:before="0" w:after="283"/>
              <w:jc w:val="left"/>
              <w:rPr/>
            </w:pPr>
            <w:r>
              <w:rPr/>
              <w:t>Paris</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Dubai</w:t>
            </w:r>
          </w:p>
        </w:tc>
        <w:tc>
          <w:tcPr>
            <w:tcW w:w="1795" w:type="dxa"/>
            <w:tcBorders/>
            <w:vAlign w:val="center"/>
          </w:tcPr>
          <w:p>
            <w:pPr>
              <w:pStyle w:val="TableContents"/>
              <w:bidi w:val="0"/>
              <w:spacing w:before="0" w:after="283"/>
              <w:jc w:val="left"/>
              <w:rPr/>
            </w:pPr>
            <w:r>
              <w:rPr/>
              <w:t>Riyadh</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October 20, 2026</w:t>
            </w:r>
          </w:p>
        </w:tc>
        <w:tc>
          <w:tcPr>
            <w:tcW w:w="1254" w:type="dxa"/>
            <w:tcBorders/>
            <w:vAlign w:val="center"/>
          </w:tcPr>
          <w:p>
            <w:pPr>
              <w:pStyle w:val="TableContents"/>
              <w:bidi w:val="0"/>
              <w:spacing w:before="0" w:after="283"/>
              <w:jc w:val="left"/>
              <w:rPr/>
            </w:pPr>
            <w:r>
              <w:rPr/>
              <w:t>Düsseldorf</w:t>
            </w:r>
          </w:p>
        </w:tc>
        <w:tc>
          <w:tcPr>
            <w:tcW w:w="1795" w:type="dxa"/>
            <w:tcBorders/>
            <w:vAlign w:val="center"/>
          </w:tcPr>
          <w:p>
            <w:pPr>
              <w:pStyle w:val="TableContents"/>
              <w:bidi w:val="0"/>
              <w:spacing w:before="0" w:after="283"/>
              <w:jc w:val="left"/>
              <w:rPr/>
            </w:pPr>
            <w:r>
              <w:rPr/>
              <w:t>San Diego</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Frankfurt</w:t>
            </w:r>
          </w:p>
        </w:tc>
        <w:tc>
          <w:tcPr>
            <w:tcW w:w="1795" w:type="dxa"/>
            <w:tcBorders/>
            <w:vAlign w:val="center"/>
          </w:tcPr>
          <w:p>
            <w:pPr>
              <w:pStyle w:val="TableContents"/>
              <w:bidi w:val="0"/>
              <w:spacing w:before="0" w:after="283"/>
              <w:jc w:val="left"/>
              <w:rPr/>
            </w:pPr>
            <w:r>
              <w:rPr/>
              <w:t>San Francisco</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Hamburg</w:t>
            </w:r>
          </w:p>
        </w:tc>
        <w:tc>
          <w:tcPr>
            <w:tcW w:w="1795" w:type="dxa"/>
            <w:tcBorders/>
            <w:vAlign w:val="center"/>
          </w:tcPr>
          <w:p>
            <w:pPr>
              <w:pStyle w:val="TableContents"/>
              <w:bidi w:val="0"/>
              <w:spacing w:before="0" w:after="283"/>
              <w:jc w:val="left"/>
              <w:rPr/>
            </w:pPr>
            <w:r>
              <w:rPr/>
              <w:t>Seoul</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Hong Kong</w:t>
            </w:r>
          </w:p>
        </w:tc>
        <w:tc>
          <w:tcPr>
            <w:tcW w:w="1795" w:type="dxa"/>
            <w:tcBorders/>
            <w:vAlign w:val="center"/>
          </w:tcPr>
          <w:p>
            <w:pPr>
              <w:pStyle w:val="TableContents"/>
              <w:bidi w:val="0"/>
              <w:spacing w:before="0" w:after="283"/>
              <w:jc w:val="left"/>
              <w:rPr/>
            </w:pPr>
            <w:r>
              <w:rPr/>
              <w:t>Silicon Valley</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Houston</w:t>
            </w:r>
          </w:p>
        </w:tc>
        <w:tc>
          <w:tcPr>
            <w:tcW w:w="1795" w:type="dxa"/>
            <w:tcBorders/>
            <w:vAlign w:val="center"/>
          </w:tcPr>
          <w:p>
            <w:pPr>
              <w:pStyle w:val="TableContents"/>
              <w:bidi w:val="0"/>
              <w:spacing w:before="0" w:after="283"/>
              <w:jc w:val="left"/>
              <w:rPr/>
            </w:pPr>
            <w:r>
              <w:rPr/>
              <w:t>Singapore</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London</w:t>
            </w:r>
          </w:p>
        </w:tc>
        <w:tc>
          <w:tcPr>
            <w:tcW w:w="1795" w:type="dxa"/>
            <w:tcBorders/>
            <w:vAlign w:val="center"/>
          </w:tcPr>
          <w:p>
            <w:pPr>
              <w:pStyle w:val="TableContents"/>
              <w:bidi w:val="0"/>
              <w:spacing w:before="0" w:after="283"/>
              <w:jc w:val="left"/>
              <w:rPr/>
            </w:pPr>
            <w:r>
              <w:rPr/>
              <w:t>Tel Aviv</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Los Angeles</w:t>
            </w:r>
          </w:p>
        </w:tc>
        <w:tc>
          <w:tcPr>
            <w:tcW w:w="1795" w:type="dxa"/>
            <w:tcBorders/>
            <w:vAlign w:val="center"/>
          </w:tcPr>
          <w:p>
            <w:pPr>
              <w:pStyle w:val="TableContents"/>
              <w:bidi w:val="0"/>
              <w:spacing w:before="0" w:after="283"/>
              <w:jc w:val="left"/>
              <w:rPr/>
            </w:pPr>
            <w:r>
              <w:rPr/>
              <w:t>Tokyo</w:t>
            </w:r>
          </w:p>
        </w:tc>
        <w:tc>
          <w:tcPr>
            <w:tcW w:w="75" w:type="dxa"/>
            <w:tcBorders/>
            <w:vAlign w:val="center"/>
          </w:tcPr>
          <w:p>
            <w:pPr>
              <w:pStyle w:val="TableContents"/>
              <w:bidi w:val="0"/>
              <w:spacing w:before="0" w:after="283"/>
              <w:jc w:val="left"/>
              <w:rPr/>
            </w:pPr>
            <w:r>
              <w:rPr/>
              <w:t> </w:t>
            </w:r>
          </w:p>
        </w:tc>
      </w:tr>
      <w:tr>
        <w:trPr/>
        <w:tc>
          <w:tcPr>
            <w:tcW w:w="18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Madrid</w:t>
            </w:r>
          </w:p>
        </w:tc>
        <w:tc>
          <w:tcPr>
            <w:tcW w:w="1795" w:type="dxa"/>
            <w:tcBorders/>
            <w:vAlign w:val="center"/>
          </w:tcPr>
          <w:p>
            <w:pPr>
              <w:pStyle w:val="TableContents"/>
              <w:bidi w:val="0"/>
              <w:spacing w:before="0" w:after="283"/>
              <w:jc w:val="left"/>
              <w:rPr/>
            </w:pPr>
            <w:r>
              <w:rPr/>
              <w:t>Washington, D.C.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Skydance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Skydance Corporation –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Skydance Corporation, a Delaware corporation (“</w:t>
      </w:r>
      <w:r>
        <w:rPr>
          <w:rFonts w:ascii="Times New Roman;Times;Serif" w:hAnsi="Times New Roman;Times;Serif"/>
          <w:b/>
          <w:i/>
          <w:caps w:val="false"/>
          <w:smallCaps w:val="false"/>
          <w:sz w:val="20"/>
        </w:rPr>
        <w:t>Skydance</w:t>
      </w:r>
      <w:r>
        <w:rPr>
          <w:rFonts w:ascii="Times New Roman;Times;Serif" w:hAnsi="Times New Roman;Times;Serif"/>
          <w:b w:val="false"/>
          <w:i w:val="false"/>
          <w:caps w:val="false"/>
          <w:smallCaps w:val="false"/>
          <w:sz w:val="20"/>
        </w:rPr>
        <w:t>”), in connection with the preparation and filing by Skydance on the date hereof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on Form S-8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relating to the Skydance Corporation 2025 Incentive Award Plan, as amended (the “</w:t>
      </w:r>
      <w:r>
        <w:rPr>
          <w:rFonts w:ascii="Times New Roman;Times;Serif" w:hAnsi="Times New Roman;Times;Serif"/>
          <w:b/>
          <w:i/>
          <w:caps w:val="false"/>
          <w:smallCaps w:val="false"/>
          <w:sz w:val="20"/>
        </w:rPr>
        <w:t>2025 Plan</w:t>
      </w:r>
      <w:r>
        <w:rPr>
          <w:rFonts w:ascii="Times New Roman;Times;Serif" w:hAnsi="Times New Roman;Times;Serif"/>
          <w:b w:val="false"/>
          <w:i w:val="false"/>
          <w:caps w:val="false"/>
          <w:smallCaps w:val="false"/>
          <w:sz w:val="20"/>
        </w:rPr>
        <w:t>”), and the issuance of up to 34,152,673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Class B common stock, par value $0.001 per share, of Skydance, which may be issued pursuant thereto.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Skydance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Skydance for legal consideration in excess of par value in the circumstances contemplated by the 2025 Plan, assuming in each case that the individual issuances, grants or awards under the 2025 Plan are duly authorized by all necessary corporate action of Skydance and duly issued, granted or awarded and exercised in accordance with the requirements of law and the 2025 Plan (and the agreements and awards duly adopted thereunder and in accordance therewith), the issue and sale of the Shares will have been duly authorized by all necessary corporate action of Skydance, and the Shares will be validly issued, fully paid and nonassessable. In rendering the foregoing opinion, we have assumed that Skydance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20, 2026</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77240" cy="914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777240" cy="9144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Latham &amp; Watkins LLP</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tm2627923d1_ex23-1.htm"/>
      <w:bookmarkStart w:id="6" w:name="kstm2627923d1_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Skydance Corporation of our report dated February 25, 2026, except with respect to our opinion on the consolidated financial statements insofar as it relates to the change in composition of reportable segments discussed in Note 1, as to which the date is May 13, 2026, relating to the financial statements, financial statement schedule and the effectiveness of internal control over financial reporting of Paramount Skydance Corporation, which appears in Paramount Skydance Corporation’s Current Report on Form 8-K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October 20, 2026</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Skydance Corporation of our report dated February 25, 2026 relating to the financial statements and financial statement schedule of Paramount Global, which appears in Paramount Skydance Corporation’s Current Report on Form 8-K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tm2627923d1_ex23-2.htm"/>
      <w:bookmarkStart w:id="8" w:name="kstm2627923d1_ex232"/>
      <w:bookmarkEnd w:id="7"/>
      <w:bookmarkEnd w:id="8"/>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Skydance Corporation of our report dated February 27, 2026 relating to the financial statements, financial statement schedule and the effectiveness of internal control over financial reporting, which appears in Warner Bros. Discovery,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October 20,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tm2627923d1_exfilingfee.htm"/>
      <w:bookmarkStart w:id="10" w:name="kstm2627923d1_exfilingfee"/>
      <w:bookmarkStart w:id="11" w:name="tm2627923d1_exfilingfee.htm"/>
      <w:bookmarkStart w:id="12" w:name="kstm2627923d1_exfilingfee"/>
      <w:bookmarkEnd w:id="11"/>
      <w:bookmarkEnd w:id="12"/>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Skydance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2"/>
        <w:gridCol w:w="1295"/>
        <w:gridCol w:w="1204"/>
        <w:gridCol w:w="1222"/>
        <w:gridCol w:w="1824"/>
        <w:gridCol w:w="1007"/>
        <w:gridCol w:w="143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2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2" w:type="dxa"/>
            <w:tcBorders/>
            <w:shd w:fill="E7E7E2" w:val="clear"/>
            <w:vAlign w:val="center"/>
          </w:tcPr>
          <w:p>
            <w:pPr>
              <w:pStyle w:val="TableContents"/>
              <w:bidi w:val="0"/>
              <w:spacing w:before="0" w:after="283"/>
              <w:jc w:val="left"/>
              <w:rPr/>
            </w:pPr>
            <w:r>
              <w:rPr/>
              <w:t xml:space="preserve">Class B common stock, par value $0.001 per share </w:t>
            </w:r>
          </w:p>
        </w:tc>
        <w:tc>
          <w:tcPr>
            <w:tcW w:w="1295" w:type="dxa"/>
            <w:tcBorders/>
            <w:shd w:fill="E7E7E2" w:val="clear"/>
            <w:vAlign w:val="center"/>
          </w:tcPr>
          <w:p>
            <w:pPr>
              <w:pStyle w:val="TableContents"/>
              <w:bidi w:val="0"/>
              <w:spacing w:before="0" w:after="283"/>
              <w:jc w:val="center"/>
              <w:rPr/>
            </w:pPr>
            <w:r>
              <w:rPr/>
              <w:t xml:space="preserve">457(a) </w:t>
            </w:r>
          </w:p>
        </w:tc>
        <w:tc>
          <w:tcPr>
            <w:tcW w:w="1204" w:type="dxa"/>
            <w:tcBorders/>
            <w:shd w:fill="E7E7E2" w:val="clear"/>
            <w:vAlign w:val="center"/>
          </w:tcPr>
          <w:p>
            <w:pPr>
              <w:pStyle w:val="TableContents"/>
              <w:bidi w:val="0"/>
              <w:spacing w:before="0" w:after="283"/>
              <w:jc w:val="right"/>
              <w:rPr/>
            </w:pPr>
            <w:r>
              <w:rPr/>
              <w:t xml:space="preserve">34,152,673 </w:t>
            </w:r>
          </w:p>
        </w:tc>
        <w:tc>
          <w:tcPr>
            <w:tcW w:w="1222" w:type="dxa"/>
            <w:tcBorders/>
            <w:shd w:fill="E7E7E2" w:val="clear"/>
            <w:vAlign w:val="center"/>
          </w:tcPr>
          <w:p>
            <w:pPr>
              <w:pStyle w:val="TableContents"/>
              <w:bidi w:val="0"/>
              <w:spacing w:before="0" w:after="283"/>
              <w:jc w:val="right"/>
              <w:rPr/>
            </w:pPr>
            <w:r>
              <w:rPr/>
              <w:t xml:space="preserve">$ 6.79 </w:t>
            </w:r>
          </w:p>
        </w:tc>
        <w:tc>
          <w:tcPr>
            <w:tcW w:w="1824" w:type="dxa"/>
            <w:tcBorders/>
            <w:shd w:fill="E7E7E2" w:val="clear"/>
            <w:vAlign w:val="center"/>
          </w:tcPr>
          <w:p>
            <w:pPr>
              <w:pStyle w:val="TableContents"/>
              <w:bidi w:val="0"/>
              <w:spacing w:before="0" w:after="283"/>
              <w:jc w:val="right"/>
              <w:rPr/>
            </w:pPr>
            <w:r>
              <w:rPr/>
              <w:t xml:space="preserve">$ 231,896,649.67 </w:t>
            </w:r>
          </w:p>
        </w:tc>
        <w:tc>
          <w:tcPr>
            <w:tcW w:w="1007" w:type="dxa"/>
            <w:tcBorders/>
            <w:shd w:fill="E7E7E2" w:val="clear"/>
            <w:vAlign w:val="center"/>
          </w:tcPr>
          <w:p>
            <w:pPr>
              <w:pStyle w:val="TableContents"/>
              <w:bidi w:val="0"/>
              <w:spacing w:before="0" w:after="283"/>
              <w:jc w:val="right"/>
              <w:rPr/>
            </w:pPr>
            <w:r>
              <w:rPr/>
              <w:t xml:space="preserve">0.000087 </w:t>
            </w:r>
          </w:p>
        </w:tc>
        <w:tc>
          <w:tcPr>
            <w:tcW w:w="1431" w:type="dxa"/>
            <w:tcBorders/>
            <w:shd w:fill="E7E7E2" w:val="clear"/>
            <w:vAlign w:val="center"/>
          </w:tcPr>
          <w:p>
            <w:pPr>
              <w:pStyle w:val="TableContents"/>
              <w:bidi w:val="0"/>
              <w:spacing w:before="0" w:after="283"/>
              <w:jc w:val="right"/>
              <w:rPr/>
            </w:pPr>
            <w:r>
              <w:rPr/>
              <w:t xml:space="preserve">$ 20,175.01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ind w:left="0" w:right="0" w:hanging="0"/>
              <w:jc w:val="right"/>
              <w:rPr/>
            </w:pPr>
            <w:bookmarkStart w:id="13" w:name="MaxAggtOfferingPrice"/>
            <w:bookmarkEnd w:id="13"/>
            <w:r>
              <w:rPr/>
              <w:t xml:space="preserve">$ 231,896,649.67 </w:t>
            </w:r>
          </w:p>
        </w:tc>
        <w:tc>
          <w:tcPr>
            <w:tcW w:w="1007" w:type="dxa"/>
            <w:tcBorders/>
            <w:vAlign w:val="center"/>
          </w:tcPr>
          <w:p>
            <w:pPr>
              <w:pStyle w:val="TableContents"/>
              <w:bidi w:val="0"/>
              <w:spacing w:before="0" w:after="283"/>
              <w:jc w:val="left"/>
              <w:rPr>
                <w:sz w:val="4"/>
                <w:szCs w:val="4"/>
              </w:rPr>
            </w:pPr>
            <w:r>
              <w:rPr>
                <w:sz w:val="4"/>
                <w:szCs w:val="4"/>
              </w:rPr>
            </w:r>
          </w:p>
        </w:tc>
        <w:tc>
          <w:tcPr>
            <w:tcW w:w="143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$ 20,175.01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0"/>
              <w:ind w:left="0" w:right="0" w:hanging="0"/>
              <w:jc w:val="right"/>
              <w:rPr/>
            </w:pPr>
            <w:bookmarkStart w:id="16" w:name="NetFeeAmt"/>
            <w:bookmarkEnd w:id="16"/>
            <w:r>
              <w:rPr/>
              <w:t xml:space="preserve">$ 20,175.01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 Pursuant to Rule 416(a) promulgated under the Securities Act of 1933, as amended (the "Securities Act"), this Registration Statement shall also cover any additional shares of Class B common stock of Skydance Corporation (the "Company"), par value $0.001 per share ("Class B Common Stock"), that may become issuable by reason of, or to prevent dilution from, any stock dividend, stock split, recapitalization or other similar transaction effected without receipt of consideration that increases the number of outstanding shares of Class B Common Stock under the Skydance Corporation 2025 Incentive Award Plan (the "2025 Plan"). (b) Represents additional shares of Class B Common Stock reserved for issuance under the 2025 Plan, pursuant to the equitable adjustment of the number of shares reserved for issuance under the 2025 Plan in connection with the Company's distribution of warrants to certain holders of Class B Common Stock. (c) Pursuant to Rule 457(c) and 457(h) of the Securities Act, the proposed maximum offering price per share and the proposed maximum aggregate offering price are estimated solely for the purpose of computing the amount of the registration fee with respect to additional shares issuable under the 2025 Plan, under the Securities Act in accordance with Rule 457(c), on the basis of the average of the high and low prices of shares of Skydance Corporation's Class B Common Stock, as reported on the New York Stock Exchange on October 19, 2026 of $6.79.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1610/000119312525175091/d16487ds8.htm" TargetMode="External"/><Relationship Id="rId3" Type="http://schemas.openxmlformats.org/officeDocument/2006/relationships/hyperlink" Target="https://www.sec.gov/Archives/edgar/data/2041610/000110465926113875/tm2626659d8_s8.htm" TargetMode="External"/><Relationship Id="rId4" Type="http://schemas.openxmlformats.org/officeDocument/2006/relationships/hyperlink" Target="https://www.sec.gov/Archives/edgar/data/2041610/000110465926113913/tm2626659d7_ex3-1.htm" TargetMode="External"/><Relationship Id="rId5" Type="http://schemas.openxmlformats.org/officeDocument/2006/relationships/hyperlink" Target="https://www.sec.gov/Archives/edgar/data/2041610/000110465926113913/tm2626659d7_ex3-1.htm" TargetMode="External"/><Relationship Id="rId6" Type="http://schemas.openxmlformats.org/officeDocument/2006/relationships/hyperlink" Target="https://www.sec.gov/Archives/edgar/data/2041610/000110465926113913/tm2626659d7_ex3-1.htm" TargetMode="External"/><Relationship Id="rId7" Type="http://schemas.openxmlformats.org/officeDocument/2006/relationships/hyperlink" Target="https://www.sec.gov/Archives/edgar/data/2041610/000110465926113913/tm2626659d7_ex3-1.htm" TargetMode="External"/><Relationship Id="rId8" Type="http://schemas.openxmlformats.org/officeDocument/2006/relationships/hyperlink" Target="https://www.sec.gov/Archives/edgar/data/2041610/000110465926113913/tm2626659d7_ex3-1.htm" TargetMode="External"/><Relationship Id="rId9" Type="http://schemas.openxmlformats.org/officeDocument/2006/relationships/hyperlink" Target="https://www.sec.gov/Archives/edgar/data/2041610/000110465926113913/tm2626659d7_ex3-2.htm" TargetMode="External"/><Relationship Id="rId10" Type="http://schemas.openxmlformats.org/officeDocument/2006/relationships/hyperlink" Target="https://www.sec.gov/Archives/edgar/data/2041610/000110465926113913/tm2626659d7_ex3-2.htm" TargetMode="External"/><Relationship Id="rId11" Type="http://schemas.openxmlformats.org/officeDocument/2006/relationships/hyperlink" Target="https://www.sec.gov/Archives/edgar/data/2041610/000110465926113913/tm2626659d7_ex3-2.htm" TargetMode="External"/><Relationship Id="rId12" Type="http://schemas.openxmlformats.org/officeDocument/2006/relationships/hyperlink" Target="https://www.sec.gov/Archives/edgar/data/2041610/000110465926113913/tm2626659d7_ex3-2.htm" TargetMode="External"/><Relationship Id="rId13" Type="http://schemas.openxmlformats.org/officeDocument/2006/relationships/hyperlink" Target="https://www.sec.gov/Archives/edgar/data/2041610/000110465926113913/tm2626659d7_ex3-2.htm" TargetMode="External"/><Relationship Id="rId14" Type="http://schemas.openxmlformats.org/officeDocument/2006/relationships/hyperlink" Target="https://www.sec.gov/Archives/edgar/data/2041610/000119312525175091/d16487dex41.htm" TargetMode="External"/><Relationship Id="rId15" Type="http://schemas.openxmlformats.org/officeDocument/2006/relationships/hyperlink" Target="https://www.sec.gov/Archives/edgar/data/2041610/000119312525175091/d16487dex41.htm" TargetMode="External"/><Relationship Id="rId16" Type="http://schemas.openxmlformats.org/officeDocument/2006/relationships/hyperlink" Target="https://www.sec.gov/Archives/edgar/data/2041610/000119312525175091/d16487dex41.htm" TargetMode="External"/><Relationship Id="rId17" Type="http://schemas.openxmlformats.org/officeDocument/2006/relationships/hyperlink" Target="https://www.sec.gov/Archives/edgar/data/2041610/000119312525175091/d16487dex41.htm" TargetMode="External"/><Relationship Id="rId18" Type="http://schemas.openxmlformats.org/officeDocument/2006/relationships/hyperlink" Target="https://www.sec.gov/Archives/edgar/data/2041610/000119312525175091/d16487dex41.htm" TargetMode="External"/><Relationship Id="rId19" Type="http://schemas.openxmlformats.org/officeDocument/2006/relationships/hyperlink" Target="https://www.sec.gov/Archives/edgar/data/2041610/000110465926113913/tm2626659d7_ex10-1.htm" TargetMode="External"/><Relationship Id="rId20" Type="http://schemas.openxmlformats.org/officeDocument/2006/relationships/hyperlink" Target="https://www.sec.gov/Archives/edgar/data/2041610/000110465926113913/tm2626659d7_ex10-1.htm" TargetMode="External"/><Relationship Id="rId21" Type="http://schemas.openxmlformats.org/officeDocument/2006/relationships/hyperlink" Target="https://www.sec.gov/Archives/edgar/data/2041610/000110465926113913/tm2626659d7_ex10-1.htm" TargetMode="External"/><Relationship Id="rId22" Type="http://schemas.openxmlformats.org/officeDocument/2006/relationships/hyperlink" Target="https://www.sec.gov/Archives/edgar/data/2041610/000110465926113913/tm2626659d7_ex10-1.htm" TargetMode="External"/><Relationship Id="rId23" Type="http://schemas.openxmlformats.org/officeDocument/2006/relationships/hyperlink" Target="https://www.sec.gov/Archives/edgar/data/2041610/000110465926113913/tm2626659d7_ex10-1.htm" TargetMode="External"/><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2681</Words>
  <Characters>14738</Characters>
  <CharactersWithSpaces>17578</CharactersWithSpaces>
  <Paragraphs>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