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19,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80" w:type="dxa"/>
        <w:tblCellMar>
          <w:top w:w="0" w:type="dxa"/>
          <w:left w:w="0" w:type="dxa"/>
          <w:bottom w:w="0" w:type="dxa"/>
          <w:right w:w="0" w:type="dxa"/>
        </w:tblCellMar>
      </w:tblPr>
      <w:tr>
        <w:trPr>
          <w:trHeight w:val="220"/>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001-42791</w:t>
            </w:r>
          </w:p>
        </w:tc>
        <w:tc>
          <w:tcPr>
            <w:tcW w:w="2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216"/>
        </w:trPr>
        <w:tc>
          <w:tcPr>
            <w:tcW w:w="2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incorporation)</w:t>
            </w:r>
          </w:p>
        </w:tc>
        <w:tc>
          <w:tcPr>
            <w:tcW w:w="5160" w:type="dxa"/>
            <w:vAlign w:val="bottom"/>
          </w:tcPr>
          <w:p>
            <w:pPr>
              <w:spacing w:after="0"/>
              <w:rPr>
                <w:sz w:val="20"/>
                <w:szCs w:val="20"/>
                <w:color w:val="auto"/>
              </w:rPr>
            </w:pPr>
          </w:p>
        </w:tc>
        <w:tc>
          <w:tcPr>
            <w:tcW w:w="22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10"/>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5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0"/>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5160" w:type="dxa"/>
            <w:vAlign w:val="bottom"/>
          </w:tcPr>
          <w:p>
            <w:pPr>
              <w:spacing w:after="0"/>
              <w:rPr>
                <w:sz w:val="19"/>
                <w:szCs w:val="19"/>
                <w:color w:val="auto"/>
              </w:rPr>
            </w:pPr>
          </w:p>
        </w:tc>
        <w:tc>
          <w:tcPr>
            <w:tcW w:w="22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16"/>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5160" w:type="dxa"/>
            <w:vAlign w:val="bottom"/>
          </w:tcPr>
          <w:p>
            <w:pPr>
              <w:spacing w:after="0"/>
              <w:rPr>
                <w:sz w:val="18"/>
                <w:szCs w:val="18"/>
                <w:color w:val="auto"/>
              </w:rPr>
            </w:pPr>
          </w:p>
        </w:tc>
        <w:tc>
          <w:tcPr>
            <w:tcW w:w="22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offices)</w:t>
            </w:r>
          </w:p>
        </w:tc>
        <w:tc>
          <w:tcPr>
            <w:tcW w:w="51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238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258-6000</w:t>
            </w:r>
          </w:p>
        </w:tc>
        <w:tc>
          <w:tcPr>
            <w:tcW w:w="226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WBD Notes Transactions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May 19, 2026, Paramount Skydance Corporation (“Paramount”) issued a press release announcing that it had commenced (i) offers to purchase (the “Tender Offers”) for cash, upon the terms and subject to the conditions set forth in the related offer to purchase (the “Offer to Purchase”), any and all of the identified notes in certain series of debt securities issued by Discovery Global Holdings, Inc. (formerly WarnerMedia Holdings, Inc.) (the “DGH Issuer”) and Discovery Communications, LLC (the “DCL Issuer” and together with the DGH Issuer, each a “WBD Issuer” and collectively the “WBD Issuers”), as applicable, for up to $2.4 billion in principal amount in the aggregate and (ii) offers to exchange (the “Exchange Offers” and together with the Tender Offers, the “Offers”), any and all of the identified notes in certain series of debt securities issued by the applicable WBD Issuer for newly issued debt securities of Paramount (the “New PSKY Notes”), for up to $12.8 billion in principal amount in the aggregate upon the terms and subject to the conditions set forth in the exchange offer memorandum (the “Offering Memorandum”) provided to Eligible Holders (as defined below) in connection with the Exchange Offers.</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Offers are being conducted in connection with the proposed acquisition (the “Acquisition”) by Paramount of Warner Bros. Discovery, Inc. (“WBD”), the parent entity of the WBD Issuers. The Offers are being made solely by Paramount and are not being made by WBD or the WBD Issuers.</w:t>
      </w:r>
    </w:p>
    <w:p>
      <w:pPr>
        <w:spacing w:after="0" w:line="16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New PSKY Notes are being offered only to persons reasonably believed to be qualified institutional buyers as defined in Rule 144A under the Securities Act of 1933, as amended (the “Securities Act”), or, outside the United States, to persons other than “U.S. persons” as defined in Rule 902 of Regulation S under the Securities Act (in each case “Eligible Holders”). Such New PSKY Notes have not been and will not be registered under the Securities Act, or the securities laws of any other jurisdiction, and may not be offered or sold in the United States without registration or an applicable exemption from registration requirements.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Concurrently with, and separately from, the Offers, the WBD Issuers have commenced solicitations (collectively, the “Consent Solicitations”), upon the terms and subject to the conditions set forth in the related consent solicitation statement, of consents from holders of each series of the WBD Issuers’ notes that are subject to the Offers (together, the “WBD Notes”) to certain proposed amendments (the “Proposed Amendments”) to the indentures governing the WBD Notes that would (i) extend the deadline by which the WBD Issuers are obligated to commence an offer for junior lien secured notes (“Junior Lien Exchange Notes”) of the WBD Issuers in exchange for the WBD Notes (the “Required Exchange Transaction”) from December 30, 2026 to the End Date (as defined in the Agreement and Plan of Merger governing the Acquisition (the “Merger Agreement”)), which is March 4, 2027 (as such date may be extended by the parties to the Merger Agreement); provided that if the Merger Agreement is validly terminated on or prior to the End Date, such deadline shall mean the date that is the later of (x) December 30, 2026 and (y) 90 calendar days following the date on which the Merger Agreement is validly terminated, (ii) specify that such Junior Lien Exchange Notes either: (1) if the Acquisition is consummated, (a) will not include a restrictive liens covenant or a restricted debt prepayments covenant, (b) will be guaranteed on a senior basis by WBD and each subsidiary of the applicable WBD Issuer that is an obligor under the senior secured funded debt facility with the lowest lien priority to which WBD is an obligor as of the consummation of the Acquisition (the “Applicable Take-Out Facility”), (c) will be secured by the assets of WBD, the applicable WBD Issuer, and such applicable guarantor subsidiaries, with such modifications as deemed necessary or advisable by the applicable WBD Issuer to reflect liens on such assets that are junior in priority to the Applicable Take-Out Facility, and (d) the requirement that the Required Exchange Transaction be for the same principal amount of Junior Lien Exchange Notes will be removed, or (2) if the Acquisition is not consummated or the Merger Agreement is terminated pursuant to its terms, will be substantially consistent (as determined by the applicable WBD Issuer (in its sole discretion)) with the terms expressly set forth under the “Brief Description of the Junior Lien Exchange Notes” section of the offer to purchase and consent solicitation statement, dated as of June 9, 2025, subject to certain other modifications, and (iii) make certain technical and other modifications to reflect the foregoing contemplated amendments and to cure certain ambiguities in such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80"/>
        <w:spacing w:after="0" w:line="258" w:lineRule="auto"/>
        <w:rPr>
          <w:sz w:val="20"/>
          <w:szCs w:val="20"/>
          <w:color w:val="auto"/>
        </w:rPr>
      </w:pPr>
      <w:r>
        <w:rPr>
          <w:rFonts w:ascii="Times New Roman" w:cs="Times New Roman" w:eastAsia="Times New Roman" w:hAnsi="Times New Roman"/>
          <w:sz w:val="18"/>
          <w:szCs w:val="18"/>
          <w:color w:val="auto"/>
        </w:rPr>
        <w:t>The Offers are, in each case, subject to the satisfaction or waiver of certain conditions, including, among other things, the conditions that (i) requisite consents for each of the Proposed Amendments in the Consent Solicitations are received with respect to a particular indenture, or for one or more series of notes issued, pursuant to such indenture, as applicable, and (ii) the Acquisition is consummated. As a result, the settlement of the Offers is conditioned on the closing of the Acquisition, and Paramount currently anticipates extending the expiration date for such Offers until the time of the consummation of the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hereto and is incorporated by reference herein.</w:t>
      </w:r>
    </w:p>
    <w:p>
      <w:pPr>
        <w:spacing w:after="0" w:line="22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This current report on Form 8-K does not constitute a solicitation of any consent in respect of, or an offer to purchase or exchange, or a solicitation of an offer to sell or exchange, any securities. The Tender Offers, Exchange Offers and Consent Solicitations are being made only pursuant to the applicable Offer to Purchase, Offering Memorandum and consent solicitation statement that will be provided only to eligible participants in such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Financing Transactions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previously announced, in connection with the Acquisition, Paramount entered into a second amended and restated commitment letter, dated as of February 25, 2026 (the “Debt Commitment Letter”), with Bank of America, N.A., Citi (as defined in the Debt Commitment Letter), Apollo Capital Management, L.P. (“ACM”, on behalf of one or more investment funds, separate accounts and other entities owned (in whole or in part), controlled, managed and/or advised by ACM) (collectively, the “Debt Commitment Parties”), BofA Securities, Inc., and Apollo Global Funding, LLC, pursuant to which the Debt Commitment Parties had agreed to provide, subject to the satisfaction of customary closing conditions, among other things, a $54.0 billion 364-day senior secured bridge term loan facility (the “Bridge Commitments”), which Bridge Commitments were subsequently reduced to $49.0 billion.</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Paramount provided to Eligible Holders certain disclosures in the Offering Memorandum, including that Paramount intends to procure permanent financing in lieu of the secured Bridge Commitments in the form of additional secured credit facilities and secured capital markets indebtedness that is expected to be incurred in the form of first lien and second lien indebtedness in the investment grade and non-investment grade markets. Specifically, Paramount intends to commence one or more offerings of senior term loans and/or debt securities to reduce or replace remaining Bridge Commitments (the “Acquisition Financing Transactions”) currently planned to take the form of (i) $39.5 billion of first-lien secured indebtedness (the “New First Lien Secured Debt”) and</w:t>
      </w:r>
    </w:p>
    <w:p>
      <w:pPr>
        <w:spacing w:after="0" w:line="3" w:lineRule="exact"/>
        <w:rPr>
          <w:sz w:val="20"/>
          <w:szCs w:val="20"/>
          <w:color w:val="auto"/>
        </w:rPr>
      </w:pPr>
    </w:p>
    <w:p>
      <w:pPr>
        <w:ind w:right="200" w:firstLine="8"/>
        <w:spacing w:after="0" w:line="253"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billion of second-lien secured indebtedness (the “New Second Lien Secured Debt”). The ultimate aggregate principal amount and form of such indebtedness (including the split between New First Lien Secured Debt and New Second Lien Secured Debt), and the terms to which such indebtedness will be subject, are subject to change and market conditions outside of Paramount’s control, and Paramount can make no assurances that the Acquisition Financing Transactions will be consummated on favorable terms or at all.</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notes or other securities, including without limitation in connection with the Acquisition Financing Transactions. Any offers of such New PSKY Notes will be made only by means of the offering documentation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Deleveraging</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discussions with certain ratings agencies relating to the financing for the Acquisition, including the Exchange Offers and the potential Acquisition Financing Transactions, Paramount communicated to such ratings agencies that it is Paramount’s and its controlling stockholder’s plan and commitment, following the consummation of the Acquisition, to delever below a net debt to adjusted EBITDA multiple of 3.75x by fiscal year 2028 and a net debt to adjusted EBITDA multiple of 3.0x by fiscal year 2029, and that they will take steps to deliver the deleveraging targets.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Exchange Offers, Paramount provided certain updated disclosures to Eligible Holders that it expects to achieve approximately 30% of its expected synergies of over $6 billion by the first year following the closing of the Acquisition and approximately 70% of such synergies by the second year following the closing of the Acquisition, with the full run-rate synergies achieved by the third year following the closing of the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Paramount has, by reference to this Current Report, incorporated by reference into the Offering Memorandum certain unaudited pro forma condensed combined financial statements and other information of Paramount giving effect to the Acquisition and the other transactions in connection therewith, as well as the Skydance Transactions and the NAI Transaction (each as defined in Paramount’s Form 10-Q for the quarterly period ended March 31, 2026, filed with the SEC on May 4, 2026), that is attached hereto as Exhibit 99.2. The information contained in such unaudited pro forma condensed combined financial statements is derived from the historical financial statements of Paramount, WBD and Skydance and has been adjusted to give effect to the Acquisition and the other transactions in connection therewith, as well as the Skydance Transactions and the NAI Transaction.</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referenced above are provided solely to satisfy Regulation FD requirements and are not intended to comply with Item 9.01 of Form 8-K. The financial statements and pro forma financial information required by Item 9.01 of Form 8-K will, if required, be filed by Paramount on Form 8-K in compliance with the requirements of the SEC by not later than 71 calendar days after the date that the initial report on Form 8-K reporting the Acquisition must be filed in connection with the closing of the Acquisition.</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historical financial statements of Paramount and WBD from which such unaudited pro forma condensed combined financial statements are derived have been filed in: Paramount’s Annual Report on Form 10-K for the fiscal year ended December 31, 2025, filed with the SEC on February 25, 2026, as amended by Paramount's Form 10-K/A, filed with the SEC on April 24, 2026 as superseded by, and solely to the extent set forth in, Paramount's Current Report on Form 8-K filed with the SEC on May 13, 2026; Paramount’s Form 10-Q for the quarterly period ended March 31, 2026, filed with the SEC on May 4, 2026; WBD’s Annual Report on Form 10-K for the fiscal year ended December 31, 2025, filed with the SEC on February 27, 2026; WBD’s Form 10-Q for the quarterly period ended March 31, 2026, filed with the SEC on May 6, 2026; and Paramount’s Amendment No. 1 to its Current Report on Form 8-K12B, filed with the SEC on October 23, 2025, for the unaudited condensed consolidated financial statements of Skydance Media, LLC as of June 30, 2025 and for the six months ended June 30, 2025 and 2024 attached as an exhibit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Exhibits 99.1 and 99.2, shall not be deemed “filed” for purposes of Section 18 of the Exchange Act, or otherwise subject to the liabilities under that section and shall not be deemed to be incorporated by reference into any filing under the Securities Act or the Exchange Act, except as expressly set forth by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regarding the potential Acquisition of WBD, the proposed financing in connection with the Acquisition and Paramount’s estimated synergies in connection with the Acquisition and the expected timeline for realizing such synergies, and Paramount’s deleveraging targets following the Acquisition.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Paramount or WBD. Risks and uncertainties include, but are not limited to: the risk that the closing conditions for the Acquisition will not be satisfied, including the risk that clearances under applicable antitrust or regulatory laws will not be obtained; the possibility that the transaction will not be completed in the expected timeframe or at all; potential adverse effects to the businesses of Paramount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Acquisition, if completed, may not be realized or may take longer to realize than expected;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Paramount’s decisions to invest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Paramount’s intellectual property rights; domestic and global political, economic and regulatory factors affecting Paramount’s businesses generally; the inability to hire or retain key employees or secure creative talent; disruptions to Paramount’s operations as a result of labor disputes; risks and costs associated with the integration of, and Paramount’s ability to integrate, the businesses of Paramount Global and Skydance successfully and to achieve anticipated synergies; litigation relating to the transactions contemplated by the transaction agreement entered into on July 7, 2024, between Paramount Global and Skydance, potentially resulting in substantial costs; volatility in the price of Paramount’s Class B common stock; the effect Paramount’s dual-class capital structure and the concentrated ownership may have on the price of its Class B common stock or business; risks related to a private sale of a controlling interest in Paramount, including that Paramount’s stockholders may not realize any change of control premium on shares of Paramount’s Class B common stock and that Paramount may become subject to the control of a presently unknown third party; risks associated with Paramount’s status as a “controlled company” under Nasdaq rules, including its exemption from certain corporate governance requirements; risks associated with the lack of voting rights of Paramount’s Class B common stock; risks that anti-takeover provisions in Paramount’s amended and restated certificate of incorporation (“Charter”) and amended and restated bylaws, and under Delaware law, could deter, delay, or prevent a change of control; risks that exclusive forum provisions in Paramount’s Charter could limit a stockholder’s choice of forum for certain claims and discourage lawsuits against Paramount’s directors and officers; risks that corporate opportunity provisions in Paramount’s Charter could permit certain persons to pursue competitive opportunities that might otherwise be available to Paramount; risks associated with Paramount’s holding company structure, including its dependence on distributions from its subsidiaries to meet tax obligations and other cash requirements; risks related to our indebtedness, including our substantial outstanding debt obligations; risks related to our ability to incur substantially more debt and our ability to meet the financial and other covenants contained in the agreements governing our indebtedness; and risks relating to our ability to deleverage the business in accordance with management’s targets, including risks arising from assumptions, uncertainties and contingencies that may affect our ability to reduce indebtedness; risks relating to management’s ability to execute on its strategic plan and improve its financial profile and cash flows from operations; and risks relating to any capital or other financing Paramount may have to raise in order to reduce its indebtedness following the Acquisition. A further list and description of these risks, uncertainties and other factors and the general risks associated with the respective businesses of Paramount and WBD can be found in Paramount’s Annual Report on Form 10-K for the fiscal year ended December 31, 2025, filed with the SEC on February 25, 2026, and Paramount’s Form 10-Q for the quarterly period ended March 31, 2026, filed with the SEC on May 4, 2026, including, in each case, in the sections captioned “Cautionary Note Concerning Forward-Looking Statements” and “Item 1A. Risk Factors,” and Paramount’s subsequent filings with the SEC, and WBD’s Annual Report on Form 10-K for the fiscal year ended December 31, 2025, filed with the SEC on February 27, 2026, and WBD’s Form 10-Q for the quarterly period ended March 31, 2026, filed with the SEC on May 6, 2026, including, in each case, in the sections captioned “Cautionary Note Concerning Forward-Looking Statements” and “Item 1A. Risk Factors,” and WBD’s subsequent filings with the SEC. Copies of these filings, as well as subsequent filings, are available online at www.sec.gov, ir.wbd.com or on request from Paramount or WBD. Paramount undertakes no obligation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7"/>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8"/>
        </w:trPr>
        <w:tc>
          <w:tcPr>
            <w:tcW w:w="1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dated May 19, 2026.</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2</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Unaudited pro forma condensed combined financial statements of Paramount Skydance Corporation as of and for the three months ended</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March 31, 2026 and for the year ended December 31, 2025.</w:t>
            </w:r>
          </w:p>
        </w:tc>
        <w:tc>
          <w:tcPr>
            <w:tcW w:w="20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r>
      <w:tr>
        <w:trPr>
          <w:trHeight w:val="291"/>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2"/>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168275</wp:posOffset>
            </wp:positionV>
            <wp:extent cx="1988820" cy="1431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882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aramount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kydance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Any and All of the Identified Notes in each Series of Existing Tender Offer Notes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for Newly Issued Notes of Paramount Skydance Corporation (“New PSKY Notes”)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Any and All of the Identified Notes in each Series of Existing Exchange Offer Notes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each case,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iscovery</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lobal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iscovery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ommunications</w:t>
      </w:r>
      <w:r>
        <w:rPr>
          <w:rFonts w:ascii="Times New Roman" w:cs="Times New Roman" w:eastAsia="Times New Roman" w:hAnsi="Times New Roman"/>
          <w:sz w:val="18"/>
          <w:szCs w:val="18"/>
          <w:b w:val="1"/>
          <w:bCs w:val="1"/>
          <w:color w:val="auto"/>
        </w:rPr>
        <w:t>, LLC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and New York, May 19, 2026 – Paramount Skydance Corporation (NASDAQ: PSKY) (“Paramount”) today announced that it has commenced</w:t>
      </w:r>
    </w:p>
    <w:p>
      <w:pPr>
        <w:spacing w:after="0" w:line="27" w:lineRule="exact"/>
        <w:rPr>
          <w:sz w:val="20"/>
          <w:szCs w:val="20"/>
          <w:color w:val="auto"/>
        </w:rPr>
      </w:pPr>
    </w:p>
    <w:p>
      <w:pPr>
        <w:ind w:firstLine="8"/>
        <w:spacing w:after="0" w:line="268" w:lineRule="auto"/>
        <w:tabs>
          <w:tab w:leader="none" w:pos="2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offers to purchase (the “Tender Offers” and each, a “Tender Offer”) for cash, upon the terms and subject to the conditions set forth in the related offer to purchase (the “Offer to Purchase”), any and all of the identified notes in each series of the Existing Tender Offer Notes (defined by reference to the table set forth below) issued by Discovery Global Holdings, Inc. (formerly WarnerMedia Holdings, Inc.) (the “DGH Issuer”) and Discovery Communications, LLC (the “DCL Issuer” and together with the DGH Issuer, each a “WBD Issuer” and collectively the “WBD Issuers”), as applicable, and (ii) offers to exchange (the “Exchange Offers” and each, an “Exchange Offer”), upon the terms and subject to the conditions set forth in the related exchange offer memorandum (the “Offering Memorandum”), any and all of the identified notes in each series of the Existing Exchange Offer Notes (defined by reference to the table set forth below) (together with the Existing Tender Offer Notes, the “Offer Notes”) issued by the applicable WBD Issuer for newly issued New PSKY Notes (defined by reference to the table set forth below) to be issued by Paramount with the same currency, maturity date, interest payment dates and interest rates (with certain exceptions as indicated on the table below) as the Existing Exchange Offer Notes validly tendered and accepted in the Exchange Offers.</w:t>
      </w:r>
    </w:p>
    <w:p>
      <w:pPr>
        <w:spacing w:after="0" w:line="17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Tender Offers and Exchange Offers (together, the “Offers”) are being conducted in connection with the proposed acquisition (the “Acquisition”) by Paramount of Warner Bros. Discovery, Inc. (“WBD”), the parent entity of the WBD Issuers. The Offers are being made solely by Paramount and are not being made by WBD or the WBD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t xml:space="preserve">Concurrently with the Offers, the WBD Issuers have commenced solicitations (collectively, the “Consent Solicitations”), upon the terms and subject to the conditions set forth in the related consent solicitation statement, of consents from holders of certain series of notes issued by the WBD Issuers (the “WBD Notes”) to certain proposed amendments (the “Proposed Amendments”) to the indentures governing the WBD Notes (the “Existing WBD Indentures”) that would (i) extend the deadline by which the WBD Issuers are obligated to commence an offer for junior lien secured notes (“Junior Lien Exchange Notes”) of the WBD Issuers in exchange for the WBD Notes (a “Required Exchange Transaction”) from December 30, 2026 to the End Date (as defined in the Agreement and Plan of Merger governing the Acquisition (the “Merger Agreement”)), which is March 4, 2027 (as such date may be extended by the parties to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Merger Agreement is validly terminated on or prior to the End Date, such deadline shall mean the date that is the later of (x) December 30, 2026 and (y) 90 calendar days following the date on which the Merger Agreement is validly terminated, (ii) specify that such Junior Lien Exchange Notes either: (1) if the Acquisition is consummated, (a) will not include a restrictive liens covenant or a restricted debt prepayments covenant, (b) will be guaranteed on a senior basis by WBD and each subsidiary of the applicable WBD Issuer that is an obligor under the senior secured funded debt facility with the lowest lien priority to which WBD is an obligor as of the consummation of the Acquisition (the “Applicable Take-Out Facility”), (c) will be secured by the assets of WBD, the applicable WBD Issuer, and such applicable guarantor subsidiaries, with such modifications as deemed necessary or advisable by the applicable WBD Issuer to reflect liens on such assets that are junior in priority to the Applicable Take-Out Facility, and (d) the requirement that the Required Exchange Transaction be for the same principal amount of Junior Lien Exchange Notes will be removed, or (2) if the Acquisition is not consummated or the Merger Agreement is terminated pursuant to its terms, will be substantially consistent (as determined by the applicable WBD Issuer (in its sole discretion)) with the terms expressly set forth under the “Brief Description of the Junior Lien Exchange Notes” section of the offer to purchase and consent solicitation statement, dated as of June 9, 2025, subject to certain other modifications, and</w:t>
      </w:r>
    </w:p>
    <w:p>
      <w:pPr>
        <w:spacing w:after="0" w:line="10" w:lineRule="exact"/>
        <w:rPr>
          <w:sz w:val="20"/>
          <w:szCs w:val="20"/>
          <w:color w:val="auto"/>
        </w:rPr>
      </w:pPr>
    </w:p>
    <w:p>
      <w:pPr>
        <w:ind w:right="60" w:firstLine="8"/>
        <w:spacing w:after="0" w:line="260"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technical and other modifications to reflect the foregoing contemplated amendments and to cure certain ambiguities in the Existing WBD Indentures.</w:t>
      </w:r>
    </w:p>
    <w:p>
      <w:pPr>
        <w:spacing w:after="0" w:line="1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WBD Notes include the Offer Notes, but not all WBD Notes are Offer Notes. In order to be eligible to participate in any Offer, holders of Offer Notes must first deliver their consents in the Consent Solicitations. </w:t>
      </w:r>
      <w:r>
        <w:rPr>
          <w:rFonts w:ascii="Times New Roman" w:cs="Times New Roman" w:eastAsia="Times New Roman" w:hAnsi="Times New Roman"/>
          <w:sz w:val="18"/>
          <w:szCs w:val="18"/>
          <w:color w:val="auto"/>
        </w:rPr>
        <w:t>In accordance with the terms of the Consent Solicitations, holders of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identified by the CUSIP No./Common Code/ISIN set forth in the tables below who have validly delivered (and not validly revoked) consents in the Consent Solicitations will receive a temporary CUSIP or ISIN number (a “Temporary Identifier”) for their applicable Offer Notes, which Offer Notes will, from the period commencing from the receipt by the holders of such Temporary Identifier until the expiration of applicable Offer, trade separately from the Offer Notes of holders who have not so consented or whose WBD Notes are not Offer Notes, each of which will retain their existing identifier. Only holders of Offer Notes bearing a Temporary Identifier will be eligible to participate in the applicable Offer.</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Offers are, in each case, subject to the satisfaction or waiver of certain conditions, including, among other things, the conditions that (i) requisite consents are received for each of the Proposed Amendments in the Consent Solicitations and (ii) the Acquisition is consummated. As a result, the settlement of the Offers is conditioned on the closing of the Acquisition, and Paramount currently anticipates extending the expiration date for such Offers until such time that would result in the Settlement Date (as defined below) occurring on the closing date of the Acquisition or within one business day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consideration offered in the Tender Offers per $1,000 in aggregate principal amount of Existing Tender Offer Notes tendered is summarized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189"/>
        </w:trPr>
        <w:tc>
          <w:tcPr>
            <w:tcW w:w="27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Existing Tender Offer Notes to be</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Issuer of Existing</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CUSIP No. /</w:t>
            </w:r>
          </w:p>
        </w:tc>
        <w:tc>
          <w:tcPr>
            <w:tcW w:w="2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U.S. Treasury</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Fixed Spread</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Bloomberg</w:t>
            </w: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Tender Offer</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Borders>
              <w:right w:val="single" w:sz="8" w:color="auto"/>
            </w:tcBorders>
            <w:vMerge w:val="continue"/>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83"/>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ISIN</w:t>
            </w:r>
            <w:r>
              <w:rPr>
                <w:rFonts w:ascii="Times New Roman" w:cs="Times New Roman" w:eastAsia="Times New Roman" w:hAnsi="Times New Roman"/>
                <w:sz w:val="20"/>
                <w:szCs w:val="20"/>
                <w:b w:val="1"/>
                <w:bCs w:val="1"/>
                <w:color w:val="auto"/>
                <w:vertAlign w:val="superscript"/>
              </w:rPr>
              <w:t>(1)</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112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Page</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126"/>
        </w:trPr>
        <w:tc>
          <w:tcPr>
            <w:tcW w:w="2760" w:type="dxa"/>
            <w:vAlign w:val="bottom"/>
            <w:tcBorders>
              <w:left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3.755% Senior Notes due 2027</w:t>
            </w:r>
          </w:p>
        </w:tc>
        <w:tc>
          <w:tcPr>
            <w:tcW w:w="13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DGH Issuer</w:t>
            </w:r>
          </w:p>
        </w:tc>
        <w:tc>
          <w:tcPr>
            <w:tcW w:w="14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$1,195,271,000</w:t>
            </w:r>
          </w:p>
        </w:tc>
        <w:tc>
          <w:tcPr>
            <w:tcW w:w="12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55903V BL6</w:t>
            </w:r>
          </w:p>
        </w:tc>
        <w:tc>
          <w:tcPr>
            <w:tcW w:w="22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4.250% U.S.T. due March 15,</w:t>
            </w:r>
          </w:p>
        </w:tc>
        <w:tc>
          <w:tcPr>
            <w:tcW w:w="11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0 bps</w:t>
            </w:r>
          </w:p>
        </w:tc>
        <w:tc>
          <w:tcPr>
            <w:tcW w:w="11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FIT3</w:t>
            </w: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US55903VBL62</w:t>
            </w:r>
          </w:p>
        </w:tc>
        <w:tc>
          <w:tcPr>
            <w:tcW w:w="2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2027</w:t>
            </w: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55903VBK8</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U55632 AM2</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USU55632AM23</w:t>
            </w:r>
          </w:p>
        </w:tc>
        <w:tc>
          <w:tcPr>
            <w:tcW w:w="22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3.950% Senior Notes due 2028</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DCL Issuer</w:t>
            </w:r>
          </w:p>
        </w:tc>
        <w:tc>
          <w:tcPr>
            <w:tcW w:w="14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$1,249,026,000</w:t>
            </w:r>
          </w:p>
        </w:tc>
        <w:tc>
          <w:tcPr>
            <w:tcW w:w="12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25470D BS7</w:t>
            </w:r>
          </w:p>
        </w:tc>
        <w:tc>
          <w:tcPr>
            <w:tcW w:w="22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3.875% U.S.T. due March 15,</w:t>
            </w:r>
          </w:p>
        </w:tc>
        <w:tc>
          <w:tcPr>
            <w:tcW w:w="11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0 bps</w:t>
            </w:r>
          </w:p>
        </w:tc>
        <w:tc>
          <w:tcPr>
            <w:tcW w:w="11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FIT4</w:t>
            </w:r>
          </w:p>
        </w:tc>
        <w:tc>
          <w:tcPr>
            <w:tcW w:w="0" w:type="dxa"/>
            <w:vAlign w:val="bottom"/>
          </w:tcPr>
          <w:p>
            <w:pPr>
              <w:spacing w:after="0"/>
              <w:rPr>
                <w:sz w:val="1"/>
                <w:szCs w:val="1"/>
                <w:color w:val="auto"/>
              </w:rPr>
            </w:pPr>
          </w:p>
        </w:tc>
      </w:tr>
      <w:tr>
        <w:trPr>
          <w:trHeight w:val="188"/>
        </w:trPr>
        <w:tc>
          <w:tcPr>
            <w:tcW w:w="276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US25470DBS71</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__________</w:t>
      </w:r>
    </w:p>
    <w:p>
      <w:pPr>
        <w:spacing w:after="0" w:line="2" w:lineRule="exact"/>
        <w:rPr>
          <w:sz w:val="20"/>
          <w:szCs w:val="20"/>
          <w:color w:val="auto"/>
        </w:rPr>
      </w:pPr>
    </w:p>
    <w:p>
      <w:pPr>
        <w:ind w:left="980" w:right="80" w:hanging="324"/>
        <w:spacing w:after="0" w:line="221"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representation is made as to the correctness or accuracy of the identifiers listed in this press release or printed on the Existing Tender Offer Notes. Such identifiers are provided solely for the convenience of the Tender Noteholders (as defined below). Tender Noteholders who have validly delivered (and not validly revoked) their consents pursuant to the Consent Solicitations will receive a Temporary Identifier for their applicable Existing Tender Offer Notes, which Existing Tender Offer Notes will, from the period commencing from the receipt by the holders of such Temporary Identifier until the expiration of applicable Tender Offer, trade separately from the Existing Tender Offer Notes of holders who have not so consented and from the WBD Notes that are not Offer Notes, each of which will retain their existing identifier as reflected in the table set forth above. Only holders of Existing Tender Offer Notes bearing a Temporary Identifier will be eligible to participate in the Tender Offers.</w:t>
      </w:r>
    </w:p>
    <w:p>
      <w:pPr>
        <w:spacing w:after="0" w:line="1" w:lineRule="exact"/>
        <w:rPr>
          <w:rFonts w:ascii="Times New Roman" w:cs="Times New Roman" w:eastAsia="Times New Roman" w:hAnsi="Times New Roman"/>
          <w:sz w:val="14"/>
          <w:szCs w:val="14"/>
          <w:color w:val="auto"/>
        </w:rPr>
      </w:pPr>
    </w:p>
    <w:p>
      <w:pPr>
        <w:ind w:left="980" w:right="460" w:hanging="324"/>
        <w:spacing w:after="0" w:line="239"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Bloomberg Reference Page is provided for convenience only. To the extent any Bloomberg Reference Page changes prior to the Price Determination Date (as defined below), the Dealer Managers (as defined herein) will quote the applicable Reference Treasury Security (as defined below) from the updated Bloomberg Reference Page.</w:t>
      </w:r>
    </w:p>
    <w:p>
      <w:pPr>
        <w:spacing w:after="0" w:line="1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Holders of Existing Tender Offer Notes (“Tender Noteholders”) with a Temporary Identifier who validly tender (and do not validly withdraw) their Existing Tender Offer Notes in the applicable Tender Offer at or prior to 5:00 p.m., New York City time, on June 17, 2026 (the “Tender Expiration Date”), and who beneficially own such tendered Existing Tender Offer Notes on the Tender Expiration Date, will be eligible to receive, for each $1,000 in aggregate principal amount of Existing Tender Offer Notes validly tendered and accepted for purchase pursuant to the Tender Offers, consideration (the “Tender Consideration”) to be determined in the manner described in the Offer to Purchase by reference to the applicable fixed spread (the “Fixed Spread”) specified in the table above for each series of Existing Tender Offer Notes over the yield (the “Reference Yield”) based on the bid-side price of the applicable U.S. Treasury Security specified in the table above (the “Reference Treasury Security”), as calculated at 10:00 a.m., New York City time, on the date on which the Expiration Date occurs (such time and date, the “Price Determination Date”). For the applicable series of Existing Tender Offer Notes, if the Tender Offer Yield as determined in accordance with the Offer to Purchase (the “Tender Offer Yield”) is less than the contractual annual rate of interest for such Existing Tender Offer Notes, then such Tender Consideration will be calculated based on the par call date; if the Tender Offer Yield as determined in accordance with the Offer to Purchase is higher than or equal to the contractual annual rate of interest for such series of Existing Tender Offer Notes, then such Tender Consideration will be calculated based on the maturity date.</w:t>
      </w:r>
    </w:p>
    <w:p>
      <w:pPr>
        <w:spacing w:after="0" w:line="19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Tenders of Existing Tender Offer Notes may be withdrawn at any time prior to the Tender Expiration Date. There is no premium for tendering prior to the Tender Expiration Date. Upon the terms and subject to the conditions of the Tender Offers, the settlement date for the Tender Offers will occur promptly after the Tender Expiration Date and on or promptly following the closing date of the Acquisition (the “Tender Settlement Date”), which is expected to occur in the third quarter of 2026. In addition to the Tender Consideration, Paramount will pay in cash accrued and unpaid interest on the Existing Tender Offer Notes accepted in the Tender Offers from the applicable latest interest payment date for such series of Existing Tender Offer Notes to, but not including, the Tender Settlement Date.</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Paramount intends to pay the Tender Consideration and any applicable accrued and unpaid interest on the Existing Tender Offer Notes accepted in the Tender Offers using cash on hand. Existing Tender Offer Notes that are accepted and purchased in the Tender Offers will be cancelled and will no longer remain outstanding obligations of the WBD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Exchange Offers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consideration offered in the Exchange Offers (i) per $1,000 in aggregate principal amount of U.S. dollar-denominated Existing Exchange Offer Notes tendered and (ii) per €1,000 in aggregate principal amount of Euro-denominated Existing Exchange Offer Notes tendered, in each case, is summarized below.</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620" w:type="dxa"/>
            <w:vAlign w:val="bottom"/>
            <w:tcBorders>
              <w:top w:val="single" w:sz="8" w:color="auto"/>
              <w:left w:val="single" w:sz="8" w:color="auto"/>
              <w:right w:val="single" w:sz="8" w:color="auto"/>
            </w:tcBorders>
          </w:tcPr>
          <w:p>
            <w:pPr>
              <w:spacing w:after="0"/>
              <w:rPr>
                <w:sz w:val="11"/>
                <w:szCs w:val="11"/>
                <w:color w:val="auto"/>
              </w:rPr>
            </w:pPr>
          </w:p>
        </w:tc>
        <w:tc>
          <w:tcPr>
            <w:tcW w:w="1800" w:type="dxa"/>
            <w:vAlign w:val="bottom"/>
            <w:tcBorders>
              <w:top w:val="single" w:sz="8" w:color="auto"/>
              <w:right w:val="single" w:sz="8" w:color="auto"/>
            </w:tcBorders>
          </w:tcPr>
          <w:p>
            <w:pPr>
              <w:spacing w:after="0"/>
              <w:rPr>
                <w:sz w:val="11"/>
                <w:szCs w:val="11"/>
                <w:color w:val="auto"/>
              </w:rPr>
            </w:pPr>
          </w:p>
        </w:tc>
        <w:tc>
          <w:tcPr>
            <w:tcW w:w="168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38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Consideration per $/€1,000 principal amount of Existing</w:t>
            </w:r>
          </w:p>
        </w:tc>
      </w:tr>
      <w:tr>
        <w:trPr>
          <w:trHeight w:val="173"/>
        </w:trPr>
        <w:tc>
          <w:tcPr>
            <w:tcW w:w="2620" w:type="dxa"/>
            <w:vAlign w:val="bottom"/>
            <w:tcBorders>
              <w:left w:val="single" w:sz="8" w:color="auto"/>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Offer Notes</w:t>
            </w:r>
          </w:p>
        </w:tc>
      </w:tr>
      <w:tr>
        <w:trPr>
          <w:trHeight w:val="117"/>
        </w:trPr>
        <w:tc>
          <w:tcPr>
            <w:tcW w:w="2620" w:type="dxa"/>
            <w:vAlign w:val="bottom"/>
            <w:tcBorders>
              <w:left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Existing Exchange Offer Notes to be</w:t>
            </w:r>
          </w:p>
        </w:tc>
        <w:tc>
          <w:tcPr>
            <w:tcW w:w="180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Issuer of Existing</w:t>
            </w:r>
          </w:p>
        </w:tc>
        <w:tc>
          <w:tcPr>
            <w:tcW w:w="168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34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CUSIP No. /</w:t>
            </w:r>
          </w:p>
        </w:tc>
        <w:tc>
          <w:tcPr>
            <w:tcW w:w="380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New PSKY Notes Offered and Exchange Consideration</w:t>
            </w:r>
          </w:p>
        </w:tc>
      </w:tr>
      <w:tr>
        <w:trPr>
          <w:trHeight w:val="158"/>
        </w:trPr>
        <w:tc>
          <w:tcPr>
            <w:tcW w:w="2620" w:type="dxa"/>
            <w:vAlign w:val="bottom"/>
            <w:tcBorders>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Tendered</w:t>
            </w:r>
          </w:p>
        </w:tc>
        <w:tc>
          <w:tcPr>
            <w:tcW w:w="180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Exchange Offer Notes</w:t>
            </w:r>
          </w:p>
        </w:tc>
        <w:tc>
          <w:tcPr>
            <w:tcW w:w="16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Amount Outstanding</w:t>
            </w:r>
          </w:p>
        </w:tc>
        <w:tc>
          <w:tcPr>
            <w:tcW w:w="134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Common Code /</w:t>
            </w:r>
          </w:p>
        </w:tc>
        <w:tc>
          <w:tcPr>
            <w:tcW w:w="3800" w:type="dxa"/>
            <w:vAlign w:val="bottom"/>
            <w:tcBorders>
              <w:right w:val="single" w:sz="8" w:color="auto"/>
            </w:tcBorders>
          </w:tcPr>
          <w:p>
            <w:pPr>
              <w:spacing w:after="0"/>
              <w:rPr>
                <w:sz w:val="13"/>
                <w:szCs w:val="13"/>
                <w:color w:val="auto"/>
              </w:rPr>
            </w:pPr>
          </w:p>
        </w:tc>
      </w:tr>
      <w:tr>
        <w:trPr>
          <w:trHeight w:val="204"/>
        </w:trPr>
        <w:tc>
          <w:tcPr>
            <w:tcW w:w="2620" w:type="dxa"/>
            <w:vAlign w:val="bottom"/>
            <w:tcBorders>
              <w:left w:val="single" w:sz="8" w:color="auto"/>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4"/>
              </w:rPr>
              <w:t>ISIN</w:t>
            </w:r>
            <w:r>
              <w:rPr>
                <w:rFonts w:ascii="Times New Roman" w:cs="Times New Roman" w:eastAsia="Times New Roman" w:hAnsi="Times New Roman"/>
                <w:sz w:val="23"/>
                <w:szCs w:val="23"/>
                <w:b w:val="1"/>
                <w:bCs w:val="1"/>
                <w:color w:val="auto"/>
                <w:w w:val="94"/>
                <w:vertAlign w:val="superscript"/>
              </w:rPr>
              <w:t>(1)</w:t>
            </w:r>
          </w:p>
        </w:tc>
        <w:tc>
          <w:tcPr>
            <w:tcW w:w="3800" w:type="dxa"/>
            <w:vAlign w:val="bottom"/>
            <w:tcBorders>
              <w:bottom w:val="single" w:sz="8" w:color="auto"/>
              <w:right w:val="single" w:sz="8" w:color="auto"/>
            </w:tcBorders>
          </w:tcPr>
          <w:p>
            <w:pPr>
              <w:spacing w:after="0"/>
              <w:rPr>
                <w:sz w:val="17"/>
                <w:szCs w:val="17"/>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4.125% Senior Notes due 2029</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DCL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$662,268,000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25470D CA5</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6.250%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US25470DCA54</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2029</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3.625% Senior Notes due 2030</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DCL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$917,517,000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25470D CC1</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4.875%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US25470DCC11</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2030</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5.000% Senior Notes due 2037</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DCL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$454,862,000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25470D BY4</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5.000%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US25470DBY40</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2037</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6.350% Senior Notes due 2040</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DCL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$443,529,000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25470D BZ1</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6.350%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US25470DBZ15</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2040</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4.950% Senior Notes due 2042</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DCL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$130,643,000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25470D BW8</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4.950%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US25470DBW83</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2042</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4.875% Senior Notes due 2043</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DCL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$142,017,000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25470D BX6</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4.875%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US25470DBX66</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2043</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5.200% Senior Notes due 2047</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DCL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$4,230,000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25470D BV0</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5.200%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US25470DBV01</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2047</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5.300% Senior Notes due 2049</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DCL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$248,458,000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25470D BU2</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5.300%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US25470DBU28</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2049</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4.054% Senior Notes due 2029</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DGH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$1,364,619,000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55903V BY8</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6.304% Senior</w:t>
            </w: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US55903VBY83</w:t>
            </w:r>
          </w:p>
        </w:tc>
        <w:tc>
          <w:tcPr>
            <w:tcW w:w="3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Secured Second Lien Notes due 2029</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55903VBX0</w:t>
            </w:r>
          </w:p>
        </w:tc>
        <w:tc>
          <w:tcPr>
            <w:tcW w:w="3800" w:type="dxa"/>
            <w:vAlign w:val="bottom"/>
            <w:tcBorders>
              <w:right w:val="single" w:sz="8" w:color="auto"/>
            </w:tcBorders>
          </w:tcPr>
          <w:p>
            <w:pPr>
              <w:spacing w:after="0"/>
              <w:rPr>
                <w:sz w:val="16"/>
                <w:szCs w:val="16"/>
                <w:color w:val="auto"/>
              </w:rPr>
            </w:pPr>
          </w:p>
        </w:tc>
      </w:tr>
      <w:tr>
        <w:trPr>
          <w:trHeight w:val="297"/>
        </w:trPr>
        <w:tc>
          <w:tcPr>
            <w:tcW w:w="26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US55903VBX01</w:t>
            </w:r>
          </w:p>
        </w:tc>
        <w:tc>
          <w:tcPr>
            <w:tcW w:w="3800" w:type="dxa"/>
            <w:vAlign w:val="bottom"/>
            <w:tcBorders>
              <w:right w:val="single" w:sz="8" w:color="auto"/>
            </w:tcBorders>
          </w:tcPr>
          <w:p>
            <w:pPr>
              <w:spacing w:after="0"/>
              <w:rPr>
                <w:sz w:val="24"/>
                <w:szCs w:val="24"/>
                <w:color w:val="auto"/>
              </w:rPr>
            </w:pPr>
          </w:p>
        </w:tc>
      </w:tr>
      <w:tr>
        <w:trPr>
          <w:trHeight w:val="297"/>
        </w:trPr>
        <w:tc>
          <w:tcPr>
            <w:tcW w:w="26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U55632 AT7</w:t>
            </w:r>
          </w:p>
        </w:tc>
        <w:tc>
          <w:tcPr>
            <w:tcW w:w="3800" w:type="dxa"/>
            <w:vAlign w:val="bottom"/>
            <w:tcBorders>
              <w:right w:val="single" w:sz="8" w:color="auto"/>
            </w:tcBorders>
          </w:tcPr>
          <w:p>
            <w:pPr>
              <w:spacing w:after="0"/>
              <w:rPr>
                <w:sz w:val="24"/>
                <w:szCs w:val="24"/>
                <w:color w:val="auto"/>
              </w:rPr>
            </w:pPr>
          </w:p>
        </w:tc>
      </w:tr>
      <w:tr>
        <w:trPr>
          <w:trHeight w:val="280"/>
        </w:trPr>
        <w:tc>
          <w:tcPr>
            <w:tcW w:w="262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USU55632AT75</w:t>
            </w:r>
          </w:p>
        </w:tc>
        <w:tc>
          <w:tcPr>
            <w:tcW w:w="3800" w:type="dxa"/>
            <w:vAlign w:val="bottom"/>
            <w:tcBorders>
              <w:bottom w:val="single" w:sz="8" w:color="auto"/>
              <w:right w:val="single" w:sz="8" w:color="auto"/>
            </w:tcBorders>
          </w:tcPr>
          <w:p>
            <w:pPr>
              <w:spacing w:after="0"/>
              <w:rPr>
                <w:sz w:val="24"/>
                <w:szCs w:val="24"/>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4.279% Senior Notes due 2032</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DGH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$2,702,229,000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55903V BQ5</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4.904% Senior</w:t>
            </w: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US55903VBQ59</w:t>
            </w:r>
          </w:p>
        </w:tc>
        <w:tc>
          <w:tcPr>
            <w:tcW w:w="3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Secured Second Lien Notes due 2032</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55903V BP7</w:t>
            </w:r>
          </w:p>
        </w:tc>
        <w:tc>
          <w:tcPr>
            <w:tcW w:w="3800" w:type="dxa"/>
            <w:vAlign w:val="bottom"/>
            <w:tcBorders>
              <w:right w:val="single" w:sz="8" w:color="auto"/>
            </w:tcBorders>
          </w:tcPr>
          <w:p>
            <w:pPr>
              <w:spacing w:after="0"/>
              <w:rPr>
                <w:sz w:val="16"/>
                <w:szCs w:val="16"/>
                <w:color w:val="auto"/>
              </w:rPr>
            </w:pPr>
          </w:p>
        </w:tc>
      </w:tr>
      <w:tr>
        <w:trPr>
          <w:trHeight w:val="280"/>
        </w:trPr>
        <w:tc>
          <w:tcPr>
            <w:tcW w:w="262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US55903VBP76</w:t>
            </w:r>
          </w:p>
        </w:tc>
        <w:tc>
          <w:tcPr>
            <w:tcW w:w="3800" w:type="dxa"/>
            <w:vAlign w:val="bottom"/>
            <w:tcBorders>
              <w:bottom w:val="single" w:sz="8" w:color="auto"/>
              <w:right w:val="single" w:sz="8" w:color="auto"/>
            </w:tcBorders>
          </w:tcPr>
          <w:p>
            <w:pPr>
              <w:spacing w:after="0"/>
              <w:rPr>
                <w:sz w:val="24"/>
                <w:szCs w:val="24"/>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5.050% Senior Notes due 2042</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DGH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$4,121,969,000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55903V BW2</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5.050% Senior</w:t>
            </w:r>
          </w:p>
        </w:tc>
      </w:tr>
      <w:tr>
        <w:trPr>
          <w:trHeight w:val="149"/>
        </w:trPr>
        <w:tc>
          <w:tcPr>
            <w:tcW w:w="262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US55903VBW28</w:t>
            </w:r>
          </w:p>
        </w:tc>
        <w:tc>
          <w:tcPr>
            <w:tcW w:w="3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Secured Second Lien Notes due 2042</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55903V BV4</w:t>
            </w:r>
          </w:p>
        </w:tc>
        <w:tc>
          <w:tcPr>
            <w:tcW w:w="3800" w:type="dxa"/>
            <w:vAlign w:val="bottom"/>
            <w:tcBorders>
              <w:right w:val="single" w:sz="8" w:color="auto"/>
            </w:tcBorders>
          </w:tcPr>
          <w:p>
            <w:pPr>
              <w:spacing w:after="0"/>
              <w:rPr>
                <w:sz w:val="16"/>
                <w:szCs w:val="16"/>
                <w:color w:val="auto"/>
              </w:rPr>
            </w:pPr>
          </w:p>
        </w:tc>
      </w:tr>
      <w:tr>
        <w:trPr>
          <w:trHeight w:val="297"/>
        </w:trPr>
        <w:tc>
          <w:tcPr>
            <w:tcW w:w="26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US55903VBV45</w:t>
            </w:r>
          </w:p>
        </w:tc>
        <w:tc>
          <w:tcPr>
            <w:tcW w:w="3800" w:type="dxa"/>
            <w:vAlign w:val="bottom"/>
            <w:tcBorders>
              <w:right w:val="single" w:sz="8" w:color="auto"/>
            </w:tcBorders>
          </w:tcPr>
          <w:p>
            <w:pPr>
              <w:spacing w:after="0"/>
              <w:rPr>
                <w:sz w:val="24"/>
                <w:szCs w:val="24"/>
                <w:color w:val="auto"/>
              </w:rPr>
            </w:pPr>
          </w:p>
        </w:tc>
      </w:tr>
      <w:tr>
        <w:trPr>
          <w:trHeight w:val="297"/>
        </w:trPr>
        <w:tc>
          <w:tcPr>
            <w:tcW w:w="26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U55632 AS9</w:t>
            </w:r>
          </w:p>
        </w:tc>
        <w:tc>
          <w:tcPr>
            <w:tcW w:w="3800" w:type="dxa"/>
            <w:vAlign w:val="bottom"/>
            <w:tcBorders>
              <w:right w:val="single" w:sz="8" w:color="auto"/>
            </w:tcBorders>
          </w:tcPr>
          <w:p>
            <w:pPr>
              <w:spacing w:after="0"/>
              <w:rPr>
                <w:sz w:val="24"/>
                <w:szCs w:val="24"/>
                <w:color w:val="auto"/>
              </w:rPr>
            </w:pPr>
          </w:p>
        </w:tc>
      </w:tr>
      <w:tr>
        <w:trPr>
          <w:trHeight w:val="280"/>
        </w:trPr>
        <w:tc>
          <w:tcPr>
            <w:tcW w:w="262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USU55632AS92</w:t>
            </w:r>
          </w:p>
        </w:tc>
        <w:tc>
          <w:tcPr>
            <w:tcW w:w="3800" w:type="dxa"/>
            <w:vAlign w:val="bottom"/>
            <w:tcBorders>
              <w:bottom w:val="single" w:sz="8" w:color="auto"/>
              <w:right w:val="single" w:sz="8" w:color="auto"/>
            </w:tcBorders>
          </w:tcPr>
          <w:p>
            <w:pPr>
              <w:spacing w:after="0"/>
              <w:rPr>
                <w:sz w:val="24"/>
                <w:szCs w:val="24"/>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5.141% Senior Notes due 2052</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DGH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$953,926,000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55903V BU6</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5.141% Senior</w:t>
            </w: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US55903VBU61</w:t>
            </w:r>
          </w:p>
        </w:tc>
        <w:tc>
          <w:tcPr>
            <w:tcW w:w="3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Secured Second Lien Notes due 2052</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55903V BT9</w:t>
            </w:r>
          </w:p>
        </w:tc>
        <w:tc>
          <w:tcPr>
            <w:tcW w:w="3800" w:type="dxa"/>
            <w:vAlign w:val="bottom"/>
            <w:tcBorders>
              <w:right w:val="single" w:sz="8" w:color="auto"/>
            </w:tcBorders>
          </w:tcPr>
          <w:p>
            <w:pPr>
              <w:spacing w:after="0"/>
              <w:rPr>
                <w:sz w:val="16"/>
                <w:szCs w:val="16"/>
                <w:color w:val="auto"/>
              </w:rPr>
            </w:pPr>
          </w:p>
        </w:tc>
      </w:tr>
      <w:tr>
        <w:trPr>
          <w:trHeight w:val="280"/>
        </w:trPr>
        <w:tc>
          <w:tcPr>
            <w:tcW w:w="262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US55903VBT98</w:t>
            </w:r>
          </w:p>
        </w:tc>
        <w:tc>
          <w:tcPr>
            <w:tcW w:w="3800" w:type="dxa"/>
            <w:vAlign w:val="bottom"/>
            <w:tcBorders>
              <w:bottom w:val="single" w:sz="8" w:color="auto"/>
              <w:right w:val="single" w:sz="8" w:color="auto"/>
            </w:tcBorders>
          </w:tcPr>
          <w:p>
            <w:pPr>
              <w:spacing w:after="0"/>
              <w:rPr>
                <w:sz w:val="24"/>
                <w:szCs w:val="24"/>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4.302% Senior Notes due 2030</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DGH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€244,768,000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XS3099830765</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5.802%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309983076</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2030</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119"/>
        </w:trPr>
        <w:tc>
          <w:tcPr>
            <w:tcW w:w="26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4.693% Senior Notes due 2033</w:t>
            </w:r>
          </w:p>
        </w:tc>
        <w:tc>
          <w:tcPr>
            <w:tcW w:w="1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DGH Issuer</w:t>
            </w:r>
          </w:p>
        </w:tc>
        <w:tc>
          <w:tcPr>
            <w:tcW w:w="1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€329,690,000</w:t>
            </w:r>
          </w:p>
        </w:tc>
        <w:tc>
          <w:tcPr>
            <w:tcW w:w="13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XS3099829593</w:t>
            </w:r>
          </w:p>
        </w:tc>
        <w:tc>
          <w:tcPr>
            <w:tcW w:w="3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€1,000 in aggregate principal amount of 5.068% Senior</w:t>
            </w:r>
          </w:p>
        </w:tc>
      </w:tr>
      <w:tr>
        <w:trPr>
          <w:trHeight w:val="188"/>
        </w:trPr>
        <w:tc>
          <w:tcPr>
            <w:tcW w:w="2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309982959</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Secured Second Lien Notes due 2033</w:t>
            </w:r>
          </w:p>
        </w:tc>
      </w:tr>
      <w:tr>
        <w:trPr>
          <w:trHeight w:val="37"/>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__________</w:t>
      </w:r>
    </w:p>
    <w:p>
      <w:pPr>
        <w:spacing w:after="0" w:line="2" w:lineRule="exact"/>
        <w:rPr>
          <w:sz w:val="20"/>
          <w:szCs w:val="20"/>
          <w:color w:val="auto"/>
        </w:rPr>
      </w:pPr>
    </w:p>
    <w:p>
      <w:pPr>
        <w:ind w:left="980" w:right="80" w:hanging="324"/>
        <w:spacing w:after="0" w:line="226" w:lineRule="auto"/>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representation is made as to the correctness or accuracy of the identifiers listed in this press release or printed on the Existing Exchange Offer Notes. Such identifiers are provided solely for the convenience of the Eligible Holders (as defined below). In accordance with the terms of the Consent Solicitations, holders of Existing Exchange Offer Notes identified by the CUSIP No./Common Code/ISIN set forth in the table above who have validly delivered (and not validly revoked) their consents pursuant to the Consent Solicitations will receive a Temporary Identifier for their applicable Existing Exchange Offer Notes, which Existing Exchange Offer Notes will, from the period commencing from the receipt by the holders of such Temporary Identifier until the expiration of applicable Exchange Offer, trade separately from the Existing Exchange Offer Notes of holders who have not so consented and from the WBD Notes that are not Offer Notes, each of which will retain their existing CUSIP or ISIN number as reflected in the table set forth above. Only Eligible Holders of Existing Exchange Offer Notes bearing a Temporary Identifier will be eligible to participate in the Exchange Offers.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Holders of Existing Exchange Offer Notes with a Temporary Identifier who are Eligible Holders and who validly tender (and do not validly withdraw) their Existing Exchange Offer Notes in the applicable Exchange Offer at or prior to 5:00 p.m., New York City time, on June 17, 2026 (the “Exchange Expiration Date” and together with the Tender Expiration Date, each an “Expiration Date”), and who beneficially own such tendered Existing Exchange Offer Notes on the Exchange Expiration Date, will be eligible to receive $1,000 or €1,000, as applicable, in aggregate principal amount of the applicable series of New PSKY Notes for each $1,000 or €1,000, as applicable, principal amount of Existing Exchange Offer Notes validly tendered for exchange (the “Exchange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line="254" w:lineRule="auto"/>
        <w:rPr>
          <w:sz w:val="20"/>
          <w:szCs w:val="20"/>
          <w:color w:val="auto"/>
        </w:rPr>
      </w:pPr>
      <w:r>
        <w:rPr>
          <w:rFonts w:ascii="Times New Roman" w:cs="Times New Roman" w:eastAsia="Times New Roman" w:hAnsi="Times New Roman"/>
          <w:sz w:val="18"/>
          <w:szCs w:val="18"/>
          <w:color w:val="auto"/>
        </w:rPr>
        <w:t>Tenders of Existing Exchange Offer Notes may be withdrawn at any time prior to the Exchange Expiration Date. There is no cash payment or other premium being offered for tendering prior to the Exchange Expiration Date. Upon the terms and subject to the conditions of the Exchange Offers, the settlement date for the Exchange Offers will occur promptly after the Exchange Expiration Date and on or promptly following the closing date of the Acquisition (the “Exchange Settlement Date” and together with the Tender Settlement Date, each a “Settlement Date”). Interest on the New PSKY Notes will accrue from (and including) the most recent date on which interest has been paid on the corresponding series of Existing Exchange Offer Notes accepted in the Exchange Offers. On the first interest payment date following the Exchange Settlement Date, Paramount will pay interest equal to the sum of (i) all accrued and unpaid interest on the Existing Exchange Offer Notes accepted in the Exchange Offers from the latest applicable interest payment date for such series of Existing Exchange Offer Notes to, but not including, the Exchange Settlement Date plus (ii) all accrued and unpaid interest on the New PSKY Notes from (and including) the Exchange Settlement Date to such interest payment date.</w:t>
      </w:r>
    </w:p>
    <w:p>
      <w:pPr>
        <w:spacing w:after="0" w:line="18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New PSKY Notes will be guaranteed by each of Paramount’s domestic subsidiaries that is an obligor under Paramount’s existing credit agreement providing for term A loan facilities (the “New PSKY Notes Guarantors”), which, following the Acquisition, will include WBD and certain of its subsidiaries, and will be secured on a second lien basis by substantially all of the assets of Paramount and each of the New PSKY Notes Guarantors, subject to certain customary and other exceptions described in the Offering Memorandum.</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Neither Paramount nor the WBD Issuers will receive any cash proceeds from the Exchange Offers. The Existing Exchange Offer Notes exchanged by Eligible Holders in the Exchange Offers will be retired and cancelled and will not be reissued.</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Exchange Offers are being made, and the New PSKY Notes and related guarantees by the New PSKY Notes Guarantors are being offered and issued, pursuant to an exemption from the registration requirements of the U.S. Securities Act of 1933, as amended (the “Securities Act”), and the rules and regulations of the Securities and Exchange Commission (the “SEC”) promulgated thereunder, and are also not being registered under any state or foreign securities laws. The New PSKY Notes may not be offered or sold in the United States or to any U.S. persons (as defined below) except pursuant to an exemption from, or in a transaction not subject to, the registration requirements of the Securities Act. The Exchange Offers will only be made, and the New PSKY Notes are only being offered and issued, to holders of Existing Exchange Offer Notes who are (a) reasonably believed to be “qualified institutional buyers” as defined in Rule 144A under the Securities Act of 1933, as amended (the “Securities Act”) or (b) not “U.S. persons,” as defined in Rule 902 of Regulation S under the Securities Act (such holders, “Eligible Holders”), and only Eligible Holders who have completed and returned the eligibility certification are authorized to receive or review the Offering Memorandum or to participate in the Exchange Offers. The eligibility certification is available electronically at: https://gbsc-usa.com/eligibility/paramount.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Offer is a separate offer, and each may be individually consummated, amended, extended, terminated, or withdrawn, subject to certain conditions and applicable law, at any time in Paramount’s sole discretion, and without also consummating, amending, extending, terminating, or withdrawing any other Offer with respect to any other series of Offer Notes. Paramount may terminate an Offer if any of the conditions of such Offer described in the Offer to Purchase or Offering Memorandum, as applicable, are not satisfied or waived by the applicable Expiration Date, subject to applicable law. In addition, Paramount may waive the conditions to an Offer without extending such Offer in accordance with applicable law.</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Offers are being made solely by Paramount and are not being made by WBD or the WBD Issuers. None of Paramount, WBD, the WBD Issuers, the Dealer Managers, the Exchange Agent (as defined below), the Information Agent (as defined below), the trustees under each of the indentures governing the Offer Notes, the trustee or collateral agent under the indenture that will govern the New PSKY Notes, or any affiliate of any of them makes any recommendation as to whether any holder of Offer Notes should tender or refrain from tendering all or any portion of the principal amount of such holder’s Offer Notes for cash or New PSKY Notes in the applicable Offer. No one has been authorized by any of them to make such a recommendation. Holders must make their own decision whether to tender Offer Notes in any Offer and, if so, the amount of Offer Notes to tender.</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Only Eligible Holders may receive a copy of the Offering Memorandum and participate in the Exchange Offers. Paramount has engaged Global Bondholder Services Corporation to act as the exchange agent (in such capacity, the “Exchange Agent”) and information agent (in such capacity, the “Information Agent”) for the Offers. Questions concerning the Offers, or requests for additional copies of the Offer to Purchase or Offering Memorandum or other related documents, may be directed to Corporate Actions by telephone at (855) 654-2014 (U.S. toll-free) or (212) 430-3774 (banks and brokers) or by email at contact@gbsc-usa.com. Holders should also consult their broker, dealer, commercial bank, trust company or other institution for assistance concerning the Offers. The Exchange Offer documents and the Tender Offer documents can be accessed at the following link: </w:t>
      </w:r>
      <w:r>
        <w:rPr>
          <w:rFonts w:ascii="Times New Roman" w:cs="Times New Roman" w:eastAsia="Times New Roman" w:hAnsi="Times New Roman"/>
          <w:sz w:val="18"/>
          <w:szCs w:val="18"/>
          <w:u w:val="single" w:color="auto"/>
          <w:color w:val="0000FF"/>
        </w:rPr>
        <w:t>https://gbsc-usa.com/paramount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8"/>
          <w:szCs w:val="18"/>
          <w:color w:val="auto"/>
        </w:rPr>
        <w:t>Paramount has engaged BofA Securities and Citigroup as dealer managers (in such capacity, the “Dealer Managers”) for the Offers. Holders with questions regarding the Offers should contact BofA Securities, Inc. at +1 (888) 292-0070 (toll-free) or +1 (980) 388-3646 (collect) or debt_advisory@bofa.com or Citigroup Global Markets Inc. at +1 (800) 558-3745 (toll free) or +1 (212) 723-6106 or ny.liabilitymanagement@citi.com. Latham &amp; Watkins LLP is serving as legal counsel to Paramount and Cahill Gordon &amp; Reindel LLP is serving as legal counsel to the Dealer Managers.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is for informational purposes only and does not constitute an offer to sell, or a solicitation of an offer to buy, any security, including the Existing Tender Offer Notes, the Existing Exchange Offer Notes or the New PSKY Notes, and does not constitute an offer, solicitation (including pursuant to the Consent Solicitations), or sale of any security in any jurisdiction in which such offer, solicitation, or sale would be unlawful.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Paramount, a Skydance Corporation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Paramount, a Skydance Corporation is a next-generation global media and entertainment company, comprised of three business segments: Studios, Direct-to-Consumer, and TV Media. PSKY’s portfolio unites legendary brands, including Paramount Pictures, Paramount Television, CBS, CBS News, CBS Sports, Nickelodeon, MTV, BET, Comedy Central, Showtime, Paramount+, Pluto TV, and Skydance Animation, Film, Television, Interactive/Games, and Paramount Sports Entertainment.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the Acquisition and the other transaction referred to herein.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Paramount. Risks and uncertainties include, but are not limited to: the risk that the closing conditions for the Acquisition will not be satisfied, including the risk that clearances under applicable antitrust or regulatory laws will not be obtained or will be obtained subject to conditions that are not anticipated; the possibility that the transactions described herein will not be completed in the expected timeframe or at all; the occurrence of any event, change or other circumstances that could give rise to the termination of the Acquisition; potential adverse effects to the businesses of Paramount or WBD during the pendency of the Acquisition, such as employee departures or distraction of management from business operations; negative effects of the announcement or the consummation of the Acquisition on the market price of WBD or Paramount stock; the risk of stockholder litigation relating to the Acquisition, including resulting expense or delay; the potential that the expected benefits and opportunities of the Acquisition, if completed, may not be realized or may take longer to realize than expected; risks related to the streaming business of the post-Acquisition combined business (the “Combined Company”); the adverse impact on the Combined Company’s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the Combined Company’s decision to invest in new businesses, products, services, and technologies, and the evolution of the Combined Company’s business strategy; the potential for loss of carriage or other reduction in, or the impact of negotiations for, the distribution of the Combined Company’s content; damage to the Combined Company’s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the Combined Company’s intellectual property rights; domestic and global political, economic and regulatory factors affecting the Combined Company’s business generally or the Acquisition; the inability to hire or retain key employees or secure creative talent; disruptions to the Combined Company’s operations as a result of labor disputes; risks and costs associated with the integration of, and Paramount’s ability to integrate, the businesses of Paramount Global, Skydance Media, LLC, and WBD successfully and to achieve anticipated synergies, including in the amounts or on the timelines anticipated to realize such synergies; litigation related to the Acquisition and other matters or transactions; risks associated with the Combined Company’s holding company structure, including its dependence on distributions from its subsidiaries to meet tax obligations and other cash requirements; risks related to our indebtedness, including our substantial outstanding debt obligations, our ability to incur substantially more debt and our ability to meet the financial and other covenants contained in the agreements governing the indebtedness of Paramount, WBD, or the Combined Company. A further list and description of these risks, uncertainties and other factors and the general risks associated with the respective businesses of Paramount and WBD can be found in Paramount’s Annual Report on Form 10-K for the fiscal year ended December 31, 2025, filed with the SEC on February 25, 2026, including in the sections captioned “Cautionary Note Concerning Forward-Looking Statements” and “Item 1A. Risk Factors,” Paramount’s most recently filed Quarterly Report on Form 10-Q for the quarter ended March 31, 2026, including in the sections captioned “Cautionary Note Concerning Forward-Looking Statements” and “Item 1A. Risk Factors,” and Paramount’s subsequent filings with the SEC, and in WBD’s Annual Report on Form 10-K for the fiscal year ended December 31, 2025, filed with the SEC on February 27, 2026, including in the section captioned “Item 1A. Risk Factors,” WBD’s Quarterly Report on Form 10-Q for the quarter ended March 31, 2026, filed with the SEC on May 6, 2026, and WBD’s subsequent filings with the SEC. Neither Paramount nor WBD undertakes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Zukerman / Laura Watson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msz@paramount.com / laura.watson@paramount.com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Brunswick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ParamountSkydance@brunswickgroup.com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Gagnier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Gagnier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dg@gagnierfc.com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Creighton / Logan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kevin.creighton@paramount.com / logan.thomas@paramount.com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 w:name="page15"/>
    <w:bookmarkEnd w:id="14"/>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the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Warner Bros. Discovery Inc.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27, 2026, Paramount Skydance Corporation (“Paramount,” or the “Company,”) and Prince Sub Inc., a Delaware corporation and wholly owned subsidiary of Paramount (“Merger Sub”) entered into an Agreement and Plan of Merger (as it may be amended, supplemented or otherwise modified in accordance with the terms, the “WBD Merger Agreement”) with Warner Bros. Discovery, Inc. a Delaware corporation (“WBD”), pursuant to which and subject to the terms and conditions therein, Merger Sub will merge with and into WBD, with WBD surviving as a wholly owned subsidiary of Paramount (the “Acquisition”).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Acquisition is expected to be accounted for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the Company identified as the accounting acquirer. In identifying the Company as the accounting acquirer, management considered the structure of the Acquisition and other actions contemplated by the WBD Merger Agreement, relative outstanding voting and equity interests, and the composition of the post-Acquisition board of directors. No single factor was the sole determinant in the overall conclusion that Paramount is the accounting acquirer; rather all factors were considered in arriving at such conclusion.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effective time of the Acquisition (“the Effective Time”), each share of WBD Common Stock issued and outstanding immediately prior to the Effective Time (other than shares of WBD Common Stock to be cancelled for no consideration in accordance with the WBD Merger Agreement or as to which appraisal rights have been properly exercised) will be converted into the right to receive an amount in cash equal to $31.00, without interest, plus, if applicable, the Ticking Consideration (collectively, the “Merger Consideration”). The “Ticking Consideration” will be an amount in cash equal to $0.00277778 multiplied by the number of calendar days elapsed after September 30, 2026 to and including the closing date of the Acquisition (which for the avoidance of doubt, will not exceed $0.25 per 90 calendar day period). Total cash consideration payable to WBD common stockholders is estimated at $77.7 billion, calculated based on WBD Common Stock outstanding as of April 23, 2026, excluding any applicable Ticking Consideration as the Company assumes for the purposes of these pro forma financial statements that the transaction will close prior to September 30, 2026, and any cash payable with respect to equity awards as described under “—Treatment of Equity Awards”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Equity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w:t>
      </w:r>
    </w:p>
    <w:p>
      <w:pPr>
        <w:spacing w:after="0" w:line="225" w:lineRule="exact"/>
        <w:rPr>
          <w:sz w:val="20"/>
          <w:szCs w:val="20"/>
          <w:color w:val="auto"/>
        </w:rPr>
      </w:pPr>
    </w:p>
    <w:p>
      <w:pPr>
        <w:jc w:val="both"/>
        <w:ind w:left="660" w:hanging="328"/>
        <w:spacing w:after="0" w:line="260"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stock option outstanding to purchase shares of WBD Common Stock granted under any WBD stock plan that is (x) vested as of the Effective Time or (y) held by a former employee or service provider of WBD, will be cancelled and converted into the right to receive an amount in cash, without interest, equal to the product obtained by multiplying (i) the excess if any, of the Merger Consideration over the per share exercise price for such vested stock option by (ii) the total number of shares of WBD Common Stock subject to such vested stock option.</w:t>
      </w:r>
    </w:p>
    <w:p>
      <w:pPr>
        <w:spacing w:after="0" w:line="18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stock option (whether vested or unvested) with an exercise price equal to or in excess of the Merger Consideration will be cancelled without consideration.</w:t>
      </w:r>
    </w:p>
    <w:p>
      <w:pPr>
        <w:spacing w:after="0" w:line="162" w:lineRule="exact"/>
        <w:rPr>
          <w:rFonts w:ascii="Arial" w:cs="Arial" w:eastAsia="Arial" w:hAnsi="Arial"/>
          <w:sz w:val="18"/>
          <w:szCs w:val="18"/>
          <w:b w:val="1"/>
          <w:bCs w:val="1"/>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unvested stock option with an exercise price below the Merger Consideration will be assumed by Paramount and automatically converted into the contingent right to receive an amount in cash, without interest, equal to the product obtained by multiplying (i) the excess of the Merger Consideration over the per share exercise price for such unvested stock option by (ii) the total number of shares of WBD Common Stock subject to such unvested stock option immediately prior to the Effective Time, and will remain subject to generally the same terms and conditions (including any applicable terms relating to accelerated vesting upon qualifying terminations of employment and timing and form of payment) that applied to the corresponding unvested stock option immediately prior to the Effective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 including Performance-Based RSUs (“PRSUs”)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w:t>
      </w:r>
    </w:p>
    <w:p>
      <w:pPr>
        <w:spacing w:after="0" w:line="225" w:lineRule="exact"/>
        <w:rPr>
          <w:sz w:val="20"/>
          <w:szCs w:val="20"/>
          <w:color w:val="auto"/>
        </w:rPr>
      </w:pPr>
    </w:p>
    <w:p>
      <w:pPr>
        <w:jc w:val="both"/>
        <w:ind w:left="660" w:hanging="328"/>
        <w:spacing w:after="0" w:line="260"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WBD RSU that is vested in accordance with its terms or that is held by a non-employee member of the board of directors of WBD as of the Effective Time will be cancelled and converted into the right to receive the Merger Consideration with respect to each share of WBD Common Stock underlying such vested WBD RSU, with the number of shares of WBD Common Stock subject to such vested WBD RSU granted with performance-based vesting conditions determined as described below.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jc w:val="both"/>
        <w:ind w:left="660" w:hanging="328"/>
        <w:spacing w:after="0" w:line="256"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WBD RSU that is outstanding immediately prior to the Effective Time and that is not a vested WBD RSU, will be assumed by Paramount and automatically converted into the contingent right to receive an amount in cash, without interest, equal to the product of (i) the Merger Consideration, multiplied by (ii) the total number of shares of WBD Common Stock subject to such unvested WBD RSU immediately prior to the Effective Time, and remaining subject to generally the same terms and conditions (including any applicable terms relating to accelerated vesting upon qualifying terminations of employment and timing and form of payment) that applied to the corresponding unvested WBD RSU immediately prior to the Effective Time.</w:t>
      </w:r>
    </w:p>
    <w:p>
      <w:pPr>
        <w:spacing w:after="0" w:line="186" w:lineRule="exact"/>
        <w:rPr>
          <w:rFonts w:ascii="Arial" w:cs="Arial" w:eastAsia="Arial" w:hAnsi="Arial"/>
          <w:sz w:val="18"/>
          <w:szCs w:val="18"/>
          <w:b w:val="1"/>
          <w:bCs w:val="1"/>
          <w:color w:val="auto"/>
        </w:rPr>
      </w:pPr>
    </w:p>
    <w:p>
      <w:pPr>
        <w:jc w:val="both"/>
        <w:ind w:left="660" w:hanging="328"/>
        <w:spacing w:after="0" w:line="256"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total number of unvested WBD RSUs with performance-based vesting conditions expected to vest will be determined by assuming (i) in respect of such unvested WBD RSUs for which the applicable performance period has been completed prior to the Effective Time, actual performance, and (ii) in respect of such unvested WBD RSUs for which the applicable performance period has not been completed prior to the Effective Time, achievement at the greater of (x) target performance and (y) actual performance extrapolated through the end of the applicable performance period based on actual performance through the Effective Time, determined by the board of directors of WBD or a committee thereof in good faith and consistent with past practice.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and Notional Equity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w:t>
      </w:r>
    </w:p>
    <w:p>
      <w:pPr>
        <w:spacing w:after="0" w:line="225" w:lineRule="exact"/>
        <w:rPr>
          <w:sz w:val="20"/>
          <w:szCs w:val="20"/>
          <w:color w:val="auto"/>
        </w:rPr>
      </w:pPr>
    </w:p>
    <w:p>
      <w:pPr>
        <w:jc w:val="both"/>
        <w:ind w:left="660" w:hanging="328"/>
        <w:spacing w:after="0" w:line="260"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deferred stock unit (“DSU”) that is outstanding immediately prior to the Effective Time will be assumed by Paramount and automatically converted into a right to receive an amount in cash, without interest, equal to the product obtained by multiplying (A) the Merger Consideration by</w:t>
      </w:r>
    </w:p>
    <w:p>
      <w:pPr>
        <w:spacing w:after="0" w:line="1"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 the number of shares of WBD Common Stock subject to such DSU immediately prior to the Effective Time (the “WBD DSU Consideration”), with such DSU Consideration remaining subject to the same terms and conditions that applied to the corresponding DSU immediately prior to the Effective Time.</w:t>
      </w:r>
    </w:p>
    <w:p>
      <w:pPr>
        <w:spacing w:after="0" w:line="185" w:lineRule="exact"/>
        <w:rPr>
          <w:rFonts w:ascii="Arial" w:cs="Arial" w:eastAsia="Arial" w:hAnsi="Arial"/>
          <w:sz w:val="18"/>
          <w:szCs w:val="18"/>
          <w:b w:val="1"/>
          <w:bCs w:val="1"/>
          <w:color w:val="auto"/>
        </w:rPr>
      </w:pPr>
    </w:p>
    <w:p>
      <w:pPr>
        <w:jc w:val="both"/>
        <w:ind w:left="660" w:hanging="328"/>
        <w:spacing w:after="0" w:line="252"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notional investment unit with respect to shares of WBD Common Stock (a “WBD Notional Unit”) subject to WBD’s Non-Employee Directors Deferral Plan and WBD’s Supplemental Retirement Plan (each, a “WBD DC Plan”) that is outstanding immediately prior to the Effective Time will be assumed by Paramount and automatically converted into a notional unit with respect to a number of shares of Class B common stock, par value $0.001 per share (“Paramount Class B Common Stock”), of Paramount (a “Paramount Notional Unit”) equal to the product obtained by multiplying (A) the Equity Award Exchange Ratio (as defined below) by (B) the number of shares of WBD Common Stock subject to such WBD Notional Unit immediately prior to the Effective Time, with each such Paramount Notional Unit remaining subject to the same terms and conditions that applied to the corresponding WBD Notional Unit immediately prior to the Effective Time (including with respect to timing and form of payment), as set forth in the applicable WBD DC Plan. The “Equity Award Exchange Ratio” is determined by dividing</w:t>
      </w:r>
    </w:p>
    <w:p>
      <w:pPr>
        <w:spacing w:after="0" w:line="6" w:lineRule="exact"/>
        <w:rPr>
          <w:rFonts w:ascii="Arial" w:cs="Arial" w:eastAsia="Arial" w:hAnsi="Arial"/>
          <w:sz w:val="18"/>
          <w:szCs w:val="18"/>
          <w:b w:val="1"/>
          <w:bCs w:val="1"/>
          <w:color w:val="auto"/>
        </w:rPr>
      </w:pPr>
    </w:p>
    <w:p>
      <w:pPr>
        <w:ind w:left="660"/>
        <w:spacing w:after="0" w:line="260"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 the Merger Consideration by (ii) the per share volume-weighted average trading price of Paramount Class B Common Stock for the fifteen consecutive trading days ending on (and including) the trading day that is three trading days prior to the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utilize a combination of equity financing and committed debt financing to fund the Acquisition. The Company has entered into equity subscription agreements (“Subscription Agreements”) providing for up to $46.7 billion of equity financing from affiliates of The Lawrence J. Ellison Revocable Trust and $250.0 million from RedBird Capital Partners Fund IV (Master), L.P (collectively the “Equity Investors”), pursuant to a private placement of Paramount Class B Common Stock (such private placement format being referred to herein as a private investment in public equity, or “PIPE”, arrangement.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Equity Investors have assigned their subscription rights thereunder (the “Equity Syndication”) to a group of institutional investors (each, an "Equity Syndication Party"), comprising affiliates of the Equity Investors, The Public Investment Fund, L'Imad 1st SPV 2 Exempt RSC LTD (an investment vehicle of L'Imad Holding, an Abu Dhabi sovereign wealth fund), QIA TMT Holding LLC (an investment vehicle of the Qatar Investment Authority), and LionTree Investment Fund, L.P. The aggregate allocations cover the full amount committed by the Equity Investors. At closing, the Company will issue to each Equity Syndication Party a number of newly issued nonvoting shares of Paramount Class B Common Stock (or securities convertible into shares) equal to its allocated amount divided by the Syndication Purchase Price, defined as the 20-trading-day daily volume-weighted average price of Paramount Class B Common Stock determined as of the third business day prior to the closing of the Acquisition, subject to a ceiling of $16.02 per share and a floor of $12.00 per share (the “Syndication Purchase Price”). This syndication does not relieve the Equity Investors of their contractual commitments made to the Company.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holder of Paramount Class B Common Stock (excluding any Equity Investor or affiliate thereof) as of a record date to be determined will receive, without payment of any consideration, one 10-year warrant (each, a “Warrant”) for each share held, exercisable at an initial exercise price per share equal to the Syndication Purchase Price and subject to customary anti-dilution and fundamental change make-whole adjustments. Beginning on the third anniversary of issuance, the Company may call the Warrants if the closing price of Paramount Class B Common Stock equals or exceeds $30.00 for at least 20 trading days in any 30 consecutive trading day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Company entered into committed debt financing arrangements including, subject to the satisfaction of customary closing conditions, a $54 billion 364-day senior secured bridge term loan facility and $3.5 billion of commitments under a 364-day senior secured revolving credit facility (“Bridge Commitments”), which were reduced to $49.0 billion and zero, respectively, as a result of entering into $5.0 billion of permanent term loan financing and a $5.0 billion revolving credit facility in connection with the Pro Rata Credit Agreement described below. The Pro Rata Credit Agreement provides for</w:t>
      </w:r>
    </w:p>
    <w:p>
      <w:pPr>
        <w:spacing w:after="0" w:line="3" w:lineRule="exact"/>
        <w:rPr>
          <w:sz w:val="20"/>
          <w:szCs w:val="20"/>
          <w:color w:val="auto"/>
        </w:rPr>
      </w:pPr>
    </w:p>
    <w:p>
      <w:pPr>
        <w:jc w:val="both"/>
        <w:ind w:firstLine="8"/>
        <w:spacing w:after="0" w:line="253" w:lineRule="auto"/>
        <w:tabs>
          <w:tab w:leader="none" w:pos="2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billion of three-year Term A-1 loans (“Term A-1 Loans”), (ii) $2.5 billion of five-year Term A-2 loans (“Term A-2 Loans”), and (iii) $5.0 billion of five-year revolving credit commitments. The unaudited pro forma condensed combined financial statements included herein assume that Paramount will utilize the full $5 billion provided from the Term A-1 Loans and Term A-2 Loans and will utilize approximately $49.0 billion in funding from the Bridge Commitments, and therefore does not assume the incurrence of any permanent financing, other than the Term A-1 Loans and Term A-2 Loans.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intends to procure permanent financing in lieu of the secured Bridge Commitments in the form of additional secured credit facilities and secured capital markets indebtedness that is expected to be incurred in the form of first lien and second lien indebtedness in the investment grade and non-investment grade markets. Specifically, Paramount intends to commence one or more offerings of senior term loans and/or debt securities to reduce or replace remaining Bridge Commitments (the “Acquisition Financing Transactions”) currently planned to take the form of (i) $39.5 billion of first-lien secured indebtedness (the “New First Lien Secured Debt”) and (ii) $12.4 billion of second-lien secured indebtedness (the “New Second Lien Secured Debt”). The ultimate aggregate principal amount and form of such indebtedness (including the split between New First Lien Secured Debt and New Second Lien Secured Debt), and the terms to which such indebtedness will be subject, is subject to change and market conditions outside of the Company’s control, and the Company can make no assurances that the Acquisition Financing Transactions will be consummated on favorable terms or at all. As such, for purposes of these unaudited pro forma condensed combined financial statements, it is assumed that funding will come from the Bridge Commitments and not from the Acquisition Financing Transactions.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intends to refinance and terminate WBD’s $5.0 billion accounts receivable securitization program (of which $3.9 billion is utilized as of March 31, 2026) within three months of the closing of the Acquisition. The terms of such refinancing are unknown and therefore have not been reflected within the pro forma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WBD Merger Agreement, Paramount paid the termination fee of $2.8 billion (the “Netflix Termination Fee”) due to Netflix, Inc. under the Amended and Restated Agreement and Plan of Merger, dated as of January 19, 2026, by and among WBD, Netflix, Inc, Nightingale Sub, Inc., and New Topco 25, which was terminated prior to the execution of the WBD Merger Agreement. The Netflix Termination Fee is reflected in Paramount’s historical balance sheet at March 31,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consummation of the Acquisition is subject to customary closing conditions, including receipt of required regulatory approvals, and is not subject to a financing condition. As of the date of this filing, the Acquisition has not been consummated but is considered probable for purposes of these pro forma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Offers and Tender Offers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the Company is offering to exchange any and all of the Existing WBD Notes (defined below) for the applicable series of newly issued New PSKY Notes (defined below) (each offer to exchange, an “Exchange Offer” and together, the “Exchange Offers”). The New PSKY Notes will be issued by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Existing WBD Notes were issued by Discovery Communications, LLC, a Delaware limited liability company (the “DCL Issuer”), and Discovery Global Holdings, Inc. (formerly WarnerMedia Holdings, Inc.), a Delaware corporation (the “DGH Issuer” and, together with the DCL Issuer, the “Existing WBD Issuers”).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consideration offered in the Exchange Offers (i) per $1,000 in aggregate principal amount of U.S. dollar-denominated Existing WBD Notes tendered and (ii) per €1,000 in aggregate principal amount of Euro-denominated Existing WBD Notes tendered, in each case, is summarized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 per $/€1,000 principal amount of Existing WBD Notes</w:t>
            </w:r>
          </w:p>
        </w:tc>
      </w:tr>
      <w:tr>
        <w:trPr>
          <w:trHeight w:val="27"/>
        </w:trPr>
        <w:tc>
          <w:tcPr>
            <w:tcW w:w="2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14"/>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Existing WBD Notes to be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Issuer of</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PSKY Notes Offered and Exchange Consideration</w:t>
            </w:r>
          </w:p>
        </w:tc>
      </w:tr>
      <w:tr>
        <w:trPr>
          <w:trHeight w:val="216"/>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Existing WBD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608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80" w:type="dxa"/>
            <w:vAlign w:val="bottom"/>
            <w:tcBorders>
              <w:right w:val="single" w:sz="8" w:color="auto"/>
            </w:tcBorders>
          </w:tcPr>
          <w:p>
            <w:pPr>
              <w:spacing w:after="0"/>
              <w:rPr>
                <w:sz w:val="18"/>
                <w:szCs w:val="18"/>
                <w:color w:val="auto"/>
              </w:rPr>
            </w:pPr>
          </w:p>
        </w:tc>
      </w:tr>
      <w:tr>
        <w:trPr>
          <w:trHeight w:val="238"/>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6080" w:type="dxa"/>
            <w:vAlign w:val="bottom"/>
            <w:tcBorders>
              <w:right w:val="single" w:sz="8" w:color="auto"/>
            </w:tcBorders>
          </w:tcPr>
          <w:p>
            <w:pPr>
              <w:spacing w:after="0"/>
              <w:rPr>
                <w:sz w:val="20"/>
                <w:szCs w:val="20"/>
                <w:color w:val="auto"/>
              </w:rPr>
            </w:pP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 Senior Notes due 2029</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DCL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$662,268,000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6.250%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2029</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3.625% Senior Notes due 2030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DCL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$917,517,000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4.875%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2030</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 Senior Notes due 2037</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DCL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$454,862,000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5.000%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2037</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6.350% Senior Notes due 2040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DCL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$443,529,000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6.350%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2040</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4.950% Senior Notes due 2042</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DCL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$130,643,000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 in aggregate principal amount of 4.95%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2042</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4.875% Senior Notes due 2043</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DCL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$142,017,000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4.875%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2043</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5.200% Senior Notes due 2047</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DCL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$4,230,000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5.200%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2047</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5.300% Senior Notes due 2049</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DCL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$248,458,000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5.300%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2049</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4.054% Senior Notes due 2029</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DGH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$1,364,619,000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6.304%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2029</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4.279% Senior Notes due 2032</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DGH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$2,702,229,000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4.904%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2032</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5.050% Senior Notes due 2042</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DGH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$4,121,969,000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5.050%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2042</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5.141% Senior Notes due 2052</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DGH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$953,926,000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5.141%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2052</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4.302% Senior Notes due 2030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DGH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€244,768,000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5.802%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2030</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18"/>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4.693% Senior Notes due 2033</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DGH Issuer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€329,690,000</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in aggregate principal amount of 5.068% Senior Secured Second Lien</w:t>
            </w: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2033</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Concurrently with the Exchange Offers, the Company is offering to purchase for cash (the “Tender Offers”) any and all of (i) the DCL Issuer’s $1.249 billion aggregate principal amount of 3.950% Senior Notes due 2028 and (ii) the DGH Issuer’s $1.195 billion aggregate principal amount of 3.755% Senior Notes due 2027.</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purposes of these pro forma financial statements, it is assumed that 100% of the $12.8 billion principal amount of Existing WBD Notes subject to the Exchange Offers and $2.4 billion of Existing WBD Notes subject to the Tender Offers will, in each case, be exchanged or tendered, as applicable, in full in the applicable Exchange Offer or Tender Offers. The ultimate aggregate principal amount of New PSKY Notes exchanged for Existing WBD Notes in the Exchange Offers, and the terms to which such indebtedness will be subject, and the amount of Existing WBD Notes tendered in the Tender Offers is subject to change based on the ultimate results of such Exchange Offers and Tender Offers, including as a result of market conditions or other factors outside of the Company’s control, and the Company can make no assurances that the Exchange Offers and Tender Offers will be consummated in accordance with such assumptions or at all.</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Completed Skydance Transactions and NAI Transaction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7, 2025, pursuant to a transaction agreement dated July 7, 2024, Paramount Global and Skydance Media, LLC (“Skydance”) became wholly owned subsidiaries of Paramount Skydance Corporation (the “Skydance Transactions”). Substantially concurrently with the closing of the Skydance Transactions, Pinnacle Media Ventures, LLC, Pinnacle Media Ventures II, LLC and Pinnacle Media Ventures III, LLC, each entities controlled by the Ellison Family (as defined below), and RB Tentpole Holdings LP (the “NAI Equity Investors”) acquired 100% of the equity interests of Harbor Lights Entertainment, Inc. (f/k/a National Amusements, Inc. (“NAI”)), from the NAI’s shareholders under a purchase and sale agreement and, through their indirect ownership of NAI, the NAI Equity Investors received an aggregate of 31.5 million shares of Class A common stock and 32.0 million shares of Class B common stock of Paramount Skydance Corporation (the “NAI Transaction”). Following the closing of the Skydance Transactions and the NAI Transaction, entities controlled by the Ellison Family indirectly hold approximately 77.5% of the Class A common stock of Paramount Skydance Corporation through their collective approximate 77.5% ownership interest in NAI, which was renamed Harbor Lights Entertainment Inc., and as a result the Ellison Family is the controlling stockholder and ultimate parent (“Ultimate Parent”) of Paramount. For the purpose of determining the controlling ownership of Paramount, the Ellison family is comprised of Lawrence J. Ellison and David Ellison (the “Ellison Family”). David Ellison is the son of Lawrence J. Ellison, and Lawrence J. Ellison and David Ellison are accordingly considered immediate family members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Skydance Transactions, PIPE investors, including the NAI Equity Investors, made an investment of $6.0 billion into Paramount Skydance Corporation in exchange for 400 million shares of Class B common stock at $15.00 per share and the NAI Equity Investors received, in connection with their PIPE investment an aggregate of 200 million five-year warrants exercisable at $30.50 per share (subject to customary anti-dilution adjustments). Approximately $4.5 billion of the PIPE proceeds were used to satisfy electing stockholders’ cash consideration in connection with a cash-stock election offered to Paramount Global stockholders, with the remaining approximately $1.5 billion provided to Paramount Skydance Corporation. As further described in Note 1, Paramount’s financial results for the year ended December 31, 2025 are presented in two distinct periods to indicate a new basis of accounting established for Paramount Global’s net assets upon the closing of the Skydance Transactions and NAI Transaction. The periods prior to August 7, 2025 include only Paramount Global and are identified as “Predecessor”, and the periods beginning on August 7, 2025 reflect Paramount Skydance Corporation and are identified as “Successor”.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Statements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have been prepared in accordance with Article 11 of Regulation S-X and are presented to illustrate the effects of the completed Skydance Transactions and NAI Transaction and the Acquisition, collectively, “The Transactions”.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historical consolidated balance sheet of Paramount as of March 31, 2026 and the historical consolidated balance sheet of WBD as of March 31 2026, giving effect to the Acquisition as if it had occurred on March 31,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combines the historical Consolidated Statement of Operations of Paramount for the three months ended March 31, 2026 and the historical Consolidated Statement of Operations of WBD for the three months ended March 31, 2026, and gives effect to the Acquisition as if it had occurred on January 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combines the Adjusted Combined Statement of Operations for the year ended December 31, 2025 of Paramount and the historical Consolidated Statement of Operations for the year ended December 31, 2025 of WBD, giving effect to the Transactions as if they had occurred on January 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consolidated Statement of Operations of Paramount Skydance Corporation from August 7, 2025 to December 31, 2025 (Successor) and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Skydance Transactions and NAI Transaction as if they had closed on January 1, 2025. As a result of the pushdown of the Ultimate Parent’s basis,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Acquisition, including the committed equity financing, on the outstanding shares and equity of Paramount is illustrated in Note 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The pro forma transaction accounting adjustments to adjust WBD’s net assets to preliminary estimates of fair value are based on information available to the Company as of the date of this filing. The fair value estimates made herein may differ materially based upon the finalization of appraisals and other valuation analyses, which is expected no later than one year from the closing date of the Acquisition. These unaudited pro forma condensed combined financial statements are presented for illustrative purposes only and do not necessarily reflect the operating results or financial position that would have occurred if the Transactions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should be read in conjunction with the following materials: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224" w:lineRule="exact"/>
        <w:rPr>
          <w:rFonts w:ascii="Arial" w:cs="Arial" w:eastAsia="Arial" w:hAnsi="Arial"/>
          <w:sz w:val="18"/>
          <w:szCs w:val="18"/>
          <w:b w:val="1"/>
          <w:bCs w:val="1"/>
          <w:color w:val="auto"/>
        </w:rPr>
      </w:pPr>
    </w:p>
    <w:p>
      <w:pPr>
        <w:jc w:val="both"/>
        <w:ind w:left="660" w:hanging="328"/>
        <w:spacing w:after="0" w:line="258"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Paramount's historical unaudited consolidated financial statements and the notes thereto contained in the Company’s Quarterly Report on Form 10-Q for the quarterly period ended March 31, 2026, filed on May 4, 2026, and the historical audited consolidated financial statements and the notes thereto for Paramount Global (Predecessor) for the period from January 1, 2025 to August 6, 2025 and Paramount Skydance Corporation (Successor) as of December 31, 2025 and for the period from August 7, 2025 to December 31, 2025 contained in Paramount’s Current Report on Form 8-K, filed on May 13, 2026;</w:t>
      </w:r>
    </w:p>
    <w:p>
      <w:pPr>
        <w:spacing w:after="0" w:line="18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Skydance’s historical unaudited condensed consolidated financial statements for the six-month period ended and as of June 30, 2025 contained in the Company’s Form 8-K/A filed October 23, 2025; and</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WBD’s historical unaudited consolidated financial statements and the notes thereto contained in WBD’s Quarterly Report on Form 10-Q for the quarterly period ended March 31, 2026, filed on May 6, 2026, and the historical audited consolidated financial statements and the notes thereto contained in WBD’s Annual Report on Form 10-K for the year ended December 31, 2025, filed on February 27, 2026.</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7"/>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Pro Forma Adjustments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341"/>
              <w:spacing w:after="0" w:line="188" w:lineRule="exact"/>
              <w:rPr>
                <w:sz w:val="20"/>
                <w:szCs w:val="20"/>
                <w:color w:val="auto"/>
              </w:rPr>
            </w:pPr>
            <w:r>
              <w:rPr>
                <w:rFonts w:ascii="Times New Roman" w:cs="Times New Roman" w:eastAsia="Times New Roman" w:hAnsi="Times New Roman"/>
                <w:sz w:val="18"/>
                <w:szCs w:val="18"/>
                <w:b w:val="1"/>
                <w:bCs w:val="1"/>
                <w:color w:val="auto"/>
              </w:rPr>
              <w:t>WBD</w:t>
            </w: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Paramount</w:t>
            </w:r>
          </w:p>
        </w:tc>
        <w:tc>
          <w:tcPr>
            <w:tcW w:w="180" w:type="dxa"/>
            <w:vAlign w:val="bottom"/>
          </w:tcPr>
          <w:p>
            <w:pPr>
              <w:spacing w:after="0"/>
              <w:rPr>
                <w:sz w:val="18"/>
                <w:szCs w:val="18"/>
                <w:color w:val="auto"/>
              </w:rPr>
            </w:pPr>
          </w:p>
        </w:tc>
        <w:tc>
          <w:tcPr>
            <w:tcW w:w="10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WBD</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Skydance</w:t>
            </w: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1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Accounting</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61"/>
              <w:spacing w:after="0" w:line="198"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Corp.</w:t>
            </w:r>
          </w:p>
        </w:tc>
        <w:tc>
          <w:tcPr>
            <w:tcW w:w="1220" w:type="dxa"/>
            <w:vAlign w:val="bottom"/>
            <w:gridSpan w:val="3"/>
          </w:tcPr>
          <w:p>
            <w:pPr>
              <w:jc w:val="right"/>
              <w:ind w:right="280"/>
              <w:spacing w:after="0" w:line="256" w:lineRule="exact"/>
              <w:rPr>
                <w:sz w:val="20"/>
                <w:szCs w:val="20"/>
                <w:color w:val="auto"/>
              </w:rPr>
            </w:pPr>
            <w:r>
              <w:rPr>
                <w:rFonts w:ascii="Times New Roman" w:cs="Times New Roman" w:eastAsia="Times New Roman" w:hAnsi="Times New Roman"/>
                <w:sz w:val="18"/>
                <w:szCs w:val="18"/>
                <w:b w:val="1"/>
                <w:bCs w:val="1"/>
                <w:color w:val="auto"/>
                <w:w w:val="99"/>
              </w:rPr>
              <w:t>Adjusted</w:t>
            </w:r>
            <w:r>
              <w:rPr>
                <w:rFonts w:ascii="Times New Roman" w:cs="Times New Roman" w:eastAsia="Times New Roman" w:hAnsi="Times New Roman"/>
                <w:sz w:val="29"/>
                <w:szCs w:val="29"/>
                <w:b w:val="1"/>
                <w:bCs w:val="1"/>
                <w:color w:val="auto"/>
                <w:w w:val="99"/>
                <w:vertAlign w:val="superscript"/>
              </w:rPr>
              <w:t>(2)</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(93,920)</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53,298</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(5a)</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46,906</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(5c)</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5,009</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other inventory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1,764</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3,146</w:t>
            </w:r>
          </w:p>
        </w:tc>
        <w:tc>
          <w:tcPr>
            <w:tcW w:w="18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(47,541</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50,784</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other inventory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19,312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34,591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25,874</w:t>
            </w: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29,791</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(4a)</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57,287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26,803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18,707</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51,464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2,749</w:t>
            </w: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Advance consideration for WBD acquisition</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2,555</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6,654</w:t>
            </w:r>
          </w:p>
        </w:tc>
        <w:tc>
          <w:tcPr>
            <w:tcW w:w="0" w:type="dxa"/>
            <w:vAlign w:val="bottom"/>
          </w:tcPr>
          <w:p>
            <w:pPr>
              <w:spacing w:after="0"/>
              <w:rPr>
                <w:sz w:val="1"/>
                <w:szCs w:val="1"/>
                <w:color w:val="auto"/>
              </w:rPr>
            </w:pPr>
          </w:p>
        </w:tc>
      </w:tr>
      <w:tr>
        <w:trPr>
          <w:trHeight w:val="263"/>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97,837</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191,073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6,066</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Participants’ share and royalties payable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programming and production costs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1,857</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2,086</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w:t>
            </w: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48,314</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(5a)</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50,469</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812</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(5c)</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share and royalties payable</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2,378</w:t>
            </w: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 obligations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5,873</w:t>
            </w: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5,859</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(9a)</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Programming obligations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1,424</w:t>
            </w: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Paramount stockholders’ equity: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(4f)</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55,865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(55,865)</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(4f)</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60,218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46,902</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8,244</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(4f)</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(1,585)</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(14,428)</w:t>
            </w:r>
          </w:p>
        </w:tc>
        <w:tc>
          <w:tcPr>
            <w:tcW w:w="1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40,302</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(5d)</w:t>
            </w: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(5c)</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(8b)</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642</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(4f)</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Paramount stockholders' equity</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33,707</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50,784</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014" w:gutter="0" w:footer="0" w:header="0"/>
        </w:sectPr>
      </w:pPr>
    </w:p>
    <w:bookmarkStart w:id="21" w:name="page22"/>
    <w:bookmarkEnd w:id="21"/>
    <w:p>
      <w:pPr>
        <w:jc w:val="center"/>
        <w:ind w:left="1300" w:right="156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THREE MONTHS ENDED MARCH 31, 2026 (In millions,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7"/>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Pro Forma Adjustments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WBD</w:t>
            </w: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1"/>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Paramount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restart"/>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WBD</w:t>
            </w:r>
          </w:p>
        </w:tc>
        <w:tc>
          <w:tcPr>
            <w:tcW w:w="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b w:val="1"/>
                <w:bCs w:val="1"/>
                <w:color w:val="auto"/>
                <w:w w:val="97"/>
              </w:rPr>
              <w:t>Skydance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Accounting</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Adjustments</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Corp.</w:t>
            </w:r>
          </w:p>
        </w:tc>
        <w:tc>
          <w:tcPr>
            <w:tcW w:w="80" w:type="dxa"/>
            <w:vAlign w:val="bottom"/>
          </w:tcPr>
          <w:p>
            <w:pPr>
              <w:spacing w:after="0"/>
              <w:rPr>
                <w:sz w:val="22"/>
                <w:szCs w:val="22"/>
                <w:color w:val="auto"/>
              </w:rPr>
            </w:pPr>
          </w:p>
        </w:tc>
        <w:tc>
          <w:tcPr>
            <w:tcW w:w="1120" w:type="dxa"/>
            <w:vAlign w:val="bottom"/>
            <w:gridSpan w:val="3"/>
          </w:tcPr>
          <w:p>
            <w:pPr>
              <w:jc w:val="right"/>
              <w:ind w:right="101"/>
              <w:spacing w:after="0" w:line="256" w:lineRule="exact"/>
              <w:rPr>
                <w:sz w:val="20"/>
                <w:szCs w:val="20"/>
                <w:color w:val="auto"/>
              </w:rPr>
            </w:pPr>
            <w:r>
              <w:rPr>
                <w:rFonts w:ascii="Times New Roman" w:cs="Times New Roman" w:eastAsia="Times New Roman" w:hAnsi="Times New Roman"/>
                <w:sz w:val="18"/>
                <w:szCs w:val="18"/>
                <w:b w:val="1"/>
                <w:bCs w:val="1"/>
                <w:color w:val="auto"/>
                <w:w w:val="94"/>
              </w:rPr>
              <w:t xml:space="preserve">Adjusted </w:t>
            </w:r>
            <w:r>
              <w:rPr>
                <w:rFonts w:ascii="Times New Roman" w:cs="Times New Roman" w:eastAsia="Times New Roman" w:hAnsi="Times New Roman"/>
                <w:sz w:val="29"/>
                <w:szCs w:val="29"/>
                <w:b w:val="1"/>
                <w:bCs w:val="1"/>
                <w:color w:val="auto"/>
                <w:w w:val="94"/>
                <w:vertAlign w:val="superscript"/>
              </w:rPr>
              <w:t>(2)</w:t>
            </w:r>
          </w:p>
        </w:tc>
        <w:tc>
          <w:tcPr>
            <w:tcW w:w="80" w:type="dxa"/>
            <w:vAlign w:val="bottom"/>
          </w:tcPr>
          <w:p>
            <w:pPr>
              <w:spacing w:after="0"/>
              <w:rPr>
                <w:sz w:val="22"/>
                <w:szCs w:val="22"/>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9,639</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3,398</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(3a)</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Netflix Termination Fee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(2,800)</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Restructuring, transaction-related items, and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matters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4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(5e)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78"/>
        </w:trPr>
        <w:tc>
          <w:tcPr>
            <w:tcW w:w="43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Earnings (loss) before income taxes and equity in loss of</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investee companies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2,883</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362</w:t>
            </w:r>
          </w:p>
        </w:tc>
        <w:tc>
          <w:tcPr>
            <w:tcW w:w="84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(9c)</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78"/>
        </w:trPr>
        <w:tc>
          <w:tcPr>
            <w:tcW w:w="43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earnings (loss) (Paramount and noncontrolling</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earnings (loss) from attributable to Paramount</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(loss) per common share attributable to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3,913</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3,905</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vMerge w:val="restart"/>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rPr>
              <w:t>Paramount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Pro Forma Adjustments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400"/>
              <w:spacing w:after="0" w:line="182" w:lineRule="exact"/>
              <w:rPr>
                <w:sz w:val="20"/>
                <w:szCs w:val="20"/>
                <w:color w:val="auto"/>
              </w:rPr>
            </w:pPr>
            <w:r>
              <w:rPr>
                <w:rFonts w:ascii="Times New Roman" w:cs="Times New Roman" w:eastAsia="Times New Roman" w:hAnsi="Times New Roman"/>
                <w:sz w:val="18"/>
                <w:szCs w:val="18"/>
                <w:b w:val="1"/>
                <w:bCs w:val="1"/>
                <w:color w:val="auto"/>
              </w:rPr>
              <w:t>WBD</w:t>
            </w:r>
          </w:p>
        </w:tc>
        <w:tc>
          <w:tcPr>
            <w:tcW w:w="4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Skydance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Debt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8"/>
              </w:rPr>
              <w:t>Corp.</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WBD</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3"/>
          </w:tcPr>
          <w:p>
            <w:pPr>
              <w:jc w:val="right"/>
              <w:ind w:right="121"/>
              <w:spacing w:after="0" w:line="270" w:lineRule="exact"/>
              <w:rPr>
                <w:sz w:val="20"/>
                <w:szCs w:val="20"/>
                <w:color w:val="auto"/>
              </w:rPr>
            </w:pPr>
            <w:r>
              <w:rPr>
                <w:rFonts w:ascii="Times New Roman" w:cs="Times New Roman" w:eastAsia="Times New Roman" w:hAnsi="Times New Roman"/>
                <w:sz w:val="18"/>
                <w:szCs w:val="18"/>
                <w:b w:val="1"/>
                <w:bCs w:val="1"/>
                <w:color w:val="auto"/>
                <w:w w:val="99"/>
              </w:rPr>
              <w:t>Adjusted</w:t>
            </w:r>
            <w:r>
              <w:rPr>
                <w:rFonts w:ascii="Times New Roman" w:cs="Times New Roman" w:eastAsia="Times New Roman" w:hAnsi="Times New Roman"/>
                <w:sz w:val="29"/>
                <w:szCs w:val="29"/>
                <w:b w:val="1"/>
                <w:bCs w:val="1"/>
                <w:color w:val="auto"/>
                <w:w w:val="99"/>
                <w:vertAlign w:val="superscript"/>
              </w:rPr>
              <w:t>(6)</w:t>
            </w:r>
          </w:p>
        </w:tc>
        <w:tc>
          <w:tcPr>
            <w:tcW w:w="520" w:type="dxa"/>
            <w:vAlign w:val="bottom"/>
          </w:tcPr>
          <w:p>
            <w:pPr>
              <w:spacing w:after="0"/>
              <w:rPr>
                <w:sz w:val="23"/>
                <w:szCs w:val="23"/>
                <w:color w:val="auto"/>
              </w:rPr>
            </w:pPr>
          </w:p>
        </w:tc>
        <w:tc>
          <w:tcPr>
            <w:tcW w:w="1220" w:type="dxa"/>
            <w:vAlign w:val="bottom"/>
            <w:gridSpan w:val="3"/>
          </w:tcPr>
          <w:p>
            <w:pPr>
              <w:jc w:val="right"/>
              <w:ind w:right="280"/>
              <w:spacing w:after="0" w:line="270" w:lineRule="exact"/>
              <w:rPr>
                <w:sz w:val="20"/>
                <w:szCs w:val="20"/>
                <w:color w:val="auto"/>
              </w:rPr>
            </w:pPr>
            <w:r>
              <w:rPr>
                <w:rFonts w:ascii="Times New Roman" w:cs="Times New Roman" w:eastAsia="Times New Roman" w:hAnsi="Times New Roman"/>
                <w:sz w:val="18"/>
                <w:szCs w:val="18"/>
                <w:b w:val="1"/>
                <w:bCs w:val="1"/>
                <w:color w:val="auto"/>
                <w:w w:val="99"/>
              </w:rPr>
              <w:t>Adjusted</w:t>
            </w:r>
            <w:r>
              <w:rPr>
                <w:rFonts w:ascii="Times New Roman" w:cs="Times New Roman" w:eastAsia="Times New Roman" w:hAnsi="Times New Roman"/>
                <w:sz w:val="29"/>
                <w:szCs w:val="29"/>
                <w:b w:val="1"/>
                <w:bCs w:val="1"/>
                <w:color w:val="auto"/>
                <w:w w:val="99"/>
                <w:vertAlign w:val="superscript"/>
              </w:rPr>
              <w:t>(2)</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80" w:type="dxa"/>
            <w:vAlign w:val="bottom"/>
          </w:tcPr>
          <w:p>
            <w:pPr>
              <w:spacing w:after="0"/>
              <w:rPr>
                <w:sz w:val="23"/>
                <w:szCs w:val="23"/>
                <w:color w:val="auto"/>
              </w:rPr>
            </w:pPr>
          </w:p>
        </w:tc>
        <w:tc>
          <w:tcPr>
            <w:tcW w:w="128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29"/>
                <w:szCs w:val="29"/>
                <w:b w:val="1"/>
                <w:bCs w:val="1"/>
                <w:color w:val="auto"/>
                <w:vertAlign w:val="superscript"/>
              </w:rPr>
              <w:t>(5)</w:t>
            </w:r>
          </w:p>
        </w:tc>
        <w:tc>
          <w:tcPr>
            <w:tcW w:w="540" w:type="dxa"/>
            <w:vAlign w:val="bottom"/>
          </w:tcPr>
          <w:p>
            <w:pPr>
              <w:spacing w:after="0"/>
              <w:rPr>
                <w:sz w:val="23"/>
                <w:szCs w:val="23"/>
                <w:color w:val="auto"/>
              </w:rPr>
            </w:pPr>
          </w:p>
        </w:tc>
        <w:tc>
          <w:tcPr>
            <w:tcW w:w="11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20,347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21,853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41,679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Programming charges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6,136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14,306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5,684</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FF0000"/>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7,365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Restructuring, transaction-related items, and 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1"/>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tcPr>
          <w:p>
            <w:pPr>
              <w:jc w:val="right"/>
              <w:ind w:right="414"/>
              <w:spacing w:after="0" w:line="198" w:lineRule="exact"/>
              <w:rPr>
                <w:sz w:val="20"/>
                <w:szCs w:val="20"/>
                <w:color w:val="auto"/>
              </w:rPr>
            </w:pPr>
            <w:r>
              <w:rPr>
                <w:rFonts w:ascii="Times New Roman" w:cs="Times New Roman" w:eastAsia="Times New Roman" w:hAnsi="Times New Roman"/>
                <w:sz w:val="18"/>
                <w:szCs w:val="18"/>
                <w:color w:val="auto"/>
              </w:rPr>
              <w:t>(5c)</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matters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1,453</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tcPr>
          <w:p>
            <w:pPr>
              <w:jc w:val="right"/>
              <w:ind w:right="394"/>
              <w:spacing w:after="0"/>
              <w:rPr>
                <w:sz w:val="20"/>
                <w:szCs w:val="20"/>
                <w:color w:val="auto"/>
              </w:rPr>
            </w:pPr>
            <w:r>
              <w:rPr>
                <w:rFonts w:ascii="Times New Roman" w:cs="Times New Roman" w:eastAsia="Times New Roman" w:hAnsi="Times New Roman"/>
                <w:sz w:val="18"/>
                <w:szCs w:val="18"/>
                <w:color w:val="auto"/>
              </w:rPr>
              <w:t>(5d)</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dispositions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(760)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(1,879)</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957</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84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(5e)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investments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(5d)</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78"/>
        </w:trPr>
        <w:tc>
          <w:tcPr>
            <w:tcW w:w="38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Earnings (loss) before income taxes and equity in</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of investee companies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(1,025)</w:t>
            </w: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1,663</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Pr>
          <w:p>
            <w:pPr>
              <w:spacing w:after="0"/>
              <w:rPr>
                <w:sz w:val="18"/>
                <w:szCs w:val="18"/>
                <w:color w:val="auto"/>
              </w:rPr>
            </w:pPr>
          </w:p>
        </w:tc>
        <w:tc>
          <w:tcPr>
            <w:tcW w:w="1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(168) (9c)</w:t>
            </w:r>
          </w:p>
        </w:tc>
        <w:tc>
          <w:tcPr>
            <w:tcW w:w="1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1,206</w:t>
            </w:r>
          </w:p>
        </w:tc>
        <w:tc>
          <w:tcPr>
            <w:tcW w:w="84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(9c)</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(275)</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78"/>
        </w:trPr>
        <w:tc>
          <w:tcPr>
            <w:tcW w:w="3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earnings (loss) (Parent and noncontrolling</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(981)</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redeemable noncontrolling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attributable to Parent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common share attributable to Parent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stockholders - Receiving Warrants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stockholders -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stockholders – All</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stockholders - Receiving Warrants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stockholders -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1,099</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(6j)</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3,441</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stockholders – All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1,099</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(6j)</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3,913</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5,012</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pro forma condensed consolidated financial statements have been prepared in accordance with Article 11 of Regulation S-X and do not include all of the information and note disclosures required by generally accepted accounting principles in the United States of America (“U.S GAAP”). Pro forma financial information illustrates the effects of a particular transaction (or transactions) and is based on historically determined amounts. The historical financial statements of Paramount, Skydance, and WBD have been adjusted in the accompanying unaudited pro forma condensed combined financial statements to reflect transaction accounting adjustments that depict the estimated accounting effects of the Transactions in accordance with U.S GAAP.</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time Paramount Global and Skydance became subsidiaries of Paramount Skydance Corporation, the Ellison Family controlled both Paramount Global and Skydance (and was the “Ultimate Parent” of each), and as a result, the Skydance Transactions were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 The pushdown of the Ultimate Parent’s basis resulted in a new basis of accounting for Paramount Global’s net assets, which made the results of operations not comparable between the periods before and after the Skydance Transactions and the NAI Transaction. Accordingly, Paramount’s financial results for the year ended December 31, 2025 are presented in two distinct periods. The periods prior to August 7, 2025 include only Paramount Global and are identified as “Predecessor”, and the periods beginning on August 7, 2025 reflect Paramount Skydance Corporation and are identified as “Successor”. See Note 6.</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historical consolidated balance sheet of Paramount as of March 31, 2026, and the historical consolidated balance sheet of WBD as of March 31 2026, giving effect to the Acquisition as if it had occurred on March 31, 2026. These pro forma financial statements reflect assumptions and adjustments set forth in the accompanying explanatory notes.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combines the historical Consolidated Statements of Operations of Paramount and WBD, as if the Acquisition occurred on January 1,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combines the Adjusted Combined Statement of Operations for the year ended December 31, 2025 of Paramount and the historical Consolidated Statement of Operations for the year ended December 31, 2025 of WBD giving effect to the Transactions as if they had occurred on January 1, 2025. 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historical financial statements of WBD and the historical Skydance results for the period from January 1, 2025 through August 6, 2025 have been adjusted to align with the Company’s presentation in the unaudited pro forma Condensed Combined Financial Statements (See Notes 2 and 6).</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unaudited pro forma condensed combined financial statements incorporates various assumptions and estimates, including those related to the preliminary purchase price allocation of WBD. The pro forma transaction accounting adjustments to adjust WBD’s net assets to preliminary estimates of fair value are based on information available to the Company as of the date of this filing. The fair value estimates made herein may differ materially based upon the finalization of appraisals and other valuation analyses, which is expected no later than one year from the closing date of the Acquisition. These unaudited pro forma condensed combined financial statements are presented for illustrative purposes only and do not necessarily reflect the operating results or financial position that would have occurred if the Transactions had been consummated on the dates indicated, nor are they necessarily indicative of the results of operations or financial condition that may be expected for any future period or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PRESENTATION OF HISTORICAL WARNER BROS. DISCOVERY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historical financial information of WBD included in the unaudited pro forma condensed combined financial statements reflects certain reclassifications to conform to the Company’s presentation, which are presented in the tables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Reclassifications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Reclassification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Historical WBD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WBD Adjusted</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3,264</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other inventory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content rights and games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Programming and other inventory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25,874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26,803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Participants' share and royalties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Accrued programming and production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30,973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share and royalties payable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 obligations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obligations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55,865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(14,428)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Parent stockholders’ equity</w:t>
            </w:r>
          </w:p>
        </w:tc>
        <w:tc>
          <w:tcPr>
            <w:tcW w:w="1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4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00"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Statements of Operations Reclassifications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gridSpan w:val="9"/>
          </w:tcPr>
          <w:p>
            <w:pPr>
              <w:jc w:val="right"/>
              <w:ind w:right="1001"/>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Reclassification</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8"/>
              </w:rPr>
              <w:t>Historical WBD</w:t>
            </w:r>
          </w:p>
        </w:tc>
        <w:tc>
          <w:tcPr>
            <w:tcW w:w="1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WBD Adjusted</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revenues, excluding depreciation and amortization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4,643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4,893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Netflix Termination Fee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transaction-related items, and other corporate matters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Impairments and loss on dispositions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investees,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available to Warner Bros. Discovery, Inc.</w:t>
            </w: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Reclassification</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Historical WBD</w:t>
            </w: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WBD Adjusted</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revenues, excluding depreciation and amortization</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20,885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(20,885)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21,853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transaction-related items, and other corporate matters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and loss on dispositions</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7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dispositions</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 from investment</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investees, net</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Warner Bros. Discovery, Inc.</w:t>
            </w:r>
          </w:p>
        </w:tc>
        <w:tc>
          <w:tcPr>
            <w:tcW w:w="17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78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PRELIMINARY PURCHASE PRICE ALLOCATION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Total Aggregate Acquisition Consideration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WBD Merger Agreement, on the Acquisition closing date, all of WBD’s outstanding common shares will be converted into the right to receive $31.00 per share, excluding any applicable Ticking Consideration as the Company assumes for the purposes of these pro forma financial statements that the transaction will close prior to September 30, 2026.</w:t>
      </w:r>
    </w:p>
    <w:p>
      <w:pPr>
        <w:sectPr>
          <w:pgSz w:w="11900" w:h="16838" w:orient="portrait"/>
          <w:cols w:equalWidth="0" w:num="1">
            <w:col w:w="11240"/>
          </w:cols>
          <w:pgMar w:left="320" w:top="900" w:right="339" w:bottom="1440" w:gutter="0" w:footer="0" w:header="0"/>
        </w:sectPr>
      </w:pP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preliminary purchase consideration is calculated as follows: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Purchase Consideration Paid to WBD Shareholders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cash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paid to WBD’s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Cash paid related to pre-combination portion of replacement awards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 Settlement of indebtedness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consideration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Netflix termination fee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Liabilities assumed related to pre-combination portion of replacement awards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Settlement of pre-existing relationships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preliminary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297"/>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ind w:left="837"/>
        <w:spacing w:after="0"/>
        <w:rPr>
          <w:sz w:val="20"/>
          <w:szCs w:val="20"/>
          <w:color w:val="auto"/>
        </w:rPr>
      </w:pPr>
      <w:r>
        <w:rPr>
          <w:rFonts w:ascii="Times New Roman" w:cs="Times New Roman" w:eastAsia="Times New Roman" w:hAnsi="Times New Roman"/>
          <w:sz w:val="18"/>
          <w:szCs w:val="18"/>
          <w:color w:val="auto"/>
        </w:rPr>
        <w:t>2,511</w:t>
      </w:r>
    </w:p>
    <w:p>
      <w:pPr>
        <w:spacing w:after="0" w:line="23" w:lineRule="exact"/>
        <w:rPr>
          <w:sz w:val="20"/>
          <w:szCs w:val="20"/>
          <w:color w:val="auto"/>
        </w:rPr>
      </w:pPr>
    </w:p>
    <w:p>
      <w:pPr>
        <w:ind w:left="1057" w:hanging="1057"/>
        <w:spacing w:after="0"/>
        <w:tabs>
          <w:tab w:leader="none" w:pos="10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9" w:lineRule="exact"/>
        <w:rPr>
          <w:rFonts w:ascii="Times New Roman" w:cs="Times New Roman" w:eastAsia="Times New Roman" w:hAnsi="Times New Roman"/>
          <w:sz w:val="18"/>
          <w:szCs w:val="18"/>
          <w:color w:val="auto"/>
        </w:rPr>
      </w:pPr>
    </w:p>
    <w:p>
      <w:pPr>
        <w:ind w:left="737" w:hanging="737"/>
        <w:spacing w:after="0"/>
        <w:tabs>
          <w:tab w:leader="none" w:pos="7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77,837</w:t>
      </w:r>
    </w:p>
    <w:p>
      <w:pPr>
        <w:spacing w:after="0" w:line="9" w:lineRule="exact"/>
        <w:rPr>
          <w:rFonts w:ascii="Times New Roman" w:cs="Times New Roman" w:eastAsia="Times New Roman" w:hAnsi="Times New Roman"/>
          <w:sz w:val="18"/>
          <w:szCs w:val="18"/>
          <w:color w:val="auto"/>
        </w:rPr>
      </w:pPr>
    </w:p>
    <w:p>
      <w:pPr>
        <w:ind w:left="81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1,083</w:t>
      </w:r>
    </w:p>
    <w:p>
      <w:pPr>
        <w:spacing w:after="0" w:line="9" w:lineRule="exact"/>
        <w:rPr>
          <w:rFonts w:ascii="Times New Roman" w:cs="Times New Roman" w:eastAsia="Times New Roman" w:hAnsi="Times New Roman"/>
          <w:sz w:val="18"/>
          <w:szCs w:val="18"/>
          <w:color w:val="auto"/>
        </w:rPr>
      </w:pPr>
    </w:p>
    <w:p>
      <w:pPr>
        <w:ind w:left="7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w:t>
      </w:r>
    </w:p>
    <w:p>
      <w:pPr>
        <w:spacing w:after="0" w:line="22" w:lineRule="exact"/>
        <w:rPr>
          <w:rFonts w:ascii="Times New Roman" w:cs="Times New Roman" w:eastAsia="Times New Roman" w:hAnsi="Times New Roman"/>
          <w:sz w:val="18"/>
          <w:szCs w:val="18"/>
          <w:color w:val="auto"/>
        </w:rPr>
      </w:pPr>
    </w:p>
    <w:p>
      <w:pPr>
        <w:ind w:left="7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93,920</w:t>
      </w:r>
    </w:p>
    <w:p>
      <w:pPr>
        <w:spacing w:after="0" w:line="22" w:lineRule="exact"/>
        <w:rPr>
          <w:rFonts w:ascii="Times New Roman" w:cs="Times New Roman" w:eastAsia="Times New Roman" w:hAnsi="Times New Roman"/>
          <w:sz w:val="18"/>
          <w:szCs w:val="18"/>
          <w:color w:val="auto"/>
        </w:rPr>
      </w:pPr>
    </w:p>
    <w:p>
      <w:pPr>
        <w:ind w:left="81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2,800</w:t>
      </w:r>
    </w:p>
    <w:p>
      <w:pPr>
        <w:spacing w:after="0" w:line="22" w:lineRule="exact"/>
        <w:rPr>
          <w:rFonts w:ascii="Times New Roman" w:cs="Times New Roman" w:eastAsia="Times New Roman" w:hAnsi="Times New Roman"/>
          <w:sz w:val="18"/>
          <w:szCs w:val="18"/>
          <w:color w:val="auto"/>
        </w:rPr>
      </w:pPr>
    </w:p>
    <w:p>
      <w:pPr>
        <w:ind w:left="9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741</w:t>
      </w:r>
    </w:p>
    <w:p>
      <w:pPr>
        <w:spacing w:after="0" w:line="9" w:lineRule="exact"/>
        <w:rPr>
          <w:rFonts w:ascii="Times New Roman" w:cs="Times New Roman" w:eastAsia="Times New Roman" w:hAnsi="Times New Roman"/>
          <w:sz w:val="18"/>
          <w:szCs w:val="18"/>
          <w:color w:val="auto"/>
        </w:rPr>
      </w:pPr>
    </w:p>
    <w:p>
      <w:pPr>
        <w:ind w:left="89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w:t>
      </w:r>
    </w:p>
    <w:p>
      <w:pPr>
        <w:spacing w:after="0" w:line="31" w:lineRule="exact"/>
        <w:rPr>
          <w:rFonts w:ascii="Times New Roman" w:cs="Times New Roman" w:eastAsia="Times New Roman" w:hAnsi="Times New Roman"/>
          <w:sz w:val="18"/>
          <w:szCs w:val="18"/>
          <w:color w:val="auto"/>
        </w:rPr>
      </w:pPr>
    </w:p>
    <w:p>
      <w:pPr>
        <w:ind w:left="737" w:hanging="737"/>
        <w:spacing w:after="0"/>
        <w:tabs>
          <w:tab w:leader="none" w:pos="7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797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7797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7797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-710565</wp:posOffset>
            </wp:positionV>
            <wp:extent cx="7797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3" w:space="720"/>
            <w:col w:w="1337"/>
          </w:cols>
          <w:pgMar w:left="320" w:top="900" w:right="3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estimated shares of WBD Common Stock is based on 2,507,136,702 shares of WBD Common Stock issued and outstanding as of April 23, 2026, per WBD’s Quarterly Report on Form 10-Q for the three months ended March 31, 2026, as filed with the SEC on May 6, 2026, adjusted for 3,737,162 WBD PRSUs that were vested, but not distributed at that date.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$1.1 billion in estimated cash payments to holders of vested WBD stock options, RSUs, and PRSUs, and $741 million in estimated liabilities related to holders of unvested WBD stock options, RSUs, and PRSUs that will be converted into the contingent right to receive cash-based awards of Paramount, with $601 million recorded within “Other current liabilities” and $140 million within “Other liabilities” on the unaudited pro forma Condensed Combined Balance Sheet.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WBD’s existing $15.0 billion bridge facility will be replaced or refinanced, if not refinanced by WBD prior to closing, subject to the related cooperation requirements in the WBD Merger Agreement. The adjustment to remove the $15.0 billion bridge facility in the unaudited pro forma Condensed Combined Balance Sheet is reflected net of deferred issuance costs of $117 million.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$2.8 billion termination fee paid to Netflix by Paramount, on behalf of WBD, in connection with the execution of the WBD Merger Agreement has been treated as purchase consideration. Accordingly, pro forma adjustments have been recorded to the unaudited pro forma Condensed Combined Balance Sheet to (i) eliminate Paramount’s prepaid asset related to the termination fee and (ii) remove WBD’s accrued liability associated with the obligation. In addition, an adjustment has been recorded to the unaudited pro forma Condensed Combined Statement of Operations for the three months ended March 31, 2026 to eliminate the expense recognized by WBD in its historical financial statements related to the termination fee.</w:t>
      </w:r>
    </w:p>
    <w:p>
      <w:pPr>
        <w:spacing w:after="0" w:line="18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pre-existing relationships consists of Paramount’s net payable to WBD of $184 million, comprised of receivables due from WBD of approximately $277 million and payables due to WBD and accrued programming liabilities related to WBD, of $36 million and $425 million, respectively.</w:t>
      </w:r>
    </w:p>
    <w:p>
      <w:pPr>
        <w:spacing w:after="0" w:line="176" w:lineRule="exact"/>
        <w:rPr>
          <w:sz w:val="20"/>
          <w:szCs w:val="20"/>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the Acquisition, including the preliminary purchase consideration, is based on provisional amounts, and the associated purchase accounting is not final. The preliminary allocation of the purchase price to the acquired assets and assumed liabilities was based upon a preliminary estimate of fair values, which leveraged publicly available benchmarking information as well as a variety of other assumptions Paramount believes are reasonable under the circumstances. Actual results may differ materially from the assumptions within these unaudited pro forma condensed combined financial information.</w:t>
      </w:r>
    </w:p>
    <w:p>
      <w:pPr>
        <w:spacing w:after="0" w:line="18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preliminary purchase price allocation as of the date of the Acquisition, including the effects of intercompany eliminations which are reflected in Note 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Preliminary Purchase Price 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4,759</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other inventory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6,642</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Goodwill (1)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55,665</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45,510</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23"/>
        </w:trPr>
        <w:tc>
          <w:tcPr>
            <w:tcW w:w="9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7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share and royalties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programming and production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12,928</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11,765</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Programming obligations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 obligation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r>
        <w:trPr>
          <w:trHeight w:val="223"/>
        </w:trPr>
        <w:tc>
          <w:tcPr>
            <w:tcW w:w="9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preliminary purchase consideration</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8"/>
        <w:spacing w:after="0" w:line="282" w:lineRule="auto"/>
        <w:tabs>
          <w:tab w:leader="none" w:pos="6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difference between the total preliminary purchase consideration and the estimated fair value of WBD’s net assets based on the preliminary fair value estimates assumed herein.</w:t>
      </w:r>
    </w:p>
    <w:p>
      <w:pPr>
        <w:sectPr>
          <w:pgSz w:w="11900" w:h="16838" w:orient="portrait"/>
          <w:cols w:equalWidth="0" w:num="1">
            <w:col w:w="11240"/>
          </w:cols>
          <w:pgMar w:left="320" w:top="900" w:right="339" w:bottom="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WARNER BROS. DISCOVERY PRO FORMA ADJUSTMENTS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Pro Forma Adjustments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100" w:type="dxa"/>
            <w:vAlign w:val="bottom"/>
            <w:tcBorders>
              <w:bottom w:val="single" w:sz="8" w:color="auto"/>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WBD Transaction Accounting Adjustments</w:t>
            </w: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81"/>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Intercompany</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81"/>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Accounting</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right"/>
              <w:ind w:right="21"/>
              <w:spacing w:after="0" w:line="270" w:lineRule="exact"/>
              <w:rPr>
                <w:sz w:val="20"/>
                <w:szCs w:val="20"/>
                <w:color w:val="auto"/>
              </w:rPr>
            </w:pPr>
            <w:r>
              <w:rPr>
                <w:rFonts w:ascii="Times New Roman" w:cs="Times New Roman" w:eastAsia="Times New Roman" w:hAnsi="Times New Roman"/>
                <w:sz w:val="18"/>
                <w:szCs w:val="18"/>
                <w:b w:val="1"/>
                <w:bCs w:val="1"/>
                <w:color w:val="auto"/>
                <w:w w:val="94"/>
              </w:rPr>
              <w:t>Transactions</w:t>
            </w:r>
            <w:r>
              <w:rPr>
                <w:rFonts w:ascii="Times New Roman" w:cs="Times New Roman" w:eastAsia="Times New Roman" w:hAnsi="Times New Roman"/>
                <w:sz w:val="29"/>
                <w:szCs w:val="29"/>
                <w:b w:val="1"/>
                <w:bCs w:val="1"/>
                <w:color w:val="auto"/>
                <w:w w:val="94"/>
                <w:vertAlign w:val="superscript"/>
              </w:rPr>
              <w:t>(7)</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(47,014)</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3a, 8d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(277)</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3a(5)</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(47,291)</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Programming and other inventory</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29,495</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4a</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29,791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18,707</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4b</w:t>
            </w:r>
          </w:p>
        </w:tc>
        <w:tc>
          <w:tcPr>
            <w:tcW w:w="10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18,707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consideration for WBD acquisition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3a(4)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3a(5)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(2,433)</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3a(4), 8a</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programming and production costs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(425)</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3a(5)</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601</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3a(2)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(19,538)</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4c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5,808</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9a</w:t>
            </w:r>
          </w:p>
        </w:tc>
        <w:tc>
          <w:tcPr>
            <w:tcW w:w="10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w w:val="99"/>
              </w:rPr>
              <w:t>9a</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5,859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3a(2)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4f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8d</w:t>
            </w:r>
          </w:p>
        </w:tc>
        <w:tc>
          <w:tcPr>
            <w:tcW w:w="10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(8,963)</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4f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8,244</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4f</w:t>
            </w:r>
          </w:p>
        </w:tc>
        <w:tc>
          <w:tcPr>
            <w:tcW w:w="10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8,244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14,094</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4f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14,094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642</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4f</w:t>
            </w:r>
          </w:p>
        </w:tc>
        <w:tc>
          <w:tcPr>
            <w:tcW w:w="10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-5356860</wp:posOffset>
            </wp:positionV>
            <wp:extent cx="7132320" cy="565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Statements of Operations Pro Forma Adjustments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WBD Transaction Accounting Adjustments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36"/>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Intercompany</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56"/>
              <w:spacing w:after="0" w:line="184" w:lineRule="exact"/>
              <w:rPr>
                <w:sz w:val="20"/>
                <w:szCs w:val="20"/>
                <w:color w:val="auto"/>
              </w:rPr>
            </w:pPr>
            <w:r>
              <w:rPr>
                <w:rFonts w:ascii="Times New Roman" w:cs="Times New Roman" w:eastAsia="Times New Roman" w:hAnsi="Times New Roman"/>
                <w:sz w:val="18"/>
                <w:szCs w:val="18"/>
                <w:b w:val="1"/>
                <w:bCs w:val="1"/>
                <w:color w:val="auto"/>
              </w:rPr>
              <w:t>Accounting</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156"/>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29"/>
                <w:szCs w:val="29"/>
                <w:b w:val="1"/>
                <w:bCs w:val="1"/>
                <w:color w:val="auto"/>
                <w:vertAlign w:val="superscript"/>
              </w:rPr>
              <w:t>(7)</w:t>
            </w:r>
          </w:p>
        </w:tc>
        <w:tc>
          <w:tcPr>
            <w:tcW w:w="300" w:type="dxa"/>
            <w:vAlign w:val="bottom"/>
          </w:tcPr>
          <w:p>
            <w:pPr>
              <w:spacing w:after="0"/>
              <w:rPr>
                <w:sz w:val="23"/>
                <w:szCs w:val="23"/>
                <w:color w:val="auto"/>
              </w:rPr>
            </w:pP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8c</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Netflix Termination Fee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3a(4)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262</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4d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transaction-related items, and other corporate matters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282</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5e</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 and equity in loss of investee companies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9c</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9c</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attributable to Parent</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WBD Transaction Accounting Adjustments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36"/>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Intercompany</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36"/>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Accounting</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156"/>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29"/>
                <w:szCs w:val="29"/>
                <w:b w:val="1"/>
                <w:bCs w:val="1"/>
                <w:color w:val="auto"/>
                <w:vertAlign w:val="superscript"/>
              </w:rPr>
              <w:t>(7)</w:t>
            </w:r>
          </w:p>
        </w:tc>
        <w:tc>
          <w:tcPr>
            <w:tcW w:w="300" w:type="dxa"/>
            <w:vAlign w:val="bottom"/>
          </w:tcPr>
          <w:p>
            <w:pPr>
              <w:spacing w:after="0"/>
              <w:rPr>
                <w:sz w:val="23"/>
                <w:szCs w:val="23"/>
                <w:color w:val="auto"/>
              </w:rPr>
            </w:pP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8c</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212</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4d</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transaction-related items, and other corporate matters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367</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8a</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969</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5e</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before income taxes and equity in loss of investee companies</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9c</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9c</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Parent</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(4a) Reflects the following adjustments related to the Acquisition and elimination of intercompany transactions: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Pro forma</w:t>
            </w:r>
          </w:p>
        </w:tc>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historical WBD goodwill</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Preliminary purchase consideration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97,277</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(3a)</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WBD historical liability for Netflix Termination Fee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(2,800)</w:t>
            </w:r>
          </w:p>
        </w:tc>
        <w:tc>
          <w:tcPr>
            <w:tcW w:w="1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(3a(4))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WBD bridge facility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(14,883)</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(5b)</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preliminary fair value adjustment to acquired intangible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(18,707)</w:t>
            </w:r>
          </w:p>
        </w:tc>
        <w:tc>
          <w:tcPr>
            <w:tcW w:w="1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(4b)</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Effect of preliminary fair value adjustment to assumed debt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(4,655)</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(4c)</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 of Acquisition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5,841</w:t>
            </w:r>
          </w:p>
        </w:tc>
        <w:tc>
          <w:tcPr>
            <w:tcW w:w="1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(9a), (4e)</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Reversal of historical WBD equity, net of historical goodwill reversal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(6,704)</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(4f)</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accounting adjustments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Elimination of intercompany transactions</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 forma adjustment</w:t>
            </w: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4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514"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9" w:lineRule="exact"/>
        <w:rPr>
          <w:sz w:val="20"/>
          <w:szCs w:val="20"/>
          <w:color w:val="auto"/>
        </w:rPr>
      </w:pPr>
    </w:p>
    <w:p>
      <w:pPr>
        <w:jc w:val="both"/>
        <w:ind w:left="380" w:hanging="377"/>
        <w:spacing w:after="0" w:line="266" w:lineRule="auto"/>
        <w:rPr>
          <w:sz w:val="20"/>
          <w:szCs w:val="20"/>
          <w:color w:val="auto"/>
        </w:rPr>
      </w:pPr>
      <w:r>
        <w:rPr>
          <w:rFonts w:ascii="Times New Roman" w:cs="Times New Roman" w:eastAsia="Times New Roman" w:hAnsi="Times New Roman"/>
          <w:sz w:val="18"/>
          <w:szCs w:val="18"/>
          <w:color w:val="auto"/>
        </w:rPr>
        <w:t>(4b) The pro forma adjustment reflects the estimated incremental fair value of WBD’s intangible assets of $18.7 billion. Estimated amortization of the intangible assets is recognized on a straight-line basis over their respective estimated useful lives. The estimated amortization period, estimated fair values, and related pro forma adjustments for the incremental amortization expense is presented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straight-line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 period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13-20 years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Franchises</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20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Character rights</w:t>
            </w: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 years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Affiliate relationships</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Advertisers (relationship &amp; backlog)</w:t>
            </w: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years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historical amortization</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 of acquired intangibles was determined as outlined below:</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estimated value of franchises was determined using the multi-period excess earnings method.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estimated value of affiliate relationships was determined using the multi-period excess earnings method.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estimated value of developed technology was determined using the cost approach.</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estimated value of character rights was determined using the multi-period excess earnings method.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estimated value of trade names was determined using the relief from royalty method.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estimated value of advertiser relationships was determined using the with-and-without method.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estimated value of subscriber relationships was determined using the cost approach.</w:t>
      </w:r>
    </w:p>
    <w:p>
      <w:pPr>
        <w:spacing w:after="0" w:line="224" w:lineRule="exact"/>
        <w:rPr>
          <w:sz w:val="20"/>
          <w:szCs w:val="20"/>
          <w:color w:val="auto"/>
        </w:rPr>
      </w:pPr>
    </w:p>
    <w:p>
      <w:pPr>
        <w:jc w:val="both"/>
        <w:ind w:left="380" w:hanging="377"/>
        <w:spacing w:after="0" w:line="282" w:lineRule="auto"/>
        <w:rPr>
          <w:sz w:val="20"/>
          <w:szCs w:val="20"/>
          <w:color w:val="auto"/>
        </w:rPr>
      </w:pPr>
      <w:r>
        <w:rPr>
          <w:rFonts w:ascii="Times New Roman" w:cs="Times New Roman" w:eastAsia="Times New Roman" w:hAnsi="Times New Roman"/>
          <w:sz w:val="18"/>
          <w:szCs w:val="18"/>
          <w:color w:val="auto"/>
        </w:rPr>
        <w:t>(4c) Adjustment includes the fair market value step down of outstanding debt of $4.7 billion and the settlement of WBD’s existing $15.0 billion bridge facility net of $117 million in remaining deferred issuance costs related to the bridge facility, which is described further in Note 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all other assets and liabilities and noncontrolling interests other than those adjusted in (4b) and (4c) and the related tax effects of the Acquisition discussed in Note 9, the book value was deemed to approximate fair value, and therefore no fair value adjustments were recorded.</w:t>
      </w:r>
    </w:p>
    <w:p>
      <w:pPr>
        <w:spacing w:after="0" w:line="162" w:lineRule="exact"/>
        <w:rPr>
          <w:sz w:val="20"/>
          <w:szCs w:val="20"/>
          <w:color w:val="auto"/>
        </w:rPr>
      </w:pPr>
    </w:p>
    <w:p>
      <w:pPr>
        <w:jc w:val="both"/>
        <w:ind w:left="380" w:hanging="377"/>
        <w:spacing w:after="0" w:line="258" w:lineRule="auto"/>
        <w:rPr>
          <w:sz w:val="20"/>
          <w:szCs w:val="20"/>
          <w:color w:val="auto"/>
        </w:rPr>
      </w:pPr>
      <w:r>
        <w:rPr>
          <w:rFonts w:ascii="Times New Roman" w:cs="Times New Roman" w:eastAsia="Times New Roman" w:hAnsi="Times New Roman"/>
          <w:sz w:val="18"/>
          <w:szCs w:val="18"/>
          <w:color w:val="auto"/>
        </w:rPr>
        <w:t>(4d) The pro forma adjustments to "Depreciation and amortization" on the unaudited pro forma Condensed Combined Statements of Operations of $262 million and $212 million for the three months ended March 31, 2026 and year ended December 31, 2025, respectively, reflect the net incremental amortization expense related to the intangible assets. A 10% change in the valuation of finite-lived intangible assets would result in a corresponding increase or decrease in expense of approximately $121 million and $482 million for the three months ended March 31, 2026 and year ended December 31, 2025, respectively, based on the estimated useful lives described above.</w:t>
      </w:r>
    </w:p>
    <w:p>
      <w:pPr>
        <w:spacing w:after="0" w:line="183" w:lineRule="exact"/>
        <w:rPr>
          <w:sz w:val="20"/>
          <w:szCs w:val="20"/>
          <w:color w:val="auto"/>
        </w:rPr>
      </w:pPr>
    </w:p>
    <w:p>
      <w:pPr>
        <w:jc w:val="both"/>
        <w:ind w:left="380" w:hanging="377"/>
        <w:spacing w:after="0" w:line="266" w:lineRule="auto"/>
        <w:rPr>
          <w:sz w:val="20"/>
          <w:szCs w:val="20"/>
          <w:color w:val="auto"/>
        </w:rPr>
      </w:pPr>
      <w:r>
        <w:rPr>
          <w:rFonts w:ascii="Times New Roman" w:cs="Times New Roman" w:eastAsia="Times New Roman" w:hAnsi="Times New Roman"/>
          <w:sz w:val="18"/>
          <w:szCs w:val="18"/>
          <w:color w:val="auto"/>
        </w:rPr>
        <w:t>(4e) The estimated tax impacts of the pro forma adjustments to adjust WBD’s net assets to preliminary estimates of fair value in the unaudited pro forma Condensed Combined Balance Sheet and the related adjustments in the unaudited pro forma Condensed Combined Statements of Operations are reflected using the estimated statutory tax rates of the combined company. See Note 9.</w:t>
      </w:r>
    </w:p>
    <w:p>
      <w:pPr>
        <w:spacing w:after="0" w:line="176" w:lineRule="exact"/>
        <w:rPr>
          <w:sz w:val="20"/>
          <w:szCs w:val="20"/>
          <w:color w:val="auto"/>
        </w:rPr>
      </w:pPr>
    </w:p>
    <w:p>
      <w:pPr>
        <w:jc w:val="both"/>
        <w:ind w:left="380" w:hanging="379"/>
        <w:spacing w:after="0" w:line="266" w:lineRule="auto"/>
        <w:tabs>
          <w:tab w:leader="none" w:pos="360" w:val="left"/>
        </w:tabs>
        <w:rPr>
          <w:sz w:val="20"/>
          <w:szCs w:val="20"/>
          <w:color w:val="auto"/>
        </w:rPr>
      </w:pPr>
      <w:r>
        <w:rPr>
          <w:rFonts w:ascii="Times New Roman" w:cs="Times New Roman" w:eastAsia="Times New Roman" w:hAnsi="Times New Roman"/>
          <w:sz w:val="18"/>
          <w:szCs w:val="18"/>
          <w:color w:val="auto"/>
        </w:rPr>
        <w:t>(4f)</w:t>
        <w:tab/>
        <w:t>The pro forma adjustments reflect the removal of WBD’s historical equity balances, net of the $25.9 billion reversal of historical WBD goodwill, including common stock, additional paid-in capital, retained earnings, and other components of equity. This reflects the adjustments to remeasure WBD’s net assets at fair value as of the acquisition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 FINANCING RELATED ADJUSTMENTS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financing assumptions related to the Acquisition, including the issuance of debt, repayment and refinancing of existing indebtedness. Specifically, these unaudited pro forma condensed combined financial statements assume (i) the issuance of the $2.5 billion Term A-1 Loans and $2.5 billion Term A-2 Loans, (ii) the issuance of the $49.0 billion 364 Day senior secured bridge term loan facility used to fund the acquisition, (iii) the issuance of $12.8 billion of New PSKY Notes in exchange for $12.8 billion of Existing WBD Notes (assuming 100% participation in the Exchange Offers), (iv) that $2.4 billion of Existing WBD Notes are tendered for cash (assuming 100% participation in the Tender Offers) and (v) the settlement of WBD’s existing $15.0 billion bridge facility. The pro forma adjustments are based on financing commitments that are in place as of the date of this filing and do not reflect the impact of any future refinancings or changes in capital structure that may occur prior to or following the consummation of the Acquisition. While not reflected in the pro forma financial statements, future refinancings are expected to result in a lower interest 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Adjustments: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Repayment</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WBD Bridge</w:t>
            </w: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20" w:type="dxa"/>
            <w:vAlign w:val="bottom"/>
            <w:gridSpan w:val="3"/>
            <w:vMerge w:val="restart"/>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Tender</w:t>
            </w:r>
          </w:p>
        </w:tc>
        <w:tc>
          <w:tcPr>
            <w:tcW w:w="9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Financing</w:t>
            </w:r>
          </w:p>
        </w:tc>
        <w:tc>
          <w:tcPr>
            <w:tcW w:w="120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gridSpan w:val="3"/>
          </w:tcPr>
          <w:p>
            <w:pPr>
              <w:jc w:val="right"/>
              <w:ind w:right="260"/>
              <w:spacing w:after="0" w:line="256" w:lineRule="exact"/>
              <w:rPr>
                <w:sz w:val="20"/>
                <w:szCs w:val="20"/>
                <w:color w:val="auto"/>
              </w:rPr>
            </w:pPr>
            <w:r>
              <w:rPr>
                <w:rFonts w:ascii="Times New Roman" w:cs="Times New Roman" w:eastAsia="Times New Roman" w:hAnsi="Times New Roman"/>
                <w:sz w:val="18"/>
                <w:szCs w:val="18"/>
                <w:b w:val="1"/>
                <w:bCs w:val="1"/>
                <w:color w:val="auto"/>
                <w:w w:val="95"/>
              </w:rPr>
              <w:t xml:space="preserve">Issuance </w:t>
            </w:r>
            <w:r>
              <w:rPr>
                <w:rFonts w:ascii="Times New Roman" w:cs="Times New Roman" w:eastAsia="Times New Roman" w:hAnsi="Times New Roman"/>
                <w:sz w:val="29"/>
                <w:szCs w:val="29"/>
                <w:b w:val="1"/>
                <w:bCs w:val="1"/>
                <w:color w:val="auto"/>
                <w:w w:val="95"/>
                <w:vertAlign w:val="superscript"/>
              </w:rPr>
              <w:t>(5a)</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(5b)</w:t>
            </w:r>
          </w:p>
        </w:tc>
        <w:tc>
          <w:tcPr>
            <w:tcW w:w="1200" w:type="dxa"/>
            <w:vAlign w:val="bottom"/>
            <w:gridSpan w:val="2"/>
          </w:tcPr>
          <w:p>
            <w:pPr>
              <w:jc w:val="right"/>
              <w:ind w:right="36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Offer </w:t>
            </w:r>
            <w:r>
              <w:rPr>
                <w:rFonts w:ascii="Times New Roman" w:cs="Times New Roman" w:eastAsia="Times New Roman" w:hAnsi="Times New Roman"/>
                <w:sz w:val="29"/>
                <w:szCs w:val="29"/>
                <w:b w:val="1"/>
                <w:bCs w:val="1"/>
                <w:color w:val="auto"/>
                <w:vertAlign w:val="superscript"/>
              </w:rPr>
              <w:t>(5c)</w:t>
            </w:r>
          </w:p>
        </w:tc>
        <w:tc>
          <w:tcPr>
            <w:tcW w:w="1220" w:type="dxa"/>
            <w:vAlign w:val="bottom"/>
            <w:gridSpan w:val="3"/>
          </w:tcPr>
          <w:p>
            <w:pPr>
              <w:jc w:val="right"/>
              <w:ind w:right="276"/>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Offer </w:t>
            </w:r>
            <w:r>
              <w:rPr>
                <w:rFonts w:ascii="Times New Roman" w:cs="Times New Roman" w:eastAsia="Times New Roman" w:hAnsi="Times New Roman"/>
                <w:sz w:val="29"/>
                <w:szCs w:val="29"/>
                <w:b w:val="1"/>
                <w:bCs w:val="1"/>
                <w:color w:val="auto"/>
                <w:vertAlign w:val="superscript"/>
              </w:rPr>
              <w:t>(5d)</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Commitments</w:t>
            </w:r>
          </w:p>
        </w:tc>
        <w:tc>
          <w:tcPr>
            <w:tcW w:w="1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48,314</w:t>
            </w:r>
          </w:p>
        </w:tc>
        <w:tc>
          <w:tcPr>
            <w:tcW w:w="2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New 3-year Term A-1 Loans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2,492</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5-year Term A-2 Loans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2,492</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New Second Lien Secured Exchange Notes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10,852</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WBD Long-term Debt</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(14,883)</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(10,884)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hanging="377"/>
        <w:spacing w:after="0" w:line="266" w:lineRule="auto"/>
        <w:rPr>
          <w:sz w:val="20"/>
          <w:szCs w:val="20"/>
          <w:color w:val="auto"/>
        </w:rPr>
      </w:pPr>
      <w:r>
        <w:rPr>
          <w:rFonts w:ascii="Times New Roman" w:cs="Times New Roman" w:eastAsia="Times New Roman" w:hAnsi="Times New Roman"/>
          <w:sz w:val="18"/>
          <w:szCs w:val="18"/>
          <w:color w:val="auto"/>
        </w:rPr>
        <w:t>(5a) The adjustments reflect the impact of the issuance of the $2.5 billion Term A-1 Loans and $2.5 billion Term A-2 Loans and $49.0 billion 364-day senior secured bridge term loan facility used to fund the acquisition, net of debt issuance cost of $686 million. $53.3 billion of cash was reflected on the unaudited pro forma Condensed Combined Balance Sheet in connection with the issuance of debt.</w:t>
      </w:r>
    </w:p>
    <w:p>
      <w:pPr>
        <w:spacing w:after="0" w:line="176" w:lineRule="exact"/>
        <w:rPr>
          <w:sz w:val="20"/>
          <w:szCs w:val="20"/>
          <w:color w:val="auto"/>
        </w:rPr>
      </w:pPr>
    </w:p>
    <w:p>
      <w:pPr>
        <w:jc w:val="both"/>
        <w:ind w:left="380" w:hanging="377"/>
        <w:spacing w:after="0" w:line="266" w:lineRule="auto"/>
        <w:rPr>
          <w:sz w:val="20"/>
          <w:szCs w:val="20"/>
          <w:color w:val="auto"/>
        </w:rPr>
      </w:pPr>
      <w:r>
        <w:rPr>
          <w:rFonts w:ascii="Times New Roman" w:cs="Times New Roman" w:eastAsia="Times New Roman" w:hAnsi="Times New Roman"/>
          <w:sz w:val="18"/>
          <w:szCs w:val="18"/>
          <w:color w:val="auto"/>
        </w:rPr>
        <w:t>(5b) The adjustment reflects a transaction accounting adjustment related to the settlement of WBD’s existing $15.0 billion bridge facility net of $117 million in remaining deferred issuance costs related to the bridge loan. The bridge loan will be replaced or refinanced, if not refinanced by WBD prior to closing, subject to the related cooperation requirements in the WBD Merger Agreement. Refer to Note 3.</w:t>
      </w:r>
    </w:p>
    <w:p>
      <w:pPr>
        <w:spacing w:after="0" w:line="176" w:lineRule="exact"/>
        <w:rPr>
          <w:sz w:val="20"/>
          <w:szCs w:val="20"/>
          <w:color w:val="auto"/>
        </w:rPr>
      </w:pPr>
    </w:p>
    <w:p>
      <w:pPr>
        <w:jc w:val="both"/>
        <w:ind w:left="380" w:hanging="377"/>
        <w:spacing w:after="0" w:line="254" w:lineRule="auto"/>
        <w:rPr>
          <w:sz w:val="20"/>
          <w:szCs w:val="20"/>
          <w:color w:val="auto"/>
        </w:rPr>
      </w:pPr>
      <w:r>
        <w:rPr>
          <w:rFonts w:ascii="Times New Roman" w:cs="Times New Roman" w:eastAsia="Times New Roman" w:hAnsi="Times New Roman"/>
          <w:sz w:val="18"/>
          <w:szCs w:val="18"/>
          <w:color w:val="auto"/>
        </w:rPr>
        <w:t xml:space="preserve">(5c) The adjustments reflect the impact of the Exchange Offers, specifically the $32 million of payments to bondholders, in connection with the Exchange Offers, assuming that 100% of the Existing WBD Notes subject to the Exchange Offers will be exchanged in full in the applicable Exchange Offer. The Company expects to account for the Exchange Offers as debt modifications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because all key terms of the New PSKY Notes are expected to be consistent with the current terms. Accordingly, the payments to the holders are reflected as a reduction in the carrying value. The carrying value of the Existing WBD Notes and the fair value of the New PSKY Notes has been assumed to be equal to the estimated fair value of the Existing WBD Notes assumed in the Acquisition. Estimated third-party expenses of $24 million are included within “Restructuring, transaction-related items, and other corporate matters.” Further, the fair value of the New PSKY Notes are expected to be similar to the fair value of the debt assumed in the transaction.</w:t>
      </w:r>
    </w:p>
    <w:p>
      <w:pPr>
        <w:spacing w:after="0" w:line="192" w:lineRule="exact"/>
        <w:rPr>
          <w:sz w:val="20"/>
          <w:szCs w:val="20"/>
          <w:color w:val="auto"/>
        </w:rPr>
      </w:pPr>
    </w:p>
    <w:p>
      <w:pPr>
        <w:jc w:val="both"/>
        <w:ind w:left="380" w:hanging="377"/>
        <w:spacing w:after="0" w:line="254" w:lineRule="auto"/>
        <w:rPr>
          <w:sz w:val="20"/>
          <w:szCs w:val="20"/>
          <w:color w:val="auto"/>
        </w:rPr>
      </w:pPr>
      <w:r>
        <w:rPr>
          <w:rFonts w:ascii="Times New Roman" w:cs="Times New Roman" w:eastAsia="Times New Roman" w:hAnsi="Times New Roman"/>
          <w:sz w:val="18"/>
          <w:szCs w:val="18"/>
          <w:color w:val="auto"/>
        </w:rPr>
        <w:t>(5d) The adjustments reflect the impact of the Tender Offers, specifically the purchase of (i) the DCL Issuer’s $1.2 billion aggregate principal amount of 3.950% Senior Notes due 2028 with a carrying amount of $1.252 billion and (ii) the DGH Issuer’s $1.2 billion aggregate principal amount of 3.755% Senior Notes due 2027 with a carrying amount of $1.207 billion, assuming that 100% of the Existing WBD Notes subject to the Tender Offers will be tendered in the applicable Tender Offer. The estimated cash consideration for the Existing WBD Notes subject to the Tender Offers of $2.4 billion, was determined based on a fixed-spread pricing formula linked to the yield on the applicable Reference Treasury Security determined as of March 31, 2026. The estimated gain on extinguishment of debt of $11 million, is reflected in the unaudited pro forma Condensed Combined Statement of Operations for the year ended December 31, 2025. Estimated payments to bondholders and third-party expenses of $10 million are included within “Restructuring, transaction-related items, and other corporate matters.”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Operations Adjustments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(5e) The adjustments reflect the following increases (decreases) to Interest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13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interest expense on new financing (1)</w:t>
            </w:r>
          </w:p>
        </w:tc>
        <w:tc>
          <w:tcPr>
            <w:tcW w:w="2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adjustments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080" w:type="dxa"/>
            <w:vAlign w:val="bottom"/>
          </w:tcPr>
          <w:p>
            <w:pPr>
              <w:spacing w:after="0"/>
              <w:rPr>
                <w:sz w:val="17"/>
                <w:szCs w:val="17"/>
                <w:color w:val="auto"/>
              </w:rPr>
            </w:pPr>
          </w:p>
        </w:tc>
        <w:tc>
          <w:tcPr>
            <w:tcW w:w="2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Transaction accounting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historical interest expense on WBD bridge facility (2)</w:t>
            </w:r>
          </w:p>
        </w:tc>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0"/>
                <w:szCs w:val="20"/>
                <w:color w:val="auto"/>
              </w:rPr>
            </w:pPr>
          </w:p>
        </w:tc>
        <w:tc>
          <w:tcPr>
            <w:tcW w:w="1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20"/>
                <w:szCs w:val="20"/>
                <w:color w:val="auto"/>
              </w:rPr>
            </w:pPr>
          </w:p>
        </w:tc>
        <w:tc>
          <w:tcPr>
            <w:tcW w:w="13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(647)</w:t>
            </w: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 of historical interest expense on debt subject to fair</w:t>
            </w:r>
          </w:p>
        </w:tc>
        <w:tc>
          <w:tcPr>
            <w:tcW w:w="27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Transaction accounting</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 value step down</w:t>
            </w:r>
          </w:p>
        </w:tc>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20"/>
                <w:szCs w:val="20"/>
                <w:color w:val="auto"/>
              </w:rPr>
            </w:pPr>
          </w:p>
        </w:tc>
        <w:tc>
          <w:tcPr>
            <w:tcW w:w="170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(161)</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Elimination of historical interest expense on WBD loans settled</w:t>
            </w:r>
          </w:p>
        </w:tc>
        <w:tc>
          <w:tcPr>
            <w:tcW w:w="2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Transaction accounting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through the Tender Offers (3)</w:t>
            </w:r>
          </w:p>
        </w:tc>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0"/>
                <w:szCs w:val="20"/>
                <w:color w:val="auto"/>
              </w:rPr>
            </w:pPr>
          </w:p>
        </w:tc>
        <w:tc>
          <w:tcPr>
            <w:tcW w:w="1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13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debt issuance costs (4)</w:t>
            </w:r>
          </w:p>
        </w:tc>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adjustments</w:t>
            </w:r>
          </w:p>
        </w:tc>
        <w:tc>
          <w:tcPr>
            <w:tcW w:w="160" w:type="dxa"/>
            <w:vAlign w:val="bottom"/>
            <w:shd w:val="clear" w:color="auto" w:fill="CCEEFF"/>
          </w:tcPr>
          <w:p>
            <w:pPr>
              <w:spacing w:after="0"/>
              <w:rPr>
                <w:sz w:val="19"/>
                <w:szCs w:val="19"/>
                <w:color w:val="auto"/>
              </w:rPr>
            </w:pPr>
          </w:p>
        </w:tc>
        <w:tc>
          <w:tcPr>
            <w:tcW w:w="170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9"/>
                <w:szCs w:val="19"/>
                <w:color w:val="auto"/>
              </w:rPr>
            </w:pPr>
          </w:p>
        </w:tc>
      </w:tr>
      <w:tr>
        <w:trPr>
          <w:trHeight w:val="210"/>
        </w:trPr>
        <w:tc>
          <w:tcPr>
            <w:tcW w:w="508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80" w:type="dxa"/>
            <w:vAlign w:val="bottom"/>
            <w:tcBorders>
              <w:bottom w:val="single" w:sz="8" w:color="CCEEFF"/>
            </w:tcBorders>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financing adjustments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4,837</w:t>
            </w:r>
          </w:p>
        </w:tc>
        <w:tc>
          <w:tcPr>
            <w:tcW w:w="80" w:type="dxa"/>
            <w:vAlign w:val="bottom"/>
            <w:shd w:val="clear" w:color="auto" w:fill="CCEEFF"/>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transaction accounting adjustments</w:t>
            </w:r>
          </w:p>
        </w:tc>
        <w:tc>
          <w:tcPr>
            <w:tcW w:w="2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5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additional interest expense in connection with the Term A-1 Loans and Term A-2 Loans and in connection with the 364-day senior secured bridge term loan facility, net of $172 million and $705 million of amortization of deferred financing charges during the three months ended March 31, 2026 and year ended December 31, 2025, respectively.</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on the Term A-1 Loans and Term A-2 Loans and 364-day senior secured bridge term loan facility are calculated using the SOFR adjusted for a margin and are initially estimated to be approximately 5.94% and 6.98% respectively.</w:t>
      </w:r>
    </w:p>
    <w:p>
      <w:pPr>
        <w:spacing w:after="0" w:line="161"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sensitivity analysis on interest expense with respect to the variable rate Term A-1 Loans and Term A-2 Loans and 364-day senior secured bridge term loan facility for the three months ended March 31, 2026 and the year ended December 31, 2025, has been performed to assess the effect of a change of 0.125% of the hypothetical interest rate. A change in the interest rate of 0.125% would result in a change in estimated interest expense of $17 million and $68 million for the three months ended March 31, 2026 and year ended December 31, 2025 respectively. A change in interest rate of 1% would result in a change in estimated interest expense of $132 million and $541 million for the three months ended March 31, 2026 and year ended December 31, 2025, respectively.</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historical interest expense as a result of the settlement of WBD’s existing $15.0 billion bridge facility.</w:t>
      </w:r>
    </w:p>
    <w:p>
      <w:pPr>
        <w:spacing w:after="0" w:line="225"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elimination of historical interest expense related to historical WBD debt repurchased as a result of the Tender Offers, assuming that 100% the Existing WBD Notes subject to the Tender Offers will be tendered in the applicable Tender Offer. Assumes the New PSKY Notes exchanged for Existing WBD Notes in the Exchange Offers bear the same rates of interest as the Existing WBD Notes for which they are exchanged. Subject to the terms of the Exchange Offers, certain series of Existing WBD Notes may be offered New PSKY Notes with interest rates that are higher than the interest rates that currently apply to such Existing WBD Notes. For purposes of these pro forma financial statements, the Company has assumed 100% participation in the Exchange Offers and Tender Offers; however, any Existing WBD Notes not exchanged or tendered will continue to bear interest at the rates currently applicable to the Existing WBD Notes.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issuance costs associated with the new debt issued by Paramount.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PRESENTATION OF ADJUSTED PARAMOUNT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w:t>
      </w: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consolidated Statement of Operations of Paramount Skydance Corporation from August 7, 2025 to December 31, 2025 (Successor) and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Skydance Transactions and NAI Transaction as if they had closed on January 1, 2025. As a result of the pushdown of the Ultimate Parent’s basis described in Note 1,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historical financial information of Skydance included in the unaudited pro forma condensed combined financial statements reflects certain reclassifications to conform to the Company’s presentation.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5"/>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9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Skydance</w:t>
            </w:r>
          </w:p>
        </w:tc>
        <w:tc>
          <w:tcPr>
            <w:tcW w:w="500" w:type="dxa"/>
            <w:vAlign w:val="bottom"/>
          </w:tcPr>
          <w:p>
            <w:pPr>
              <w:spacing w:after="0"/>
              <w:rPr>
                <w:sz w:val="18"/>
                <w:szCs w:val="18"/>
                <w:color w:val="auto"/>
              </w:rPr>
            </w:pPr>
          </w:p>
        </w:tc>
        <w:tc>
          <w:tcPr>
            <w:tcW w:w="1200" w:type="dxa"/>
            <w:vAlign w:val="bottom"/>
            <w:gridSpan w:val="3"/>
            <w:vMerge w:val="restart"/>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500" w:type="dxa"/>
            <w:vAlign w:val="bottom"/>
          </w:tcPr>
          <w:p>
            <w:pPr>
              <w:spacing w:after="0"/>
              <w:rPr>
                <w:sz w:val="18"/>
                <w:szCs w:val="18"/>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to Paramount</w:t>
            </w:r>
          </w:p>
        </w:tc>
        <w:tc>
          <w:tcPr>
            <w:tcW w:w="500" w:type="dxa"/>
            <w:vAlign w:val="bottom"/>
          </w:tcPr>
          <w:p>
            <w:pPr>
              <w:spacing w:after="0"/>
              <w:rPr>
                <w:sz w:val="18"/>
                <w:szCs w:val="18"/>
                <w:color w:val="auto"/>
              </w:rPr>
            </w:pPr>
          </w:p>
        </w:tc>
        <w:tc>
          <w:tcPr>
            <w:tcW w:w="10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Paramount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Paramount</w:t>
            </w:r>
          </w:p>
        </w:tc>
        <w:tc>
          <w:tcPr>
            <w:tcW w:w="110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Skydance</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Global</w:t>
            </w:r>
          </w:p>
        </w:tc>
        <w:tc>
          <w:tcPr>
            <w:tcW w:w="500" w:type="dxa"/>
            <w:vAlign w:val="bottom"/>
          </w:tcPr>
          <w:p>
            <w:pPr>
              <w:spacing w:after="0"/>
              <w:rPr>
                <w:sz w:val="18"/>
                <w:szCs w:val="18"/>
                <w:color w:val="auto"/>
              </w:rPr>
            </w:pPr>
          </w:p>
        </w:tc>
        <w:tc>
          <w:tcPr>
            <w:tcW w:w="10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Skydance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w:t>
            </w:r>
          </w:p>
        </w:tc>
        <w:tc>
          <w:tcPr>
            <w:tcW w:w="11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Skydance</w:t>
            </w:r>
          </w:p>
        </w:tc>
        <w:tc>
          <w:tcPr>
            <w:tcW w:w="80" w:type="dxa"/>
            <w:vAlign w:val="bottom"/>
          </w:tcPr>
          <w:p>
            <w:pPr>
              <w:spacing w:after="0"/>
              <w:rPr>
                <w:sz w:val="18"/>
                <w:szCs w:val="18"/>
                <w:color w:val="auto"/>
              </w:rPr>
            </w:pPr>
          </w:p>
        </w:tc>
        <w:tc>
          <w:tcPr>
            <w:tcW w:w="10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Media,</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Corp.</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Global (1)</w:t>
            </w:r>
          </w:p>
        </w:tc>
        <w:tc>
          <w:tcPr>
            <w:tcW w:w="100" w:type="dxa"/>
            <w:vAlign w:val="bottom"/>
          </w:tcPr>
          <w:p>
            <w:pPr>
              <w:spacing w:after="0"/>
              <w:rPr>
                <w:sz w:val="20"/>
                <w:szCs w:val="20"/>
                <w:color w:val="auto"/>
              </w:rPr>
            </w:pPr>
          </w:p>
        </w:tc>
        <w:tc>
          <w:tcPr>
            <w:tcW w:w="10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Corp. (2)</w:t>
            </w:r>
          </w:p>
        </w:tc>
        <w:tc>
          <w:tcPr>
            <w:tcW w:w="80" w:type="dxa"/>
            <w:vAlign w:val="bottom"/>
          </w:tcPr>
          <w:p>
            <w:pPr>
              <w:spacing w:after="0"/>
              <w:rPr>
                <w:sz w:val="20"/>
                <w:szCs w:val="20"/>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LLC (3)</w:t>
            </w:r>
          </w:p>
        </w:tc>
        <w:tc>
          <w:tcPr>
            <w:tcW w:w="10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Basis (1)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6a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8,408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6b</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6i</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Programming charges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2,594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674</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6e</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Restructuring, transaction-related items, and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corporate matters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21"/>
                <w:szCs w:val="21"/>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6c</w:t>
            </w:r>
          </w:p>
        </w:tc>
        <w:tc>
          <w:tcPr>
            <w:tcW w:w="12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6f</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6g</w:t>
            </w:r>
          </w:p>
        </w:tc>
        <w:tc>
          <w:tcPr>
            <w:tcW w:w="1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78"/>
        </w:trPr>
        <w:tc>
          <w:tcPr>
            <w:tcW w:w="35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Earnings (loss) before income taxes and equity</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loss of investee companies</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(625)</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6d</w:t>
            </w:r>
          </w:p>
        </w:tc>
        <w:tc>
          <w:tcPr>
            <w:tcW w:w="12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153</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6h</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earnings attributable to noncontrolling</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Parent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historical results of Paramount Global and pro forma adjustments for the period from January 1, 2025 to August 6,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historical results for the period from August 7, 2025 through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historical results of Skydance for the period from January 1, 2025 to August 6, 2025, derived from the historical books and records of Skydance.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9" w:lineRule="exact"/>
        <w:rPr>
          <w:sz w:val="20"/>
          <w:szCs w:val="20"/>
          <w:color w:val="auto"/>
        </w:rPr>
      </w:pPr>
    </w:p>
    <w:p>
      <w:pPr>
        <w:jc w:val="both"/>
        <w:ind w:left="380" w:hanging="377"/>
        <w:spacing w:after="0" w:line="266" w:lineRule="auto"/>
        <w:rPr>
          <w:sz w:val="20"/>
          <w:szCs w:val="20"/>
          <w:color w:val="auto"/>
        </w:rPr>
      </w:pPr>
      <w:r>
        <w:rPr>
          <w:rFonts w:ascii="Times New Roman" w:cs="Times New Roman" w:eastAsia="Times New Roman" w:hAnsi="Times New Roman"/>
          <w:sz w:val="18"/>
          <w:szCs w:val="18"/>
          <w:color w:val="auto"/>
        </w:rPr>
        <w:t>(6a) The pro forma adjustment to “Revenues” reflects a reduction of $51 million primarily for Skydance’s co-participant share of revenues for feature film and television productions with Paramount that would have been eliminated upon consolidation if the Skydance Transactions had occurred on January 1, 2025.</w:t>
      </w:r>
    </w:p>
    <w:p>
      <w:pPr>
        <w:spacing w:after="0" w:line="176"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18"/>
          <w:szCs w:val="18"/>
          <w:color w:val="auto"/>
        </w:rPr>
        <w:t>(6b) “Operating” expenses has been adjusted for the impact of intercompany transactions between Paramount and Skydance, including elimination of Paramount’s participation expenses related to Skydance’s proportionate share of revenue for co-production titles, recorded on a gross basis by Paramount and adjustments to the historical amortization of production costs that would have been recorded for co-production titles had Paramount and Skydance been a combined entity during the Predecessor period.</w:t>
      </w:r>
    </w:p>
    <w:p>
      <w:pPr>
        <w:spacing w:after="0" w:line="180"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(6c) The transaction accounting adjustment to “Interest expense, net” reflects the impact of the repayment of outstanding borrowings under Skydance’s revolving credit facility in connection with the closing of the Skydance Transactions. Interest expense would have decreased by $14 million if the Skydance Transactions and NAI Transaction had occurred on January 1, 2025.</w:t>
      </w:r>
    </w:p>
    <w:p>
      <w:pPr>
        <w:spacing w:after="0" w:line="176" w:lineRule="exact"/>
        <w:rPr>
          <w:sz w:val="20"/>
          <w:szCs w:val="20"/>
          <w:color w:val="auto"/>
        </w:rPr>
      </w:pPr>
    </w:p>
    <w:p>
      <w:pPr>
        <w:jc w:val="both"/>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(6d) The transaction accounting adjustment to “Benefit from income taxes” reflects an increase to the tax benefit of $47 million for the inclusion of Skydance in Paramount’s consolidated income tax calculation for the Predecessor period.</w:t>
      </w:r>
    </w:p>
    <w:p>
      <w:pPr>
        <w:spacing w:after="0" w:line="162"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(6e) The pro forma adjustment to “Depreciation and amortization” reflects the impact from the changes to Paramount Global’s historical basis applied as if the Skydance Transactions and NAI Transaction had occurred on January 1, 2025. The adjustment of $674 million principally reflects net incremental amortization expense related to identified finite-lived intangible assets.</w:t>
      </w:r>
    </w:p>
    <w:p>
      <w:pPr>
        <w:spacing w:after="0" w:line="176"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(6f) The pro forma adjustment of $31 million to “Interest expense, net” reflects the amortization of the fair value adjustment to debt, partially offset by the removal of the amortization of debt issuance costs as the unamortized debt issuance costs relating to Paramount Global’s debt were reversed in connection with recording the debt at fair value.</w:t>
      </w:r>
    </w:p>
    <w:p>
      <w:pPr>
        <w:spacing w:after="0" w:line="176"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(6g) The pro forma adjustment of $80 million to “Other items, net” reflects the reversal of the amortization of net actuarial losses for Paramount Global’s pension and other postretirement benefit plans. Paramount Global’s historical equity accounts were reversed in connection with the pushdown of the Ultimate Parent’s basis.</w:t>
      </w:r>
    </w:p>
    <w:p>
      <w:pPr>
        <w:spacing w:after="0" w:line="176"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(6h) The pro forma adjustment of $153 million to “Benefit from income taxes” for the year ended December 31, 2025 reflects the tax impacts of the pro forma adjustments to Paramount Global’s basis as if the Skydance Transactions and NAI Transaction had occurred on January 1, 2025.</w:t>
      </w:r>
    </w:p>
    <w:p>
      <w:pPr>
        <w:spacing w:after="0" w:line="162"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(6i) The unaudited pro forma Condensed Combined Statements of Operations do not include any pro forma adjustments to “Operating expenses” as a result of recording Paramount Global’s programming assets at their estimated fair values. It is not practicable to estimate the impact of the fair value adjustments on historical content amortization expense because Paramount’s content portfolio at any point in time is comprised of numerous assets with a different mix of useful lives and amortization patterns that limit the comparability of the content portfolio as of the closing of the Skydance Transactions to the content portfolio in prior historical periods.</w:t>
      </w:r>
    </w:p>
    <w:p>
      <w:pPr>
        <w:spacing w:after="0" w:line="183"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(6j) The Paramount Adjusted basic and diluted weighted average number of common shares outstanding of 1,099 million for the year ended December 31, 2025 is calculated based on a weighted average of the number of days in each of the Predecessor and Successor periods, as further detailed in the table below. Since the unaudited pro forma condensed combined Statement of Operations gives effect to the Skydance Transactions as if they occurred on January 1, 2025, the weighted average number of common shares outstanding for the Predecessor period has been adjusted to reflect the actual common shares outstanding of 1,096 million as of August 7, 2025 following the closing of the Skydance Transactions.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1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Days in Period</w:t>
            </w:r>
          </w:p>
        </w:tc>
        <w:tc>
          <w:tcPr>
            <w:tcW w:w="2980" w:type="dxa"/>
            <w:vAlign w:val="bottom"/>
          </w:tcPr>
          <w:p>
            <w:pPr>
              <w:spacing w:after="0"/>
              <w:rPr>
                <w:sz w:val="20"/>
                <w:szCs w:val="20"/>
                <w:color w:val="auto"/>
              </w:rPr>
            </w:pPr>
          </w:p>
        </w:tc>
      </w:tr>
      <w:tr>
        <w:trPr>
          <w:trHeight w:val="178"/>
        </w:trPr>
        <w:tc>
          <w:tcPr>
            <w:tcW w:w="400" w:type="dxa"/>
            <w:vAlign w:val="bottom"/>
          </w:tcPr>
          <w:p>
            <w:pPr>
              <w:spacing w:after="0"/>
              <w:rPr>
                <w:sz w:val="15"/>
                <w:szCs w:val="15"/>
                <w:color w:val="auto"/>
              </w:rPr>
            </w:pPr>
          </w:p>
        </w:tc>
        <w:tc>
          <w:tcPr>
            <w:tcW w:w="3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Predecessor Period January 1, 2025-August 6,</w:t>
            </w:r>
          </w:p>
        </w:tc>
        <w:tc>
          <w:tcPr>
            <w:tcW w:w="100" w:type="dxa"/>
            <w:vAlign w:val="bottom"/>
            <w:tcBorders>
              <w:top w:val="single" w:sz="8" w:color="CCEEFF"/>
            </w:tcBorders>
            <w:shd w:val="clear" w:color="auto" w:fill="CCEEFF"/>
          </w:tcPr>
          <w:p>
            <w:pPr>
              <w:spacing w:after="0"/>
              <w:rPr>
                <w:sz w:val="15"/>
                <w:szCs w:val="15"/>
                <w:color w:val="auto"/>
              </w:rPr>
            </w:pPr>
          </w:p>
        </w:tc>
        <w:tc>
          <w:tcPr>
            <w:tcW w:w="2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980" w:type="dxa"/>
            <w:vAlign w:val="bottom"/>
          </w:tcPr>
          <w:p>
            <w:pPr>
              <w:spacing w:after="0"/>
              <w:rPr>
                <w:sz w:val="15"/>
                <w:szCs w:val="15"/>
                <w:color w:val="auto"/>
              </w:rPr>
            </w:pPr>
          </w:p>
        </w:tc>
      </w:tr>
      <w:tr>
        <w:trPr>
          <w:trHeight w:val="234"/>
        </w:trPr>
        <w:tc>
          <w:tcPr>
            <w:tcW w:w="40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20"/>
                <w:szCs w:val="20"/>
                <w:color w:val="auto"/>
              </w:rPr>
            </w:pPr>
          </w:p>
        </w:tc>
        <w:tc>
          <w:tcPr>
            <w:tcW w:w="2980" w:type="dxa"/>
            <w:vAlign w:val="bottom"/>
          </w:tcPr>
          <w:p>
            <w:pPr>
              <w:spacing w:after="0"/>
              <w:rPr>
                <w:sz w:val="20"/>
                <w:szCs w:val="20"/>
                <w:color w:val="auto"/>
              </w:rPr>
            </w:pPr>
          </w:p>
        </w:tc>
      </w:tr>
      <w:tr>
        <w:trPr>
          <w:trHeight w:val="198"/>
        </w:trPr>
        <w:tc>
          <w:tcPr>
            <w:tcW w:w="400" w:type="dxa"/>
            <w:vAlign w:val="bottom"/>
          </w:tcPr>
          <w:p>
            <w:pPr>
              <w:spacing w:after="0"/>
              <w:rPr>
                <w:sz w:val="17"/>
                <w:szCs w:val="17"/>
                <w:color w:val="auto"/>
              </w:rPr>
            </w:pPr>
          </w:p>
        </w:tc>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Successor Period August 7, 2025 –</w:t>
            </w: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34"/>
        </w:trPr>
        <w:tc>
          <w:tcPr>
            <w:tcW w:w="3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December 31, 2025</w:t>
            </w:r>
          </w:p>
        </w:tc>
        <w:tc>
          <w:tcPr>
            <w:tcW w:w="3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194"/>
        </w:trPr>
        <w:tc>
          <w:tcPr>
            <w:tcW w:w="400" w:type="dxa"/>
            <w:vAlign w:val="bottom"/>
          </w:tcPr>
          <w:p>
            <w:pPr>
              <w:spacing w:after="0"/>
              <w:rPr>
                <w:sz w:val="16"/>
                <w:szCs w:val="16"/>
                <w:color w:val="auto"/>
              </w:rPr>
            </w:pPr>
          </w:p>
        </w:tc>
        <w:tc>
          <w:tcPr>
            <w:tcW w:w="3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Paramount, Adjusted January 1, 2025 –</w:t>
            </w:r>
          </w:p>
        </w:tc>
        <w:tc>
          <w:tcPr>
            <w:tcW w:w="10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980" w:type="dxa"/>
            <w:vAlign w:val="bottom"/>
          </w:tcPr>
          <w:p>
            <w:pPr>
              <w:spacing w:after="0"/>
              <w:rPr>
                <w:sz w:val="16"/>
                <w:szCs w:val="16"/>
                <w:color w:val="auto"/>
              </w:rPr>
            </w:pPr>
          </w:p>
        </w:tc>
      </w:tr>
      <w:tr>
        <w:trPr>
          <w:trHeight w:val="238"/>
        </w:trPr>
        <w:tc>
          <w:tcPr>
            <w:tcW w:w="40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1,099</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80" w:type="dxa"/>
            <w:vAlign w:val="bottom"/>
            <w:shd w:val="clear" w:color="auto" w:fill="CCEEFF"/>
          </w:tcPr>
          <w:p>
            <w:pPr>
              <w:spacing w:after="0"/>
              <w:rPr>
                <w:sz w:val="20"/>
                <w:szCs w:val="20"/>
                <w:color w:val="auto"/>
              </w:rPr>
            </w:pPr>
          </w:p>
        </w:tc>
        <w:tc>
          <w:tcPr>
            <w:tcW w:w="2980" w:type="dxa"/>
            <w:vAlign w:val="bottom"/>
          </w:tcPr>
          <w:p>
            <w:pPr>
              <w:spacing w:after="0"/>
              <w:rPr>
                <w:sz w:val="20"/>
                <w:szCs w:val="20"/>
                <w:color w:val="auto"/>
              </w:rPr>
            </w:pPr>
          </w:p>
        </w:tc>
      </w:tr>
      <w:tr>
        <w:trPr>
          <w:trHeight w:val="648"/>
        </w:trPr>
        <w:tc>
          <w:tcPr>
            <w:tcW w:w="4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 PARAMOUNT-WBD INTERCOMPANY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Transactions between Paramount and WBD primarily include content licensing, co-production, and advertising arrangements. The unaudited Pro Forma Condensed Combined Statements of Operations include estimated adjustments to eliminate transactions between Paramount and WBD for content licensing, co-production, and advertising arrangements, consisting of revenues and expenses recognized as part of the intercompany transactions and adjustments to the amortization expense for the profit in capitalized content licenses. The unaudited Pro Forma Condensed Combined Balance Sheet includes adjustments to eliminate “Accounts Receivable” and “Accounts Payable” between Paramount and WBD for content licensing and advertising arrangements, the elimination of intercompany profit on content licensing arrangements recorded within “Programming and other inventory”, and the elimination of “Accrued programming and production costs” related to programming obligations between Paramount and WBD. “Goodwill” was also adjusted to eliminate intercompany profit on content licensing arrangements to reflect the impact of the elimination on retained earnings that is adjusted against goodwill as part of purchase accounting. Prior to recording the elimination adjustments described above, an adjustment was recorded to reinstate $211 million of “Accounts Receivable” offset by a corresponding liability within “Other current liabilities” that relates to WBD receivables from Paramount that would be repurchased as a result of the Acquisition under the terms of WBD’s securitization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TRANSACTION ACCOUNTING ADJUSTMENTS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Transaction-Related Items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 adjustments for transaction-related costs expected to be incurred by Paramount from April 1, 2026 through the closing date of the Acquisition</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These costs and the corresponding adjustments to “Accrued expenses” on the unaudited pro forma Condensed Combined Balance Sheet and “Restructuring, transaction-related items, and other corporate matters” on the unaudited pro forma Condensed Combined Statement of Operations for the year ended December 31, 2025 are described in the table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Restructuring, Transaction-</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Accrued</w:t>
            </w:r>
          </w:p>
        </w:tc>
        <w:tc>
          <w:tcPr>
            <w:tcW w:w="120" w:type="dxa"/>
            <w:vAlign w:val="bottom"/>
          </w:tcPr>
          <w:p>
            <w:pPr>
              <w:spacing w:after="0"/>
              <w:rPr>
                <w:sz w:val="18"/>
                <w:szCs w:val="18"/>
                <w:color w:val="auto"/>
              </w:rPr>
            </w:pPr>
          </w:p>
        </w:tc>
        <w:tc>
          <w:tcPr>
            <w:tcW w:w="24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Related Items, and Other</w:t>
            </w:r>
          </w:p>
        </w:tc>
        <w:tc>
          <w:tcPr>
            <w:tcW w:w="0" w:type="dxa"/>
            <w:vAlign w:val="bottom"/>
          </w:tcPr>
          <w:p>
            <w:pPr>
              <w:spacing w:after="0"/>
              <w:rPr>
                <w:sz w:val="1"/>
                <w:szCs w:val="1"/>
                <w:color w:val="auto"/>
              </w:rPr>
            </w:pPr>
          </w:p>
        </w:tc>
      </w:tr>
      <w:tr>
        <w:trPr>
          <w:trHeight w:val="238"/>
        </w:trPr>
        <w:tc>
          <w:tcPr>
            <w:tcW w:w="36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0"/>
                <w:szCs w:val="20"/>
                <w:color w:val="auto"/>
              </w:rPr>
            </w:pPr>
          </w:p>
        </w:tc>
        <w:tc>
          <w:tcPr>
            <w:tcW w:w="24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Corporate Matters</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35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367</w:t>
            </w:r>
          </w:p>
        </w:tc>
        <w:tc>
          <w:tcPr>
            <w:tcW w:w="9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8a</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w:t>
            </w:r>
          </w:p>
        </w:tc>
        <w:tc>
          <w:tcPr>
            <w:tcW w:w="3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58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9" w:lineRule="exact"/>
        <w:rPr>
          <w:sz w:val="20"/>
          <w:szCs w:val="20"/>
          <w:color w:val="auto"/>
        </w:rPr>
      </w:pPr>
    </w:p>
    <w:p>
      <w:pPr>
        <w:jc w:val="both"/>
        <w:ind w:left="380" w:hanging="377"/>
        <w:spacing w:after="0" w:line="261" w:lineRule="auto"/>
        <w:rPr>
          <w:sz w:val="20"/>
          <w:szCs w:val="20"/>
          <w:color w:val="auto"/>
        </w:rPr>
      </w:pPr>
      <w:r>
        <w:rPr>
          <w:rFonts w:ascii="Times New Roman" w:cs="Times New Roman" w:eastAsia="Times New Roman" w:hAnsi="Times New Roman"/>
          <w:sz w:val="18"/>
          <w:szCs w:val="18"/>
          <w:color w:val="auto"/>
        </w:rPr>
        <w:t>(8a) Reflects estimated transaction-related costs of $367 million anticipated to be incurred by Paramount between April 2026 to actual transaction close, consisting mainly of banking, legal, advisory and other professional fees in connection with the Acquisition. The estimated transaction-related costs are not anticipated to affect the unaudited pro forma Condensed Combined Statements of Operations beyond twelve months after the closing date of the Acquisition</w:t>
      </w:r>
    </w:p>
    <w:p>
      <w:pPr>
        <w:spacing w:after="0" w:line="180" w:lineRule="exact"/>
        <w:rPr>
          <w:sz w:val="20"/>
          <w:szCs w:val="20"/>
          <w:color w:val="auto"/>
        </w:rPr>
      </w:pPr>
    </w:p>
    <w:p>
      <w:pPr>
        <w:jc w:val="both"/>
        <w:ind w:left="380" w:hanging="377"/>
        <w:spacing w:after="0" w:line="266" w:lineRule="auto"/>
        <w:rPr>
          <w:sz w:val="20"/>
          <w:szCs w:val="20"/>
          <w:color w:val="auto"/>
        </w:rPr>
      </w:pPr>
      <w:r>
        <w:rPr>
          <w:rFonts w:ascii="Times New Roman" w:cs="Times New Roman" w:eastAsia="Times New Roman" w:hAnsi="Times New Roman"/>
          <w:sz w:val="18"/>
          <w:szCs w:val="18"/>
          <w:color w:val="auto"/>
        </w:rPr>
        <w:t>(8b) The reduction of $334 million to ”Retained earnings (accumulated deficit)” on the unaudited pro forma Condensed Combined Balance Sheet reflects the impact from the transaction-related costs adjustment to “Accrued Expenses” presented in the table above, which total $367 million, net of the related tax benefit, where applicable, of $33 million (see Note 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Shares, Financing Arrangements, and Related Activity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Paramount will undertake a series of equity issuances and related financing arrangements to facilitate the consummation of the Acquisition. These activities include the cancellation of all issued and outstanding WBD Common Stock at the Effective Time and their conversion into the right to receive the applicable cash merger consideration. No shares of Paramount common stock will be issued to former WBD shareholders.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WBD Merger Agreement, Paramount entered into the Subscription Agreements pursuant to which the Equity Investors committed to purchase shares of Paramount Class B Common Stock in a PIPE financing. Pursuant to the Equity Syndication the Equity Investors have assigned their subscription rights to a group of institutional investors (each an Equity Syndication Party), comprising affiliates of the Equity Investors, The Public Investment Fund, L'Imad 1st SPV 2 Exempt RSC LTD (an investment vehicle of L'Imad Holding, an Abu Dhabi sovereign wealth fund), QIA TMT Holding LLC (an investment vehicle of the Qatar Investment Authority), and LionTree Investment Fund, L.P. The aggregate allocations cover the full amount committed by the Equity Investors. At closing, the Company will issue to each Equity Syndication Party a number of newly issued shares of nonvoting Paramount Class B Common Stock (or securities convertible into shares) equal to its allocated amount divided by the Syndication Purchase Price for aggregate gross proceeds sufficient, together with other sources of financing, to fund the Merger Consideration and transaction-related payments.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Paramount Class B Common Stock (excluding any Equity Investor or affiliate thereof) as of a record date to be determined, will receive, without payment of any consideration, one 10-year Warrant for each share held, exercisable at any initial exercise price per share equal to the Syndication Purchase Price and subject to customary anti-dilution and fundamental change make-whole adjustments. Beginning on the third anniversary of issuance, Paramount may call the Warrants if the closing price of Paramount Class B Common Stock equals or exceeds $30.00 for at least 20 trading days in any 30 consecutive trading day period. As a result of the issuance of the Warrants, existing Paramount RSUs will be “made-whole” for the dilutive impact of the issuance of the Warrants pursuant to a pre-existing anti-dilution provision in the Paramount equity plan. The pro forma financial statements do not include an adjustment for the “make-whole” provision, as its terms are not yet known.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at the effective time of the Acquisition, outstanding equity-based awards of WBD will be treated in accordance with the WBD Merger Agreement. Vested equity awards will be cancelled and settled in cash based on the applicable Merger Consideration, while unvested equity awards will be converted into a contingent right to receive cash-based awards of Paramount, as applicable, generally subject to the same vesting terms and conditions as that were in effect immediately prior to the Effective Time, provided the WBD Notional Units outstanding as part of the WBD Non-Employee Directors Deferral Plan and WBD Supplemental Retirement Plan (collectively the “Replaced WBD Equity”) will receive Paramount Class B Common Stock based on the ratio of (i) Merger Consideration divided by (ii) 15 day VWAP of Paramount Class B Common Stock, where the 15 days period will end 3 trading days prior to Closing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reflects the cancellation of WBD Common Stock upon consummation of the Acquisition; the issuance of Paramount Class B Common Stock pursuant to the PIPE financing; and the settlement, conversion, or replacement of WBD equity awards at the Effective Time. No pro forma adjustment has been reflected for the issuance of equity-based awards that are subject to future service requirements, except to the extent such awards are reflected as compensation cost in accordance with applicable accounting guidance.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pro forma adjustment has been recorded for warrants to existing shareholders, as the Company’s accumulated deficit position results in no net impact to additional paid-in capital. Accordingly, the effect of these warrants is not reflected in the unaudited pro forma condensed combined financial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3"/>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420" w:type="dxa"/>
            <w:vAlign w:val="bottom"/>
          </w:tcPr>
          <w:p>
            <w:pPr>
              <w:spacing w:after="0"/>
              <w:rPr>
                <w:sz w:val="20"/>
                <w:szCs w:val="20"/>
                <w:color w:val="auto"/>
              </w:rPr>
            </w:pPr>
          </w:p>
        </w:tc>
      </w:tr>
      <w:tr>
        <w:trPr>
          <w:trHeight w:val="209"/>
        </w:trPr>
        <w:tc>
          <w:tcPr>
            <w:tcW w:w="28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2"/>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Selling, General and Administrative</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8c</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adjustment</w:t>
            </w:r>
          </w:p>
        </w:tc>
        <w:tc>
          <w:tcPr>
            <w:tcW w:w="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6"/>
        </w:trPr>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420" w:type="dxa"/>
            <w:vAlign w:val="bottom"/>
          </w:tcPr>
          <w:p>
            <w:pPr>
              <w:spacing w:after="0"/>
              <w:rPr>
                <w:sz w:val="24"/>
                <w:szCs w:val="24"/>
                <w:color w:val="auto"/>
              </w:rPr>
            </w:pPr>
          </w:p>
        </w:tc>
      </w:tr>
      <w:tr>
        <w:trPr>
          <w:trHeight w:val="209"/>
        </w:trPr>
        <w:tc>
          <w:tcPr>
            <w:tcW w:w="2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Selling, General and Administrative</w:t>
            </w:r>
          </w:p>
        </w:tc>
        <w:tc>
          <w:tcPr>
            <w:tcW w:w="200" w:type="dxa"/>
            <w:vAlign w:val="bottom"/>
            <w:tcBorders>
              <w:bottom w:val="single" w:sz="8" w:color="CCEEFF"/>
            </w:tcBorders>
            <w:gridSpan w:val="2"/>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8c</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adjustment</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80" w:hanging="377"/>
        <w:spacing w:after="0" w:line="266" w:lineRule="auto"/>
        <w:rPr>
          <w:sz w:val="20"/>
          <w:szCs w:val="20"/>
          <w:color w:val="auto"/>
        </w:rPr>
      </w:pPr>
      <w:r>
        <w:rPr>
          <w:rFonts w:ascii="Times New Roman" w:cs="Times New Roman" w:eastAsia="Times New Roman" w:hAnsi="Times New Roman"/>
          <w:sz w:val="18"/>
          <w:szCs w:val="18"/>
          <w:color w:val="auto"/>
        </w:rPr>
        <w:t>(8c) Reflects the new compensation arrangements executed with employees who held unvested options that were in the money, unvested RSUs, and unvested performance restricted stock units in connection with the Acquisition, resulting in a $48 million and $43 million decrease in compensation expense for the three months ended March 31, 2026, and year ended December 31, 2025, respectively.</w:t>
      </w:r>
    </w:p>
    <w:p>
      <w:pPr>
        <w:spacing w:after="0" w:line="176" w:lineRule="exact"/>
        <w:rPr>
          <w:sz w:val="20"/>
          <w:szCs w:val="20"/>
          <w:color w:val="auto"/>
        </w:rPr>
      </w:pPr>
    </w:p>
    <w:p>
      <w:pPr>
        <w:jc w:val="both"/>
        <w:ind w:left="380" w:hanging="377"/>
        <w:spacing w:after="0" w:line="261" w:lineRule="auto"/>
        <w:rPr>
          <w:sz w:val="20"/>
          <w:szCs w:val="20"/>
          <w:color w:val="auto"/>
        </w:rPr>
      </w:pPr>
      <w:r>
        <w:rPr>
          <w:rFonts w:ascii="Times New Roman" w:cs="Times New Roman" w:eastAsia="Times New Roman" w:hAnsi="Times New Roman"/>
          <w:sz w:val="18"/>
          <w:szCs w:val="18"/>
          <w:color w:val="auto"/>
        </w:rPr>
        <w:t>(8d) In connection with the Acquisition, the pro forma adjustment reflects a net increase in cash of $46.9 billion, representing $46.95 billion of proceeds from the PIPE financing, partially offset by $47 million of issuance costs. The transaction results in the issuance of 3.9 billion shares of Paramount Class B Common Stock at $.001 par value, with the excess proceeds recorded as additional paid-in capital assuming a Syndication Purchase Price of $12.00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tables below reflect the impacts on the unaudited pro forma condensed combined financial statements from the inclusion of WBD in Paramount’s calculation of income taxes and the tax impacts of the pro forma adjustments described in Note 4. An estimated tax rate of 25% was applied in determining the figures presented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Adjustments</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4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940" w:type="dxa"/>
            <w:vAlign w:val="bottom"/>
            <w:tcBorders>
              <w:bottom w:val="single" w:sz="8" w:color="auto"/>
            </w:tcBorders>
          </w:tcPr>
          <w:p>
            <w:pPr>
              <w:spacing w:after="0"/>
              <w:rPr>
                <w:sz w:val="24"/>
                <w:szCs w:val="24"/>
                <w:color w:val="auto"/>
              </w:rPr>
            </w:pPr>
          </w:p>
        </w:tc>
      </w:tr>
      <w:tr>
        <w:trPr>
          <w:trHeight w:val="187"/>
        </w:trPr>
        <w:tc>
          <w:tcPr>
            <w:tcW w:w="43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right"/>
              <w:ind w:right="660"/>
              <w:spacing w:after="0" w:line="188" w:lineRule="exact"/>
              <w:rPr>
                <w:sz w:val="20"/>
                <w:szCs w:val="20"/>
                <w:color w:val="auto"/>
              </w:rPr>
            </w:pPr>
            <w:r>
              <w:rPr>
                <w:rFonts w:ascii="Times New Roman" w:cs="Times New Roman" w:eastAsia="Times New Roman" w:hAnsi="Times New Roman"/>
                <w:sz w:val="18"/>
                <w:szCs w:val="18"/>
                <w:b w:val="1"/>
                <w:bCs w:val="1"/>
                <w:color w:val="auto"/>
              </w:rPr>
              <w:t>Transaction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8"/>
        </w:trPr>
        <w:tc>
          <w:tcPr>
            <w:tcW w:w="4360" w:type="dxa"/>
            <w:vAlign w:val="bottom"/>
          </w:tcPr>
          <w:p>
            <w:pPr>
              <w:spacing w:after="0"/>
              <w:rPr>
                <w:sz w:val="20"/>
                <w:szCs w:val="20"/>
                <w:color w:val="auto"/>
              </w:rPr>
            </w:pPr>
          </w:p>
        </w:tc>
        <w:tc>
          <w:tcPr>
            <w:tcW w:w="41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Accounting Adjustment</w:t>
            </w:r>
            <w:r>
              <w:rPr>
                <w:rFonts w:ascii="Times New Roman" w:cs="Times New Roman" w:eastAsia="Times New Roman" w:hAnsi="Times New Roman"/>
                <w:sz w:val="18"/>
                <w:szCs w:val="18"/>
                <w:color w:val="auto"/>
              </w:rPr>
              <w:t>s</w:t>
            </w:r>
          </w:p>
        </w:tc>
        <w:tc>
          <w:tcPr>
            <w:tcW w:w="400" w:type="dxa"/>
            <w:vAlign w:val="bottom"/>
          </w:tcPr>
          <w:p>
            <w:pPr>
              <w:spacing w:after="0"/>
              <w:rPr>
                <w:sz w:val="20"/>
                <w:szCs w:val="20"/>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Debt Financing Adjustments</w:t>
            </w:r>
          </w:p>
        </w:tc>
      </w:tr>
      <w:tr>
        <w:trPr>
          <w:trHeight w:val="210"/>
        </w:trPr>
        <w:tc>
          <w:tcPr>
            <w:tcW w:w="436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140" w:type="dxa"/>
            <w:vAlign w:val="bottom"/>
            <w:tcBorders>
              <w:top w:val="single" w:sz="8" w:color="CCECFF"/>
            </w:tcBorders>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Borders>
              <w:top w:val="single" w:sz="8" w:color="CCECFF"/>
            </w:tcBorders>
            <w:shd w:val="clear" w:color="auto" w:fill="CCECFF"/>
          </w:tcPr>
          <w:p>
            <w:pPr>
              <w:spacing w:after="0"/>
              <w:rPr>
                <w:sz w:val="18"/>
                <w:szCs w:val="18"/>
                <w:color w:val="auto"/>
              </w:rPr>
            </w:pPr>
          </w:p>
        </w:tc>
        <w:tc>
          <w:tcPr>
            <w:tcW w:w="40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1260" w:type="dxa"/>
            <w:vAlign w:val="bottom"/>
            <w:tcBorders>
              <w:top w:val="single" w:sz="8" w:color="auto"/>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5,859</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9a</w:t>
            </w:r>
          </w:p>
        </w:tc>
        <w:tc>
          <w:tcPr>
            <w:tcW w:w="13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5,892</w:t>
            </w:r>
          </w:p>
        </w:tc>
        <w:tc>
          <w:tcPr>
            <w:tcW w:w="4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9b</w:t>
            </w:r>
          </w:p>
        </w:tc>
        <w:tc>
          <w:tcPr>
            <w:tcW w:w="1360" w:type="dxa"/>
            <w:vAlign w:val="bottom"/>
            <w:gridSpan w:val="2"/>
            <w:shd w:val="clear" w:color="auto" w:fill="CCECFF"/>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Statements of Operations Adjustments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187"/>
        </w:trPr>
        <w:tc>
          <w:tcPr>
            <w:tcW w:w="38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center"/>
              <w:ind w:right="5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1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jc w:val="center"/>
              <w:ind w:right="4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Transaction</w:t>
            </w:r>
          </w:p>
        </w:tc>
        <w:tc>
          <w:tcPr>
            <w:tcW w:w="1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Debt Financing</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66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Debt Financing</w:t>
            </w:r>
          </w:p>
        </w:tc>
      </w:tr>
      <w:tr>
        <w:trPr>
          <w:trHeight w:val="238"/>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6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r>
      <w:tr>
        <w:trPr>
          <w:trHeight w:val="210"/>
        </w:trPr>
        <w:tc>
          <w:tcPr>
            <w:tcW w:w="386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   9c</w:t>
            </w:r>
          </w:p>
        </w:tc>
        <w:tc>
          <w:tcPr>
            <w:tcW w:w="1500" w:type="dxa"/>
            <w:vAlign w:val="bottom"/>
            <w:tcBorders>
              <w:top w:val="single" w:sz="8" w:color="auto"/>
            </w:tcBorders>
            <w:shd w:val="clear" w:color="auto" w:fill="CCEC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6"/>
              </w:rPr>
              <w:t>362</w:t>
            </w:r>
          </w:p>
        </w:tc>
        <w:tc>
          <w:tcPr>
            <w:tcW w:w="300" w:type="dxa"/>
            <w:vAlign w:val="bottom"/>
            <w:tcBorders>
              <w:top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9c</w:t>
            </w: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 9c</w:t>
            </w: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tcBorders>
              <w:top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9c</w:t>
            </w:r>
          </w:p>
        </w:tc>
      </w:tr>
    </w:tbl>
    <w:p>
      <w:pPr>
        <w:spacing w:after="0" w:line="198" w:lineRule="exact"/>
        <w:rPr>
          <w:sz w:val="20"/>
          <w:szCs w:val="20"/>
          <w:color w:val="auto"/>
        </w:rPr>
      </w:pPr>
    </w:p>
    <w:p>
      <w:pPr>
        <w:jc w:val="both"/>
        <w:ind w:left="380" w:hanging="377"/>
        <w:spacing w:after="0" w:line="261" w:lineRule="auto"/>
        <w:rPr>
          <w:sz w:val="20"/>
          <w:szCs w:val="20"/>
          <w:color w:val="auto"/>
        </w:rPr>
      </w:pPr>
      <w:r>
        <w:rPr>
          <w:rFonts w:ascii="Times New Roman" w:cs="Times New Roman" w:eastAsia="Times New Roman" w:hAnsi="Times New Roman"/>
          <w:sz w:val="18"/>
          <w:szCs w:val="18"/>
          <w:color w:val="auto"/>
        </w:rPr>
        <w:t>(9a) The adjustment to “Deferred income tax liabilities” as of March 31, 2026 includes an increase of $5,841 million for the deferred income tax impact of the pro forma adjustments described in Note 4 to reflect WBD’s assets and liabilities at fair value, an increase of $51 million for the deferred tax impact of the elimination of transactions between Paramount and WBD as described in Note 7, and a decrease of $33 million for the deferred tax impact of the transaction- related costs adjustment as described in Note 8.</w:t>
      </w:r>
    </w:p>
    <w:p>
      <w:pPr>
        <w:spacing w:after="0" w:line="180" w:lineRule="exact"/>
        <w:rPr>
          <w:sz w:val="20"/>
          <w:szCs w:val="20"/>
          <w:color w:val="auto"/>
        </w:rPr>
      </w:pPr>
    </w:p>
    <w:p>
      <w:pPr>
        <w:jc w:val="both"/>
        <w:ind w:left="380" w:hanging="377"/>
        <w:spacing w:after="0" w:line="282" w:lineRule="auto"/>
        <w:rPr>
          <w:sz w:val="20"/>
          <w:szCs w:val="20"/>
          <w:color w:val="auto"/>
        </w:rPr>
      </w:pPr>
      <w:r>
        <w:rPr>
          <w:rFonts w:ascii="Times New Roman" w:cs="Times New Roman" w:eastAsia="Times New Roman" w:hAnsi="Times New Roman"/>
          <w:sz w:val="18"/>
          <w:szCs w:val="18"/>
          <w:color w:val="auto"/>
        </w:rPr>
        <w:t>(9b) The adjustment to “Goodwill” reflects the offsetting impact to the adjustments to “Deferred income tax liabilities” to establish the deferred income taxes.</w:t>
      </w:r>
    </w:p>
    <w:p>
      <w:pPr>
        <w:spacing w:after="0" w:line="162" w:lineRule="exact"/>
        <w:rPr>
          <w:sz w:val="20"/>
          <w:szCs w:val="20"/>
          <w:color w:val="auto"/>
        </w:rPr>
      </w:pPr>
    </w:p>
    <w:p>
      <w:pPr>
        <w:jc w:val="both"/>
        <w:ind w:left="380" w:hanging="377"/>
        <w:spacing w:after="0" w:line="266" w:lineRule="auto"/>
        <w:rPr>
          <w:sz w:val="20"/>
          <w:szCs w:val="20"/>
          <w:color w:val="auto"/>
        </w:rPr>
      </w:pPr>
      <w:r>
        <w:rPr>
          <w:rFonts w:ascii="Times New Roman" w:cs="Times New Roman" w:eastAsia="Times New Roman" w:hAnsi="Times New Roman"/>
          <w:sz w:val="18"/>
          <w:szCs w:val="18"/>
          <w:color w:val="auto"/>
        </w:rPr>
        <w:t>(9c) The adjustments to “(Provision for) Benefit from income taxes” for the three months ended March 31, 2026 and year ended December 31, 2025 reflect tax benefits of $347 million and $1,038 million, respectively, related to tax effects of the transaction accounting adjustments and debt financing adjustments with the exception of the Netflix Termination Fee as described in Note 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adjustments to “Deferred income tax assets” and “Deferred income tax liabilities” are based on the estimated deferred tax rates of the combined company. The actual deferred tax liabilities may differ materially based on changes resulting from finalizing the deferred tax rates for the combined company and finalizing the fair value adjustments for WBD’s net assets that are not reasonably estimable for the purposes of the unaudited pro forma condensed combined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income tax estimates and the related tax rates may also differ materially in periods subsequent to the consummation of the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(LOSS) PER SHARE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 forma basic and diluted weighted average number of common shares presented in the unaudited pro forma Condensed Combined Statements of Operations are based on the weighted average number of common shares issued and outstanding as if the Transactions occurred on January 1, 2025. Since the Warrants described in Note 8 will only be issued to holders of Paramount Class B Common Stock other than the Equity Investors and their affiliates, the estimated value of the Warrants is considered a deemed dividend which results in the application of the two-class method of EPS for the year ended December 31, 2025. Under the application of the two-class method, earnings per share is calculated separately for the holders of Paramount Class B Common Stock who received the deemed dividend and the common stockholders (comprised of the Equity Investors and their affiliates) who did not receive the deemed dividend. The calculation of the weighted average number of common shares outstanding contemplates an adjustment for the issuance of shares of Paramount Class B Common Stock pursuant to the PIPE financing and shares issued to holders of Replaced WBD Equity. All stock options, RSU Awards, and warrants were excluded from the calculation of historical and pro forma diluted net loss per common share ("EPS") for the year ended December 31, 2025 because their inclusion would have been antidilutive since a net loss was reported in the period. The dilutive impact of Paramount RSU Awards totaling 8 million were excluded from the calculation of pro forma diluted EPS for the three months ended March 31, 2026 because their inclusion would have been antidilutive since there is a pro forma net loss for the period. Also excluded from the calculation of diluted EPS in each period are the warrants issued in the Skydance Transactions and the Warrants described in Note 8 because their inclusion also would have been anti-dilutive in the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calculation of pro forma EPS including, for the year ended December 31, 2025, amounts attributable to stockholders who received the deemed dividend and stockholders who did not receive it. There was no deemed dividend for the three months ended March 31, 2026, and therefore this presentation is not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80" w:type="dxa"/>
            <w:vAlign w:val="bottom"/>
          </w:tcPr>
          <w:p>
            <w:pPr>
              <w:spacing w:after="0"/>
              <w:rPr>
                <w:sz w:val="20"/>
                <w:szCs w:val="20"/>
                <w:color w:val="auto"/>
              </w:rPr>
            </w:pPr>
          </w:p>
        </w:tc>
        <w:tc>
          <w:tcPr>
            <w:tcW w:w="188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25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 Numerator:</w:t>
            </w:r>
          </w:p>
        </w:tc>
        <w:tc>
          <w:tcPr>
            <w:tcW w:w="5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(966)</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to Class B common stockholders - Receiving Warrants</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(2,962)</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Loss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(7,072)</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Class B common stockholders - Receiving Warrants</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Other</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(6,406)</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All</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(966)</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 Denominator:</w:t>
            </w:r>
          </w:p>
        </w:tc>
        <w:tc>
          <w:tcPr>
            <w:tcW w:w="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for Class B common stockholders -</w:t>
            </w:r>
          </w:p>
        </w:tc>
        <w:tc>
          <w:tcPr>
            <w:tcW w:w="5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Receiving Warrants</w:t>
            </w:r>
          </w:p>
        </w:tc>
        <w:tc>
          <w:tcPr>
            <w:tcW w:w="5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common stockholders – Other</w:t>
            </w:r>
          </w:p>
        </w:tc>
        <w:tc>
          <w:tcPr>
            <w:tcW w:w="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common stockholders – All</w:t>
            </w:r>
          </w:p>
        </w:tc>
        <w:tc>
          <w:tcPr>
            <w:tcW w:w="5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5,023</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5,012</w:t>
            </w:r>
          </w:p>
        </w:tc>
      </w:tr>
      <w:tr>
        <w:trPr>
          <w:trHeight w:val="216"/>
        </w:trPr>
        <w:tc>
          <w:tcPr>
            <w:tcW w:w="6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EPS:</w:t>
            </w:r>
          </w:p>
        </w:tc>
        <w:tc>
          <w:tcPr>
            <w:tcW w:w="5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EPS - Class B common stockholders - Receiving Warrants</w:t>
            </w:r>
          </w:p>
        </w:tc>
        <w:tc>
          <w:tcPr>
            <w:tcW w:w="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EPS - common stockholders – Other</w:t>
            </w:r>
          </w:p>
        </w:tc>
        <w:tc>
          <w:tcPr>
            <w:tcW w:w="5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EPS – common stockholders – All</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Paramount Class B Common Stock to be issued in connection with the Equity Syndication are determined based on a Syndication Purchase Price equal to the 20-trading-day volume-weighted average price (“VWAP”) of Paramount Class B Common Stock, calculated as of the third business day prior to the closing of the Acquisition (the “Pricing Date”), subject to a price collar with a floor of $12.00 per share and a cap of $16.02 per share.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unaudited pro forma condensed combined financial information, the issuance of 3,913 million shares of Paramount Class B Common Stock included in weighted average common shares outstanding for the three months ended March 31, 2026 and year ended December 31, 2025 has been calculated using an assumed Syndication Purchase Price of $12.00 per share, which is the floor of the collar range. Accordingly, the aggregate number of shares to be issued is equal to the aggregate commitment amount of $47 billion divided by the assumed Syndication Purchase Price.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actual number of shares issued upon consummation of the Acquisition will vary depending on the actual 20-day VWAP. If the VWAP is below the $12.00 floor, approximately 3,913 million shares will be issued based on a price of $12.00 per share; if the VWAP is above the $16.02 cap, approximately 2,931 million shares will be issued based on a price of $16.02 per share; and if the VWAP falls within the collar range, the Syndication Purchase Price will equal the VWAP. As a result, the total number of shares issued is inversely related to the Syndication Purchase Price within the collar and may differ materially from the pro forma amounts presented herein.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any adjustment for potential variability in the number of shares issued resulting from changes in the VWAP, as such amounts are not determinable as of the date of these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the exercise price of the Warrants will be set based on the 20-day VWAP of Paramount Class B Common Stock calculated on the third business day prior to the closing of the Acquisition. For purposes of determining the value of the deemed dividend in the calculation of basic and diluted EPS, it has been assumed that the exercise price of the Warrants is $12.00, which is the floor of the collar range.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Roman"/>
      <w:start w:val="2"/>
    </w:lvl>
  </w:abstractNum>
  <w:abstractNum w:abstractNumId="2">
    <w:nsid w:val="66EF438D"/>
    <w:multiLevelType w:val="hybridMultilevel"/>
    <w:lvl w:ilvl="0">
      <w:lvlJc w:val="left"/>
      <w:lvlText w:val="(%1)"/>
      <w:numFmt w:val="lowerRoman"/>
      <w:start w:val="1"/>
    </w:lvl>
  </w:abstractNum>
  <w:abstractNum w:abstractNumId="3">
    <w:nsid w:val="140E0F76"/>
    <w:multiLevelType w:val="hybridMultilevel"/>
    <w:lvl w:ilvl="0">
      <w:lvlJc w:val="left"/>
      <w:lvlText w:val="(%1)"/>
      <w:numFmt w:val="lowerRoman"/>
      <w:start w:val="3"/>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lowerRoman"/>
      <w:start w:val="1"/>
    </w:lvl>
  </w:abstractNum>
  <w:abstractNum w:abstractNumId="11">
    <w:nsid w:val="4E6AFB66"/>
    <w:multiLevelType w:val="hybridMultilevel"/>
    <w:lvl w:ilvl="0">
      <w:lvlJc w:val="left"/>
      <w:lvlText w:val="(%1)"/>
      <w:numFmt w:val="lowerRoman"/>
      <w:start w:val="3"/>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Roman"/>
      <w:start w:val="3"/>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2026-05-19T16:43:49Z</dcterms:created>
  <dcterms:modified xsi:type="dcterms:W3CDTF">2026-05-19T16:43:49Z</dcterms:modified>
</cp:coreProperties>
</file>