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259715</wp:posOffset>
            </wp:positionH>
            <wp:positionV relativeFrom="page">
              <wp:posOffset>671830</wp:posOffset>
            </wp:positionV>
            <wp:extent cx="70377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17145"/>
                    </a:xfrm>
                    <a:prstGeom prst="rect">
                      <a:avLst/>
                    </a:prstGeom>
                    <a:noFill/>
                  </pic:spPr>
                </pic:pic>
              </a:graphicData>
            </a:graphic>
          </wp:anchor>
        </w:drawing>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21, 2022</w:t>
      </w: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00497F"/>
        </w:rPr>
        <w:t>Paramount Global</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 charter)</w:t>
      </w:r>
    </w:p>
    <w:p>
      <w:pPr>
        <w:spacing w:after="0" w:line="131"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001-09553</w:t>
            </w:r>
          </w:p>
        </w:tc>
        <w:tc>
          <w:tcPr>
            <w:tcW w:w="2720" w:type="dxa"/>
            <w:vAlign w:val="bottom"/>
          </w:tcPr>
          <w:p>
            <w:pPr>
              <w:jc w:val="right"/>
              <w:ind w:right="530"/>
              <w:spacing w:after="0"/>
              <w:rPr>
                <w:sz w:val="20"/>
                <w:szCs w:val="20"/>
                <w:color w:val="auto"/>
              </w:rPr>
            </w:pPr>
            <w:r>
              <w:rPr>
                <w:rFonts w:ascii="Arial" w:cs="Arial" w:eastAsia="Arial" w:hAnsi="Arial"/>
                <w:sz w:val="18"/>
                <w:szCs w:val="18"/>
                <w:b w:val="1"/>
                <w:bCs w:val="1"/>
                <w:color w:val="auto"/>
              </w:rPr>
              <w:t>04-2949533</w:t>
            </w:r>
          </w:p>
        </w:tc>
      </w:tr>
      <w:tr>
        <w:trPr>
          <w:trHeight w:val="189"/>
        </w:trPr>
        <w:tc>
          <w:tcPr>
            <w:tcW w:w="3280" w:type="dxa"/>
            <w:vAlign w:val="bottom"/>
          </w:tcPr>
          <w:p>
            <w:pPr>
              <w:jc w:val="center"/>
              <w:ind w:right="350"/>
              <w:spacing w:after="0" w:line="189" w:lineRule="exact"/>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3"/>
              </w:rPr>
              <w:t>(Commission File Number)</w:t>
            </w:r>
          </w:p>
        </w:tc>
        <w:tc>
          <w:tcPr>
            <w:tcW w:w="2720" w:type="dxa"/>
            <w:vAlign w:val="bottom"/>
          </w:tcPr>
          <w:p>
            <w:pPr>
              <w:jc w:val="center"/>
              <w:ind w:left="530"/>
              <w:spacing w:after="0" w:line="189"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1"/>
              </w:rPr>
              <w:t>Number)</w:t>
            </w:r>
          </w:p>
        </w:tc>
      </w:tr>
      <w:tr>
        <w:trPr>
          <w:trHeight w:val="495"/>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1515 Broadway</w:t>
            </w:r>
          </w:p>
        </w:tc>
        <w:tc>
          <w:tcPr>
            <w:tcW w:w="3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New York, New York</w:t>
            </w:r>
          </w:p>
        </w:tc>
        <w:tc>
          <w:tcPr>
            <w:tcW w:w="3040" w:type="dxa"/>
            <w:vAlign w:val="bottom"/>
          </w:tcPr>
          <w:p>
            <w:pPr>
              <w:spacing w:after="0"/>
              <w:rPr>
                <w:sz w:val="20"/>
                <w:szCs w:val="20"/>
                <w:color w:val="auto"/>
              </w:rPr>
            </w:pPr>
          </w:p>
        </w:tc>
        <w:tc>
          <w:tcPr>
            <w:tcW w:w="2720" w:type="dxa"/>
            <w:vAlign w:val="bottom"/>
          </w:tcPr>
          <w:p>
            <w:pPr>
              <w:jc w:val="right"/>
              <w:ind w:right="750"/>
              <w:spacing w:after="0"/>
              <w:rPr>
                <w:sz w:val="20"/>
                <w:szCs w:val="20"/>
                <w:color w:val="auto"/>
              </w:rPr>
            </w:pPr>
            <w:r>
              <w:rPr>
                <w:rFonts w:ascii="Arial" w:cs="Arial" w:eastAsia="Arial" w:hAnsi="Arial"/>
                <w:sz w:val="18"/>
                <w:szCs w:val="18"/>
                <w:b w:val="1"/>
                <w:bCs w:val="1"/>
                <w:color w:val="auto"/>
              </w:rPr>
              <w:t>10036</w:t>
            </w:r>
          </w:p>
        </w:tc>
      </w:tr>
      <w:tr>
        <w:trPr>
          <w:trHeight w:val="230"/>
        </w:trPr>
        <w:tc>
          <w:tcPr>
            <w:tcW w:w="328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166" w:lineRule="exact"/>
        <w:rPr>
          <w:sz w:val="24"/>
          <w:szCs w:val="24"/>
          <w:color w:val="auto"/>
        </w:rPr>
      </w:pPr>
    </w:p>
    <w:p>
      <w:pPr>
        <w:ind w:left="284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4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5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ind w:left="300"/>
              <w:spacing w:after="0"/>
              <w:rPr>
                <w:sz w:val="20"/>
                <w:szCs w:val="20"/>
                <w:color w:val="auto"/>
              </w:rPr>
            </w:pPr>
            <w:r>
              <w:rPr>
                <w:rFonts w:ascii="Arial" w:cs="Arial" w:eastAsia="Arial" w:hAnsi="Arial"/>
                <w:sz w:val="14"/>
                <w:szCs w:val="14"/>
                <w:b w:val="1"/>
                <w:bCs w:val="1"/>
                <w:color w:val="auto"/>
              </w:rPr>
              <w:t>Trading Symbols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5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76"/>
        </w:trPr>
        <w:tc>
          <w:tcPr>
            <w:tcW w:w="5220" w:type="dxa"/>
            <w:vAlign w:val="bottom"/>
          </w:tcPr>
          <w:p>
            <w:pPr>
              <w:jc w:val="center"/>
              <w:spacing w:after="0"/>
              <w:rPr>
                <w:sz w:val="20"/>
                <w:szCs w:val="20"/>
                <w:color w:val="auto"/>
              </w:rPr>
            </w:pPr>
            <w:r>
              <w:rPr>
                <w:rFonts w:ascii="Arial" w:cs="Arial" w:eastAsia="Arial" w:hAnsi="Arial"/>
                <w:sz w:val="14"/>
                <w:szCs w:val="14"/>
                <w:color w:val="auto"/>
                <w:w w:val="93"/>
              </w:rPr>
              <w:t>Class A Common Stock, $0.001 par value</w:t>
            </w:r>
          </w:p>
        </w:tc>
        <w:tc>
          <w:tcPr>
            <w:tcW w:w="12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color w:val="auto"/>
              </w:rPr>
              <w:t>PARAA</w:t>
            </w:r>
          </w:p>
        </w:tc>
        <w:tc>
          <w:tcPr>
            <w:tcW w:w="120" w:type="dxa"/>
            <w:vAlign w:val="bottom"/>
          </w:tcPr>
          <w:p>
            <w:pPr>
              <w:spacing w:after="0"/>
              <w:rPr>
                <w:sz w:val="15"/>
                <w:szCs w:val="15"/>
                <w:color w:val="auto"/>
              </w:rPr>
            </w:pP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197"/>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Class B Common Stock, $0.001 par value</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PARA</w:t>
            </w: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5.75% Series A Mandatory Convertible Preferred Stock, $0.001 par value</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PARAP</w:t>
            </w:r>
          </w:p>
        </w:tc>
        <w:tc>
          <w:tcPr>
            <w:tcW w:w="392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0"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695325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125095</wp:posOffset>
            </wp:positionV>
            <wp:extent cx="69862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100"/>
          </w:cols>
          <w:pgMar w:left="400" w:top="1286" w:right="399" w:bottom="1440" w:gutter="0" w:footer="0" w:header="0"/>
        </w:sectPr>
      </w:pPr>
    </w:p>
    <w:bookmarkStart w:id="1" w:name="page2"/>
    <w:bookmarkEnd w:id="1"/>
    <w:p>
      <w:pPr>
        <w:ind w:left="20"/>
        <w:spacing w:after="0"/>
        <w:tabs>
          <w:tab w:leader="none" w:pos="174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7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On November 25, 2020, Paramount Global (f/k/a ViacomCBS Inc.) (“Paramount”) announced that it and certain of its subsidiaries had entered into a Share Purchase Agreement (the “Purchase Agreement”) to sell the Simon &amp; Schuster business to Penguin Random House LLC (part of the Bertelsmann SE &amp; Co. KGaA group, “Penguin Random House”), subject to the satisfaction of certain customary conditions, including receipt of applicable regulatory approvals (the “Sale”).</w:t>
      </w:r>
    </w:p>
    <w:p>
      <w:pPr>
        <w:spacing w:after="0" w:line="226" w:lineRule="exact"/>
        <w:rPr>
          <w:sz w:val="20"/>
          <w:szCs w:val="20"/>
          <w:color w:val="auto"/>
        </w:rPr>
      </w:pPr>
    </w:p>
    <w:p>
      <w:pPr>
        <w:ind w:right="140"/>
        <w:spacing w:after="0" w:line="301" w:lineRule="auto"/>
        <w:rPr>
          <w:sz w:val="20"/>
          <w:szCs w:val="20"/>
          <w:color w:val="auto"/>
        </w:rPr>
      </w:pPr>
      <w:r>
        <w:rPr>
          <w:rFonts w:ascii="Arial" w:cs="Arial" w:eastAsia="Arial" w:hAnsi="Arial"/>
          <w:sz w:val="19"/>
          <w:szCs w:val="19"/>
          <w:color w:val="auto"/>
        </w:rPr>
        <w:t>On November 2, 2021, the U.S. Department of Justice (the “DOJ”) filed suit in the United States District Court for the District of Columbia to block the Sale and on October 31, 2022, the Court ruled in favor of the DOJ, enjoining the Sale (the “Decision”).</w:t>
      </w:r>
    </w:p>
    <w:p>
      <w:pPr>
        <w:spacing w:after="0" w:line="167" w:lineRule="exact"/>
        <w:rPr>
          <w:sz w:val="20"/>
          <w:szCs w:val="20"/>
          <w:color w:val="auto"/>
        </w:rPr>
      </w:pPr>
    </w:p>
    <w:p>
      <w:pPr>
        <w:ind w:right="560"/>
        <w:spacing w:after="0" w:line="274" w:lineRule="auto"/>
        <w:rPr>
          <w:sz w:val="20"/>
          <w:szCs w:val="20"/>
          <w:color w:val="auto"/>
        </w:rPr>
      </w:pPr>
      <w:r>
        <w:rPr>
          <w:rFonts w:ascii="Arial" w:cs="Arial" w:eastAsia="Arial" w:hAnsi="Arial"/>
          <w:sz w:val="20"/>
          <w:szCs w:val="20"/>
          <w:color w:val="auto"/>
        </w:rPr>
        <w:t>Following the Decision, on November 21, 2022, Paramount terminated the Purchase Agreement in accordance with its terms. Penguin Random House is obligated to pay a $200 million termination fee to Paramount.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Simon &amp; Schuster remains a non-core asset to Paramount, as was determined in early 2020 when Paramount conducted a strategic review of its assets. Simon &amp; Schuster is a highly valuable business with a recent record of strong performance; however, it is not video-based and therefore does not fit strategically within Paramount’s broader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PARAMOUNT GLOBAL</w:t>
      </w:r>
    </w:p>
    <w:p>
      <w:pPr>
        <w:spacing w:after="0" w:line="243" w:lineRule="exact"/>
        <w:rPr>
          <w:sz w:val="20"/>
          <w:szCs w:val="20"/>
          <w:color w:val="auto"/>
        </w:rPr>
      </w:pPr>
    </w:p>
    <w:p>
      <w:pPr>
        <w:ind w:left="6720"/>
        <w:spacing w:after="0"/>
        <w:tabs>
          <w:tab w:leader="none" w:pos="7220" w:val="left"/>
        </w:tabs>
        <w:rPr>
          <w:sz w:val="20"/>
          <w:szCs w:val="20"/>
          <w:color w:val="auto"/>
        </w:rPr>
      </w:pPr>
      <w:r>
        <w:rPr>
          <w:rFonts w:ascii="Arial" w:cs="Arial" w:eastAsia="Arial" w:hAnsi="Arial"/>
          <w:sz w:val="20"/>
          <w:szCs w:val="20"/>
          <w:color w:val="auto"/>
        </w:rPr>
        <w:t>By:</w:t>
        <w:tab/>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19050</wp:posOffset>
            </wp:positionV>
            <wp:extent cx="2580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0" w:lineRule="exact"/>
        <w:rPr>
          <w:sz w:val="20"/>
          <w:szCs w:val="20"/>
          <w:color w:val="auto"/>
        </w:rPr>
      </w:pPr>
    </w:p>
    <w:p>
      <w:pPr>
        <w:ind w:left="7200"/>
        <w:spacing w:after="0"/>
        <w:tabs>
          <w:tab w:leader="none" w:pos="80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color w:val="auto"/>
        </w:rPr>
        <w:t>Christa A. D'Alimonte</w:t>
      </w:r>
    </w:p>
    <w:p>
      <w:pPr>
        <w:spacing w:after="0" w:line="27" w:lineRule="exact"/>
        <w:rPr>
          <w:sz w:val="20"/>
          <w:szCs w:val="20"/>
          <w:color w:val="auto"/>
        </w:rPr>
      </w:pPr>
    </w:p>
    <w:p>
      <w:pPr>
        <w:ind w:left="7200"/>
        <w:spacing w:after="0"/>
        <w:tabs>
          <w:tab w:leader="none" w:pos="8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spacing w:after="0" w:line="27" w:lineRule="exact"/>
        <w:rPr>
          <w:sz w:val="20"/>
          <w:szCs w:val="20"/>
          <w:color w:val="auto"/>
        </w:rPr>
      </w:pPr>
    </w:p>
    <w:p>
      <w:pPr>
        <w:ind w:left="8040"/>
        <w:spacing w:after="0"/>
        <w:rPr>
          <w:sz w:val="20"/>
          <w:szCs w:val="20"/>
          <w:color w:val="auto"/>
        </w:rPr>
      </w:pPr>
      <w:r>
        <w:rPr>
          <w:rFonts w:ascii="Arial" w:cs="Arial" w:eastAsia="Arial" w:hAnsi="Arial"/>
          <w:sz w:val="20"/>
          <w:szCs w:val="20"/>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21, 2022</w:t>
      </w:r>
    </w:p>
    <w:sectPr>
      <w:pgSz w:w="11900" w:h="16838" w:orient="portrait"/>
      <w:cols w:equalWidth="0" w:num="1">
        <w:col w:w="11020"/>
      </w:cols>
      <w:pgMar w:left="320" w:top="7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2022-11-21T15:11:44Z</dcterms:created>
  <dcterms:modified xsi:type="dcterms:W3CDTF">2022-11-21T15:11:44Z</dcterms:modified>
</cp:coreProperties>
</file>