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60" w:after="6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6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____________ to ____________</w:t>
      </w:r>
    </w:p>
    <w:p>
      <w:pPr>
        <w:pStyle w:val="TextBody"/>
        <w:bidi w:val="0"/>
        <w:spacing w:lineRule="auto" w:line="288" w:before="120" w:after="6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001-09553 </w:t>
      </w:r>
    </w:p>
    <w:p>
      <w:pPr>
        <w:pStyle w:val="TextBody"/>
        <w:bidi w:val="0"/>
        <w:spacing w:lineRule="auto" w:line="288" w:before="6" w:after="283"/>
        <w:jc w:val="center"/>
        <w:rPr>
          <w:rFonts w:ascii="Times New Roman;sans-serif" w:hAnsi="Times New Roman;sans-serif"/>
          <w:b/>
          <w:color w:val="000A3C"/>
          <w:sz w:val="36"/>
        </w:rPr>
      </w:pPr>
      <w:r>
        <w:rPr>
          <w:rFonts w:ascii="Times New Roman;sans-serif" w:hAnsi="Times New Roman;sans-serif"/>
          <w:b/>
          <w:color w:val="000A3C"/>
          <w:sz w:val="36"/>
        </w:rPr>
        <w:t>Paramount Global</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6206" w:type="dxa"/>
        <w:jc w:val="center"/>
        <w:tblInd w:w="0" w:type="dxa"/>
        <w:tblLayout w:type="fixed"/>
        <w:tblCellMar>
          <w:top w:w="28" w:type="dxa"/>
          <w:left w:w="28" w:type="dxa"/>
          <w:bottom w:w="28" w:type="dxa"/>
          <w:right w:w="28" w:type="dxa"/>
        </w:tblCellMar>
      </w:tblPr>
      <w:tblGrid>
        <w:gridCol w:w="478"/>
        <w:gridCol w:w="419"/>
        <w:gridCol w:w="422"/>
        <w:gridCol w:w="315"/>
        <w:gridCol w:w="315"/>
        <w:gridCol w:w="315"/>
        <w:gridCol w:w="295"/>
        <w:gridCol w:w="295"/>
        <w:gridCol w:w="310"/>
        <w:gridCol w:w="109"/>
        <w:gridCol w:w="109"/>
        <w:gridCol w:w="109"/>
        <w:gridCol w:w="791"/>
        <w:gridCol w:w="791"/>
        <w:gridCol w:w="1133"/>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04-2949533</w:t>
            </w:r>
          </w:p>
        </w:tc>
      </w:tr>
      <w:tr>
        <w:trPr/>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1515 Broadway</w:t>
            </w:r>
          </w:p>
        </w:tc>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New York,</w:t>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10036</w:t>
            </w:r>
          </w:p>
        </w:tc>
      </w:tr>
      <w:tr>
        <w:trPr/>
        <w:tc>
          <w:tcPr>
            <w:tcW w:w="31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bidi w:val="0"/>
        <w:spacing w:lineRule="auto" w:line="288" w:before="0" w:after="0"/>
        <w:jc w:val="center"/>
        <w:rPr/>
      </w:pPr>
      <w:r>
        <w:rPr>
          <w:rFonts w:ascii="Times New Roman;sans-serif" w:hAnsi="Times New Roman;sans-serif"/>
          <w:b/>
          <w:color w:val="000000"/>
          <w:sz w:val="18"/>
        </w:rPr>
        <w:t>(212)</w:t>
      </w:r>
      <w:r>
        <w:rPr>
          <w:color w:val="000000"/>
        </w:rPr>
        <w:t xml:space="preserve"> </w:t>
      </w:r>
      <w:r>
        <w:rPr>
          <w:rFonts w:ascii="Times New Roman;sans-serif" w:hAnsi="Times New Roman;sans-serif"/>
          <w:b/>
          <w:color w:val="000000"/>
          <w:sz w:val="18"/>
        </w:rPr>
        <w:t xml:space="preserve">258-6000 </w:t>
      </w:r>
    </w:p>
    <w:p>
      <w:pPr>
        <w:pStyle w:val="TextBody"/>
        <w:bidi w:val="0"/>
        <w:spacing w:lineRule="auto" w:line="288"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160" w:after="283"/>
        <w:ind w:left="0" w:right="0" w:firstLine="495"/>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755" w:type="dxa"/>
        <w:jc w:val="center"/>
        <w:tblInd w:w="0" w:type="dxa"/>
        <w:tblLayout w:type="fixed"/>
        <w:tblCellMar>
          <w:top w:w="28" w:type="dxa"/>
          <w:left w:w="28" w:type="dxa"/>
          <w:bottom w:w="28" w:type="dxa"/>
          <w:right w:w="28" w:type="dxa"/>
        </w:tblCellMar>
      </w:tblPr>
      <w:tblGrid>
        <w:gridCol w:w="1095"/>
        <w:gridCol w:w="961"/>
        <w:gridCol w:w="974"/>
        <w:gridCol w:w="109"/>
        <w:gridCol w:w="109"/>
        <w:gridCol w:w="109"/>
        <w:gridCol w:w="148"/>
        <w:gridCol w:w="148"/>
        <w:gridCol w:w="148"/>
        <w:gridCol w:w="220"/>
        <w:gridCol w:w="220"/>
        <w:gridCol w:w="221"/>
        <w:gridCol w:w="148"/>
        <w:gridCol w:w="148"/>
        <w:gridCol w:w="148"/>
        <w:gridCol w:w="109"/>
        <w:gridCol w:w="109"/>
        <w:gridCol w:w="109"/>
        <w:gridCol w:w="352"/>
        <w:gridCol w:w="352"/>
        <w:gridCol w:w="352"/>
        <w:gridCol w:w="755"/>
        <w:gridCol w:w="755"/>
        <w:gridCol w:w="755"/>
        <w:gridCol w:w="352"/>
        <w:gridCol w:w="352"/>
        <w:gridCol w:w="497"/>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PARAA</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 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PARA</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495"/>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    </w:t>
      </w:r>
      <w:r>
        <w:rPr>
          <w:rFonts w:ascii="Times New Roman;sans-serif" w:hAnsi="Times New Roman;sans-serif"/>
          <w:b w:val="false"/>
          <w:color w:val="000000"/>
          <w:sz w:val="18"/>
        </w:rPr>
        <w:t>No </w:t>
      </w:r>
      <w:r>
        <w:rPr>
          <w:color w:val="000000"/>
        </w:rPr>
        <w:t>☐</w:t>
      </w:r>
    </w:p>
    <w:p>
      <w:pPr>
        <w:pStyle w:val="TextBody"/>
        <w:bidi w:val="0"/>
        <w:spacing w:lineRule="auto" w:line="288" w:before="60" w:after="160"/>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60" w:after="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8"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0" w:after="60"/>
        <w:ind w:left="0" w:right="0" w:firstLine="495"/>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60"/>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60" w:after="120"/>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of common stock outstanding at April 25, 2024:</w:t>
      </w:r>
    </w:p>
    <w:p>
      <w:pPr>
        <w:pStyle w:val="TextBody"/>
        <w:bidi w:val="0"/>
        <w:spacing w:lineRule="auto" w:line="288" w:before="60" w:after="6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par value $.001 per share— 40,702,775 </w:t>
      </w:r>
    </w:p>
    <w:p>
      <w:pPr>
        <w:pStyle w:val="TextBody"/>
        <w:bidi w:val="0"/>
        <w:spacing w:lineRule="auto" w:line="288" w:before="0" w:after="0"/>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par value $.001 per share— 625,775,907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PARAMOUNT GLOBAL</w: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INDEX TO FORM 10-Q</w:t>
      </w:r>
    </w:p>
    <w:tbl>
      <w:tblPr>
        <w:tblW w:w="9121" w:type="dxa"/>
        <w:jc w:val="center"/>
        <w:tblInd w:w="0" w:type="dxa"/>
        <w:tblLayout w:type="fixed"/>
        <w:tblCellMar>
          <w:top w:w="28" w:type="dxa"/>
          <w:left w:w="28" w:type="dxa"/>
          <w:bottom w:w="28" w:type="dxa"/>
          <w:right w:w="28" w:type="dxa"/>
        </w:tblCellMar>
      </w:tblPr>
      <w:tblGrid>
        <w:gridCol w:w="342"/>
        <w:gridCol w:w="300"/>
        <w:gridCol w:w="303"/>
        <w:gridCol w:w="2514"/>
        <w:gridCol w:w="2514"/>
        <w:gridCol w:w="2517"/>
        <w:gridCol w:w="184"/>
        <w:gridCol w:w="184"/>
        <w:gridCol w:w="26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Page</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6">
              <w:r>
                <w:rPr>
                  <w:rStyle w:val="InternetLink"/>
                  <w:rFonts w:ascii="Times New Roman;sans-serif" w:hAnsi="Times New Roman;sans-serif"/>
                  <w:b w:val="false"/>
                  <w:strike w:val="false"/>
                  <w:dstrike w:val="false"/>
                  <w:color w:val="000000"/>
                  <w:sz w:val="22"/>
                  <w:u w:val="none"/>
                  <w:effect w:val="none"/>
                </w:rPr>
                <w:t>Item 1.</w:t>
              </w:r>
            </w:hyperlink>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6">
              <w:r>
                <w:rPr>
                  <w:rStyle w:val="InternetLink"/>
                  <w:rFonts w:ascii="Times New Roman;sans-serif" w:hAnsi="Times New Roman;sans-serif"/>
                  <w:b w:val="false"/>
                  <w:strike w:val="false"/>
                  <w:dstrike w:val="false"/>
                  <w:color w:val="0000FF"/>
                  <w:sz w:val="22"/>
                  <w:u w:val="none"/>
                  <w:effect w:val="none"/>
                </w:rPr>
                <w:t>Financial Statements.</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9">
              <w:r>
                <w:rPr>
                  <w:rStyle w:val="InternetLink"/>
                  <w:rFonts w:ascii="Times New Roman;sans-serif" w:hAnsi="Times New Roman;sans-serif"/>
                  <w:b w:val="false"/>
                  <w:strike w:val="false"/>
                  <w:dstrike w:val="false"/>
                  <w:color w:val="0000FF"/>
                  <w:sz w:val="22"/>
                  <w:u w:val="none"/>
                  <w:effect w:val="none"/>
                </w:rPr>
                <w:t xml:space="preserve">Consolidated Statements of Operations (Unaudited) for the </w:t>
              </w:r>
            </w:hyperlink>
          </w:p>
          <w:p>
            <w:pPr>
              <w:pStyle w:val="TableContents"/>
              <w:bidi w:val="0"/>
              <w:spacing w:lineRule="auto" w:line="288" w:before="0" w:after="0"/>
              <w:jc w:val="left"/>
              <w:rPr/>
            </w:pPr>
            <w:r>
              <w:rPr>
                <w:color w:val="000000"/>
              </w:rPr>
              <w:t> </w:t>
            </w:r>
            <w:hyperlink w:anchor="i0a2b5ad82fec4b8f87fd556077356ab8_19">
              <w:r>
                <w:rPr>
                  <w:rStyle w:val="InternetLink"/>
                  <w:rFonts w:ascii="Times New Roman;sans-serif" w:hAnsi="Times New Roman;sans-serif"/>
                  <w:b w:val="false"/>
                  <w:strike w:val="false"/>
                  <w:dstrike w:val="false"/>
                  <w:color w:val="000080"/>
                  <w:sz w:val="22"/>
                  <w:u w:val="single"/>
                  <w:effect w:val="none"/>
                </w:rPr>
                <w:t xml:space="preserve">Three </w:t>
              </w:r>
            </w:hyperlink>
            <w:hyperlink w:anchor="i0a2b5ad82fec4b8f87fd556077356ab8_19">
              <w:r>
                <w:rPr>
                  <w:rStyle w:val="InternetLink"/>
                  <w:rFonts w:ascii="Times New Roman;sans-serif" w:hAnsi="Times New Roman;sans-serif"/>
                  <w:b w:val="false"/>
                  <w:strike w:val="false"/>
                  <w:dstrike w:val="false"/>
                  <w:color w:val="000080"/>
                  <w:sz w:val="22"/>
                  <w:u w:val="single"/>
                  <w:effect w:val="none"/>
                </w:rPr>
                <w:t xml:space="preserve">Months </w:t>
              </w:r>
            </w:hyperlink>
            <w:hyperlink w:anchor="i0a2b5ad82fec4b8f87fd556077356ab8_19">
              <w:r>
                <w:rPr>
                  <w:rStyle w:val="InternetLink"/>
                  <w:rFonts w:ascii="Times New Roman;sans-serif" w:hAnsi="Times New Roman;sans-serif"/>
                  <w:b w:val="false"/>
                  <w:strike w:val="false"/>
                  <w:dstrike w:val="false"/>
                  <w:color w:val="000080"/>
                  <w:sz w:val="22"/>
                  <w:u w:val="single"/>
                  <w:effect w:val="none"/>
                </w:rPr>
                <w:t xml:space="preserve">Ended </w:t>
              </w:r>
            </w:hyperlink>
            <w:hyperlink w:anchor="i0a2b5ad82fec4b8f87fd556077356ab8_19">
              <w:r>
                <w:rPr>
                  <w:rStyle w:val="InternetLink"/>
                  <w:rFonts w:ascii="Times New Roman;sans-serif" w:hAnsi="Times New Roman;sans-serif"/>
                  <w:b w:val="false"/>
                  <w:strike w:val="false"/>
                  <w:dstrike w:val="false"/>
                  <w:color w:val="000080"/>
                  <w:sz w:val="22"/>
                  <w:u w:val="single"/>
                  <w:effect w:val="none"/>
                </w:rPr>
                <w:t xml:space="preserve">March 31, 2024 and </w:t>
              </w:r>
            </w:hyperlink>
            <w:hyperlink w:anchor="i0a2b5ad82fec4b8f87fd556077356ab8_19">
              <w:r>
                <w:rPr>
                  <w:rStyle w:val="InternetLink"/>
                  <w:rFonts w:ascii="Times New Roman;sans-serif" w:hAnsi="Times New Roman;sans-serif"/>
                  <w:b w:val="false"/>
                  <w:strike w:val="false"/>
                  <w:dstrike w:val="false"/>
                  <w:color w:val="000080"/>
                  <w:sz w:val="22"/>
                  <w:u w:val="single"/>
                  <w:effect w:val="none"/>
                </w:rPr>
                <w:t>Mar</w:t>
              </w:r>
            </w:hyperlink>
            <w:hyperlink w:anchor="i0a2b5ad82fec4b8f87fd556077356ab8_19">
              <w:r>
                <w:rPr>
                  <w:rStyle w:val="InternetLink"/>
                  <w:rFonts w:ascii="Times New Roman;sans-serif" w:hAnsi="Times New Roman;sans-serif"/>
                  <w:b w:val="false"/>
                  <w:strike w:val="false"/>
                  <w:dstrike w:val="false"/>
                  <w:color w:val="000080"/>
                  <w:sz w:val="22"/>
                  <w:u w:val="single"/>
                  <w:effect w:val="none"/>
                </w:rPr>
                <w:t>ch 31</w:t>
              </w:r>
            </w:hyperlink>
            <w:hyperlink w:anchor="i0a2b5ad82fec4b8f87fd556077356ab8_19">
              <w:r>
                <w:rPr>
                  <w:rStyle w:val="InternetLink"/>
                  <w:rFonts w:ascii="Times New Roman;sans-serif" w:hAnsi="Times New Roman;sans-serif"/>
                  <w:b w:val="false"/>
                  <w:strike w:val="false"/>
                  <w:dstrike w:val="false"/>
                  <w:color w:val="000080"/>
                  <w:sz w:val="22"/>
                  <w:u w:val="single"/>
                  <w:effect w:val="none"/>
                </w:rPr>
                <w:t>, 2023</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9">
              <w:r>
                <w:rPr>
                  <w:rStyle w:val="InternetLink"/>
                  <w:rFonts w:ascii="Times New Roman;sans-serif" w:hAnsi="Times New Roman;sans-serif"/>
                  <w:b w:val="false"/>
                  <w:strike w:val="false"/>
                  <w:dstrike w:val="false"/>
                  <w:color w:val="0000FF"/>
                  <w:sz w:val="22"/>
                  <w:u w:val="none"/>
                  <w:effect w:val="none"/>
                </w:rPr>
                <w:t>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22">
              <w:r>
                <w:rPr>
                  <w:rStyle w:val="InternetLink"/>
                  <w:rFonts w:ascii="Times New Roman;sans-serif" w:hAnsi="Times New Roman;sans-serif"/>
                  <w:b w:val="false"/>
                  <w:strike w:val="false"/>
                  <w:dstrike w:val="false"/>
                  <w:color w:val="0000FF"/>
                  <w:sz w:val="22"/>
                  <w:u w:val="none"/>
                  <w:effect w:val="none"/>
                </w:rPr>
                <w:t xml:space="preserve">Consolidated Statements of Comprehensive Income (Unaudited) for the </w:t>
              </w:r>
            </w:hyperlink>
          </w:p>
          <w:p>
            <w:pPr>
              <w:pStyle w:val="TableContents"/>
              <w:bidi w:val="0"/>
              <w:spacing w:lineRule="auto" w:line="288" w:before="0" w:after="0"/>
              <w:jc w:val="left"/>
              <w:rPr/>
            </w:pPr>
            <w:r>
              <w:rPr>
                <w:color w:val="000000"/>
              </w:rPr>
              <w:t> </w:t>
            </w:r>
            <w:hyperlink w:anchor="i0a2b5ad82fec4b8f87fd556077356ab8_22">
              <w:r>
                <w:rPr>
                  <w:rStyle w:val="InternetLink"/>
                  <w:rFonts w:ascii="Times New Roman;sans-serif" w:hAnsi="Times New Roman;sans-serif"/>
                  <w:b w:val="false"/>
                  <w:strike w:val="false"/>
                  <w:dstrike w:val="false"/>
                  <w:color w:val="000080"/>
                  <w:sz w:val="22"/>
                  <w:u w:val="single"/>
                  <w:effect w:val="none"/>
                </w:rPr>
                <w:t xml:space="preserve">Three </w:t>
              </w:r>
            </w:hyperlink>
            <w:hyperlink w:anchor="i0a2b5ad82fec4b8f87fd556077356ab8_22">
              <w:r>
                <w:rPr>
                  <w:rStyle w:val="InternetLink"/>
                  <w:rFonts w:ascii="Times New Roman;sans-serif" w:hAnsi="Times New Roman;sans-serif"/>
                  <w:b w:val="false"/>
                  <w:strike w:val="false"/>
                  <w:dstrike w:val="false"/>
                  <w:color w:val="000080"/>
                  <w:sz w:val="22"/>
                  <w:u w:val="single"/>
                  <w:effect w:val="none"/>
                </w:rPr>
                <w:t xml:space="preserve">Months Ended </w:t>
              </w:r>
            </w:hyperlink>
            <w:hyperlink w:anchor="i0a2b5ad82fec4b8f87fd556077356ab8_22">
              <w:r>
                <w:rPr>
                  <w:rStyle w:val="InternetLink"/>
                  <w:rFonts w:ascii="Times New Roman;sans-serif" w:hAnsi="Times New Roman;sans-serif"/>
                  <w:b w:val="false"/>
                  <w:strike w:val="false"/>
                  <w:dstrike w:val="false"/>
                  <w:color w:val="000080"/>
                  <w:sz w:val="22"/>
                  <w:u w:val="single"/>
                  <w:effect w:val="none"/>
                </w:rPr>
                <w:t>March 31, 2024 a</w:t>
              </w:r>
            </w:hyperlink>
            <w:hyperlink w:anchor="i0a2b5ad82fec4b8f87fd556077356ab8_22">
              <w:r>
                <w:rPr>
                  <w:rStyle w:val="InternetLink"/>
                  <w:rFonts w:ascii="Times New Roman;sans-serif" w:hAnsi="Times New Roman;sans-serif"/>
                  <w:b w:val="false"/>
                  <w:strike w:val="false"/>
                  <w:dstrike w:val="false"/>
                  <w:color w:val="000080"/>
                  <w:sz w:val="22"/>
                  <w:u w:val="single"/>
                  <w:effect w:val="none"/>
                </w:rPr>
                <w:t xml:space="preserve">nd </w:t>
              </w:r>
            </w:hyperlink>
            <w:hyperlink w:anchor="i0a2b5ad82fec4b8f87fd556077356ab8_22">
              <w:r>
                <w:rPr>
                  <w:rStyle w:val="InternetLink"/>
                  <w:rFonts w:ascii="Times New Roman;sans-serif" w:hAnsi="Times New Roman;sans-serif"/>
                  <w:b w:val="false"/>
                  <w:strike w:val="false"/>
                  <w:dstrike w:val="false"/>
                  <w:color w:val="000080"/>
                  <w:sz w:val="22"/>
                  <w:u w:val="single"/>
                  <w:effect w:val="none"/>
                </w:rPr>
                <w:t>March 31</w:t>
              </w:r>
            </w:hyperlink>
            <w:hyperlink w:anchor="i0a2b5ad82fec4b8f87fd556077356ab8_22">
              <w:r>
                <w:rPr>
                  <w:rStyle w:val="InternetLink"/>
                  <w:rFonts w:ascii="Times New Roman;sans-serif" w:hAnsi="Times New Roman;sans-serif"/>
                  <w:b w:val="false"/>
                  <w:strike w:val="false"/>
                  <w:dstrike w:val="false"/>
                  <w:color w:val="000080"/>
                  <w:sz w:val="22"/>
                  <w:u w:val="single"/>
                  <w:effect w:val="none"/>
                </w:rPr>
                <w:t>, 2023</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22">
              <w:r>
                <w:rPr>
                  <w:rStyle w:val="InternetLink"/>
                  <w:rFonts w:ascii="Times New Roman;sans-serif" w:hAnsi="Times New Roman;sans-serif"/>
                  <w:b w:val="false"/>
                  <w:strike w:val="false"/>
                  <w:dstrike w:val="false"/>
                  <w:color w:val="0000FF"/>
                  <w:sz w:val="22"/>
                  <w:u w:val="none"/>
                  <w:effect w:val="none"/>
                </w:rPr>
                <w:t>4</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25">
              <w:r>
                <w:rPr>
                  <w:rStyle w:val="InternetLink"/>
                  <w:rFonts w:ascii="Times New Roman;sans-serif" w:hAnsi="Times New Roman;sans-serif"/>
                  <w:b w:val="false"/>
                  <w:strike w:val="false"/>
                  <w:dstrike w:val="false"/>
                  <w:color w:val="000080"/>
                  <w:sz w:val="22"/>
                  <w:u w:val="single"/>
                  <w:effect w:val="none"/>
                </w:rPr>
                <w:t xml:space="preserve">Consolidated Balance Sheets (Unaudited) at </w:t>
              </w:r>
            </w:hyperlink>
            <w:hyperlink w:anchor="i0a2b5ad82fec4b8f87fd556077356ab8_25">
              <w:r>
                <w:rPr>
                  <w:rStyle w:val="InternetLink"/>
                  <w:rFonts w:ascii="Times New Roman;sans-serif" w:hAnsi="Times New Roman;sans-serif"/>
                  <w:b w:val="false"/>
                  <w:strike w:val="false"/>
                  <w:dstrike w:val="false"/>
                  <w:color w:val="000080"/>
                  <w:sz w:val="22"/>
                  <w:u w:val="single"/>
                  <w:effect w:val="none"/>
                </w:rPr>
                <w:t>March 31, 2024</w:t>
              </w:r>
            </w:hyperlink>
            <w:hyperlink w:anchor="i0a2b5ad82fec4b8f87fd556077356ab8_25">
              <w:r>
                <w:rPr>
                  <w:rStyle w:val="InternetLink"/>
                  <w:rFonts w:ascii="Times New Roman;sans-serif" w:hAnsi="Times New Roman;sans-serif"/>
                  <w:b w:val="false"/>
                  <w:strike w:val="false"/>
                  <w:dstrike w:val="false"/>
                  <w:color w:val="000080"/>
                  <w:sz w:val="22"/>
                  <w:u w:val="single"/>
                  <w:effect w:val="none"/>
                </w:rPr>
                <w:t xml:space="preserve"> and </w:t>
              </w:r>
            </w:hyperlink>
          </w:p>
          <w:p>
            <w:pPr>
              <w:pStyle w:val="TableContents"/>
              <w:bidi w:val="0"/>
              <w:spacing w:lineRule="auto" w:line="288" w:before="0" w:after="0"/>
              <w:jc w:val="left"/>
              <w:rPr/>
            </w:pPr>
            <w:r>
              <w:rPr>
                <w:color w:val="000000"/>
              </w:rPr>
              <w:t>  </w:t>
            </w:r>
            <w:hyperlink w:anchor="i0a2b5ad82fec4b8f87fd556077356ab8_25">
              <w:r>
                <w:rPr>
                  <w:rStyle w:val="InternetLink"/>
                  <w:rFonts w:ascii="Times New Roman;sans-serif" w:hAnsi="Times New Roman;sans-serif"/>
                  <w:b w:val="false"/>
                  <w:strike w:val="false"/>
                  <w:dstrike w:val="false"/>
                  <w:color w:val="000080"/>
                  <w:sz w:val="22"/>
                  <w:u w:val="single"/>
                  <w:effect w:val="none"/>
                </w:rPr>
                <w:t xml:space="preserve">December 31, </w:t>
              </w:r>
            </w:hyperlink>
            <w:hyperlink w:anchor="i0a2b5ad82fec4b8f87fd556077356ab8_25">
              <w:r>
                <w:rPr>
                  <w:rStyle w:val="InternetLink"/>
                  <w:rFonts w:ascii="Times New Roman;sans-serif" w:hAnsi="Times New Roman;sans-serif"/>
                  <w:b w:val="false"/>
                  <w:strike w:val="false"/>
                  <w:dstrike w:val="false"/>
                  <w:color w:val="000080"/>
                  <w:sz w:val="22"/>
                  <w:u w:val="single"/>
                  <w:effect w:val="none"/>
                </w:rPr>
                <w:t>2023</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25">
              <w:r>
                <w:rPr>
                  <w:rStyle w:val="InternetLink"/>
                  <w:rFonts w:ascii="Times New Roman;sans-serif" w:hAnsi="Times New Roman;sans-serif"/>
                  <w:b w:val="false"/>
                  <w:strike w:val="false"/>
                  <w:dstrike w:val="false"/>
                  <w:color w:val="0000FF"/>
                  <w:sz w:val="22"/>
                  <w:u w:val="none"/>
                  <w:effect w:val="none"/>
                </w:rPr>
                <w:t>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28">
              <w:r>
                <w:rPr>
                  <w:rStyle w:val="InternetLink"/>
                  <w:rFonts w:ascii="Times New Roman;sans-serif" w:hAnsi="Times New Roman;sans-serif"/>
                  <w:b w:val="false"/>
                  <w:strike w:val="false"/>
                  <w:dstrike w:val="false"/>
                  <w:color w:val="0000FF"/>
                  <w:sz w:val="22"/>
                  <w:u w:val="none"/>
                  <w:effect w:val="none"/>
                </w:rPr>
                <w:t xml:space="preserve">Consolidated Statements of Cash Flows (Unaudited) for the </w:t>
              </w:r>
            </w:hyperlink>
          </w:p>
          <w:p>
            <w:pPr>
              <w:pStyle w:val="TableContents"/>
              <w:bidi w:val="0"/>
              <w:spacing w:lineRule="auto" w:line="288" w:before="0" w:after="0"/>
              <w:jc w:val="left"/>
              <w:rPr/>
            </w:pPr>
            <w:r>
              <w:rPr>
                <w:color w:val="000000"/>
              </w:rPr>
              <w:t> </w:t>
            </w:r>
            <w:hyperlink w:anchor="i0a2b5ad82fec4b8f87fd556077356ab8_28">
              <w:r>
                <w:rPr>
                  <w:rStyle w:val="InternetLink"/>
                  <w:rFonts w:ascii="Times New Roman;sans-serif" w:hAnsi="Times New Roman;sans-serif"/>
                  <w:b w:val="false"/>
                  <w:strike w:val="false"/>
                  <w:dstrike w:val="false"/>
                  <w:color w:val="000080"/>
                  <w:sz w:val="22"/>
                  <w:u w:val="single"/>
                  <w:effect w:val="none"/>
                </w:rPr>
                <w:t>Three</w:t>
              </w:r>
            </w:hyperlink>
            <w:hyperlink w:anchor="i0a2b5ad82fec4b8f87fd556077356ab8_28">
              <w:r>
                <w:rPr>
                  <w:rStyle w:val="InternetLink"/>
                  <w:rFonts w:ascii="Times New Roman;sans-serif" w:hAnsi="Times New Roman;sans-serif"/>
                  <w:b w:val="false"/>
                  <w:strike w:val="false"/>
                  <w:dstrike w:val="false"/>
                  <w:color w:val="000080"/>
                  <w:sz w:val="22"/>
                  <w:u w:val="single"/>
                  <w:effect w:val="none"/>
                </w:rPr>
                <w:t xml:space="preserve"> Months Ended </w:t>
              </w:r>
            </w:hyperlink>
            <w:hyperlink w:anchor="i0a2b5ad82fec4b8f87fd556077356ab8_28">
              <w:r>
                <w:rPr>
                  <w:rStyle w:val="InternetLink"/>
                  <w:rFonts w:ascii="Times New Roman;sans-serif" w:hAnsi="Times New Roman;sans-serif"/>
                  <w:b w:val="false"/>
                  <w:strike w:val="false"/>
                  <w:dstrike w:val="false"/>
                  <w:color w:val="000080"/>
                  <w:sz w:val="22"/>
                  <w:u w:val="single"/>
                  <w:effect w:val="none"/>
                </w:rPr>
                <w:t xml:space="preserve">March 31, 2024 and </w:t>
              </w:r>
            </w:hyperlink>
            <w:hyperlink w:anchor="i0a2b5ad82fec4b8f87fd556077356ab8_28">
              <w:r>
                <w:rPr>
                  <w:rStyle w:val="InternetLink"/>
                  <w:rFonts w:ascii="Times New Roman;sans-serif" w:hAnsi="Times New Roman;sans-serif"/>
                  <w:b w:val="false"/>
                  <w:strike w:val="false"/>
                  <w:dstrike w:val="false"/>
                  <w:color w:val="000080"/>
                  <w:sz w:val="22"/>
                  <w:u w:val="single"/>
                  <w:effect w:val="none"/>
                </w:rPr>
                <w:t>March 31</w:t>
              </w:r>
            </w:hyperlink>
            <w:hyperlink w:anchor="i0a2b5ad82fec4b8f87fd556077356ab8_28">
              <w:r>
                <w:rPr>
                  <w:rStyle w:val="InternetLink"/>
                  <w:rFonts w:ascii="Times New Roman;sans-serif" w:hAnsi="Times New Roman;sans-serif"/>
                  <w:b w:val="false"/>
                  <w:strike w:val="false"/>
                  <w:dstrike w:val="false"/>
                  <w:color w:val="000080"/>
                  <w:sz w:val="22"/>
                  <w:u w:val="single"/>
                  <w:effect w:val="none"/>
                </w:rPr>
                <w:t>, 2023</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28">
              <w:r>
                <w:rPr>
                  <w:rStyle w:val="InternetLink"/>
                  <w:rFonts w:ascii="Times New Roman;sans-serif" w:hAnsi="Times New Roman;sans-serif"/>
                  <w:b w:val="false"/>
                  <w:strike w:val="false"/>
                  <w:dstrike w:val="false"/>
                  <w:color w:val="0000FF"/>
                  <w:sz w:val="22"/>
                  <w:u w:val="none"/>
                  <w:effect w:val="none"/>
                </w:rPr>
                <w:t>6</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34">
              <w:r>
                <w:rPr>
                  <w:rStyle w:val="InternetLink"/>
                  <w:rFonts w:ascii="Times New Roman;sans-serif" w:hAnsi="Times New Roman;sans-serif"/>
                  <w:b w:val="false"/>
                  <w:strike w:val="false"/>
                  <w:dstrike w:val="false"/>
                  <w:color w:val="000080"/>
                  <w:sz w:val="22"/>
                  <w:u w:val="single"/>
                  <w:effect w:val="none"/>
                </w:rPr>
                <w:t>Consolidated Statements of Stockholders</w:t>
              </w:r>
            </w:hyperlink>
            <w:hyperlink w:anchor="i0a2b5ad82fec4b8f87fd556077356ab8_106">
              <w:r>
                <w:rPr>
                  <w:rStyle w:val="InternetLink"/>
                  <w:rFonts w:ascii="Times New Roman;sans-serif" w:hAnsi="Times New Roman;sans-serif"/>
                  <w:b w:val="false"/>
                  <w:strike w:val="false"/>
                  <w:dstrike w:val="false"/>
                  <w:color w:val="000080"/>
                  <w:sz w:val="22"/>
                  <w:u w:val="single"/>
                  <w:effect w:val="none"/>
                </w:rPr>
                <w:t>’</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 xml:space="preserve"> Equity (Unaudited) for the </w:t>
              </w:r>
            </w:hyperlink>
          </w:p>
          <w:p>
            <w:pPr>
              <w:pStyle w:val="TableContents"/>
              <w:bidi w:val="0"/>
              <w:spacing w:lineRule="auto" w:line="288" w:before="0" w:after="0"/>
              <w:jc w:val="left"/>
              <w:rPr/>
            </w:pPr>
            <w:r>
              <w:rPr>
                <w:color w:val="000000"/>
              </w:rPr>
              <w:t> </w:t>
            </w:r>
            <w:hyperlink w:anchor="i0a2b5ad82fec4b8f87fd556077356ab8_34">
              <w:r>
                <w:rPr>
                  <w:rStyle w:val="InternetLink"/>
                  <w:rFonts w:ascii="Times New Roman;sans-serif" w:hAnsi="Times New Roman;sans-serif"/>
                  <w:b w:val="false"/>
                  <w:strike w:val="false"/>
                  <w:dstrike w:val="false"/>
                  <w:color w:val="000080"/>
                  <w:sz w:val="22"/>
                  <w:u w:val="single"/>
                  <w:effect w:val="none"/>
                </w:rPr>
                <w:t>Three</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 xml:space="preserve"> Months Ended </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March 31,</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 xml:space="preserve"> 202</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4</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 xml:space="preserve"> and </w:t>
              </w:r>
            </w:hyperlink>
            <w:hyperlink w:anchor="i0a2b5ad82fec4b8f87fd556077356ab8_34">
              <w:r>
                <w:rPr>
                  <w:rStyle w:val="InternetLink"/>
                  <w:rFonts w:ascii="Times New Roman;sans-serif" w:hAnsi="Times New Roman;sans-serif"/>
                  <w:b w:val="false"/>
                  <w:strike w:val="false"/>
                  <w:dstrike w:val="false"/>
                  <w:color w:val="000080"/>
                  <w:sz w:val="22"/>
                  <w:u w:val="single"/>
                  <w:effect w:val="none"/>
                </w:rPr>
                <w:t>March 31, 2023</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34">
              <w:r>
                <w:rPr>
                  <w:rStyle w:val="InternetLink"/>
                  <w:rFonts w:ascii="Times New Roman;sans-serif" w:hAnsi="Times New Roman;sans-serif"/>
                  <w:b w:val="false"/>
                  <w:strike w:val="false"/>
                  <w:dstrike w:val="false"/>
                  <w:color w:val="3051F2"/>
                  <w:sz w:val="22"/>
                  <w:u w:val="none"/>
                  <w:effect w:val="none"/>
                </w:rPr>
                <w:t>7</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40">
              <w:r>
                <w:rPr>
                  <w:rStyle w:val="InternetLink"/>
                  <w:rFonts w:ascii="Times New Roman;sans-serif" w:hAnsi="Times New Roman;sans-serif"/>
                  <w:b w:val="false"/>
                  <w:strike w:val="false"/>
                  <w:dstrike w:val="false"/>
                  <w:color w:val="0000FF"/>
                  <w:sz w:val="22"/>
                  <w:u w:val="none"/>
                  <w:effect w:val="none"/>
                </w:rPr>
                <w:t>Notes to Consolidated Financial Statements (Unaudited)</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40">
              <w:r>
                <w:rPr>
                  <w:rStyle w:val="InternetLink"/>
                  <w:rFonts w:ascii="Times New Roman;sans-serif" w:hAnsi="Times New Roman;sans-serif"/>
                  <w:b w:val="false"/>
                  <w:strike w:val="false"/>
                  <w:dstrike w:val="false"/>
                  <w:color w:val="0000FF"/>
                  <w:sz w:val="22"/>
                  <w:u w:val="none"/>
                  <w:effect w:val="none"/>
                </w:rPr>
                <w:t>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09">
              <w:r>
                <w:rPr>
                  <w:rStyle w:val="InternetLink"/>
                  <w:rFonts w:ascii="Times New Roman;sans-serif" w:hAnsi="Times New Roman;sans-serif"/>
                  <w:b w:val="false"/>
                  <w:strike w:val="false"/>
                  <w:dstrike w:val="false"/>
                  <w:color w:val="000000"/>
                  <w:sz w:val="22"/>
                  <w:u w:val="none"/>
                  <w:effect w:val="none"/>
                </w:rPr>
                <w:t>Item 2.</w:t>
              </w:r>
            </w:hyperlink>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06">
              <w:r>
                <w:rPr>
                  <w:rStyle w:val="InternetLink"/>
                  <w:rFonts w:ascii="Times New Roman;sans-serif" w:hAnsi="Times New Roman;sans-serif"/>
                  <w:b w:val="false"/>
                  <w:strike w:val="false"/>
                  <w:dstrike w:val="false"/>
                  <w:color w:val="0000FF"/>
                  <w:sz w:val="22"/>
                  <w:u w:val="none"/>
                  <w:effect w:val="none"/>
                </w:rPr>
                <w:t xml:space="preserve">Management’s Discussion and Analysis of Results of Operations and Financial </w:t>
              </w:r>
            </w:hyperlink>
          </w:p>
          <w:p>
            <w:pPr>
              <w:pStyle w:val="TableContents"/>
              <w:bidi w:val="0"/>
              <w:spacing w:lineRule="auto" w:line="288" w:before="0" w:after="0"/>
              <w:jc w:val="left"/>
              <w:rPr/>
            </w:pPr>
            <w:r>
              <w:rPr>
                <w:color w:val="000000"/>
              </w:rPr>
              <w:t> </w:t>
            </w:r>
            <w:hyperlink w:anchor="i0a2b5ad82fec4b8f87fd556077356ab8_106">
              <w:r>
                <w:rPr>
                  <w:rStyle w:val="InternetLink"/>
                  <w:rFonts w:ascii="Times New Roman;sans-serif" w:hAnsi="Times New Roman;sans-serif"/>
                  <w:b w:val="false"/>
                  <w:strike w:val="false"/>
                  <w:dstrike w:val="false"/>
                  <w:color w:val="0000FF"/>
                  <w:sz w:val="22"/>
                  <w:u w:val="none"/>
                  <w:effect w:val="none"/>
                </w:rPr>
                <w:t>Condition.</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06">
              <w:r>
                <w:rPr>
                  <w:rStyle w:val="InternetLink"/>
                  <w:rFonts w:ascii="Times New Roman;sans-serif" w:hAnsi="Times New Roman;sans-serif"/>
                  <w:b w:val="false"/>
                  <w:strike w:val="false"/>
                  <w:dstrike w:val="false"/>
                  <w:color w:val="0000FF"/>
                  <w:sz w:val="22"/>
                  <w:u w:val="none"/>
                  <w:effect w:val="none"/>
                </w:rPr>
                <w:t>27</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78">
              <w:r>
                <w:rPr>
                  <w:rStyle w:val="InternetLink"/>
                  <w:rFonts w:ascii="Times New Roman;sans-serif" w:hAnsi="Times New Roman;sans-serif"/>
                  <w:b w:val="false"/>
                  <w:strike w:val="false"/>
                  <w:dstrike w:val="false"/>
                  <w:color w:val="000000"/>
                  <w:sz w:val="22"/>
                  <w:u w:val="none"/>
                  <w:effect w:val="none"/>
                </w:rPr>
                <w:t>Item 3.</w:t>
              </w:r>
            </w:hyperlink>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78">
              <w:r>
                <w:rPr>
                  <w:rStyle w:val="InternetLink"/>
                  <w:rFonts w:ascii="Times New Roman;sans-serif" w:hAnsi="Times New Roman;sans-serif"/>
                  <w:b w:val="false"/>
                  <w:strike w:val="false"/>
                  <w:dstrike w:val="false"/>
                  <w:color w:val="0000FF"/>
                  <w:sz w:val="22"/>
                  <w:u w:val="none"/>
                  <w:effect w:val="none"/>
                </w:rPr>
                <w:t>Quantitative and Qualitative Disclosures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78">
              <w:r>
                <w:rPr>
                  <w:rStyle w:val="InternetLink"/>
                  <w:rFonts w:ascii="Times New Roman;sans-serif" w:hAnsi="Times New Roman;sans-serif"/>
                  <w:b w:val="false"/>
                  <w:strike w:val="false"/>
                  <w:dstrike w:val="false"/>
                  <w:color w:val="0000FF"/>
                  <w:sz w:val="22"/>
                  <w:u w:val="none"/>
                  <w:effect w:val="none"/>
                </w:rPr>
                <w:t>48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81">
              <w:r>
                <w:rPr>
                  <w:rStyle w:val="InternetLink"/>
                  <w:rFonts w:ascii="Times New Roman;sans-serif" w:hAnsi="Times New Roman;sans-serif"/>
                  <w:b w:val="false"/>
                  <w:strike w:val="false"/>
                  <w:dstrike w:val="false"/>
                  <w:color w:val="000000"/>
                  <w:sz w:val="22"/>
                  <w:u w:val="none"/>
                  <w:effect w:val="none"/>
                </w:rPr>
                <w:t>Item 4.</w:t>
              </w:r>
            </w:hyperlink>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81">
              <w:r>
                <w:rPr>
                  <w:rStyle w:val="InternetLink"/>
                  <w:rFonts w:ascii="Times New Roman;sans-serif" w:hAnsi="Times New Roman;sans-serif"/>
                  <w:b w:val="false"/>
                  <w:strike w:val="false"/>
                  <w:dstrike w:val="false"/>
                  <w:color w:val="0000FF"/>
                  <w:sz w:val="22"/>
                  <w:u w:val="none"/>
                  <w:effect w:val="non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81">
              <w:r>
                <w:rPr>
                  <w:rStyle w:val="InternetLink"/>
                  <w:rFonts w:ascii="Times New Roman;sans-serif" w:hAnsi="Times New Roman;sans-serif"/>
                  <w:b w:val="false"/>
                  <w:strike w:val="false"/>
                  <w:dstrike w:val="false"/>
                  <w:color w:val="0000FF"/>
                  <w:sz w:val="22"/>
                  <w:u w:val="none"/>
                  <w:effect w:val="none"/>
                </w:rPr>
                <w:t>48</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84">
              <w:r>
                <w:rPr>
                  <w:rStyle w:val="InternetLink"/>
                  <w:rFonts w:ascii="Times New Roman;sans-serif" w:hAnsi="Times New Roman;sans-serif"/>
                  <w:b/>
                  <w:strike w:val="false"/>
                  <w:dstrike w:val="false"/>
                  <w:color w:val="000000"/>
                  <w:sz w:val="22"/>
                  <w:u w:val="none"/>
                  <w:effect w:val="none"/>
                </w:rPr>
                <w:t>PART II – OTHER INFORMATION</w:t>
              </w:r>
            </w:hyperlink>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87">
              <w:r>
                <w:rPr>
                  <w:rStyle w:val="InternetLink"/>
                  <w:rFonts w:ascii="Times New Roman;sans-serif" w:hAnsi="Times New Roman;sans-serif"/>
                  <w:b w:val="false"/>
                  <w:strike w:val="false"/>
                  <w:dstrike w:val="false"/>
                  <w:color w:val="0000FF"/>
                  <w:sz w:val="22"/>
                  <w:u w:val="none"/>
                  <w:effect w:val="non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87">
              <w:r>
                <w:rPr>
                  <w:rStyle w:val="InternetLink"/>
                  <w:rFonts w:ascii="Times New Roman;sans-serif" w:hAnsi="Times New Roman;sans-serif"/>
                  <w:b w:val="false"/>
                  <w:strike w:val="false"/>
                  <w:dstrike w:val="false"/>
                  <w:color w:val="0000FF"/>
                  <w:sz w:val="22"/>
                  <w:u w:val="none"/>
                  <w:effect w:val="none"/>
                </w:rPr>
                <w:t>49</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Item 1A.</w:t>
            </w:r>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90">
              <w:r>
                <w:rPr>
                  <w:rStyle w:val="InternetLink"/>
                  <w:rFonts w:ascii="Times New Roman;sans-serif" w:hAnsi="Times New Roman;sans-serif"/>
                  <w:b w:val="false"/>
                  <w:strike w:val="false"/>
                  <w:dstrike w:val="false"/>
                  <w:color w:val="0000FF"/>
                  <w:sz w:val="22"/>
                  <w:u w:val="none"/>
                  <w:effect w:val="non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90">
              <w:r>
                <w:rPr>
                  <w:rStyle w:val="InternetLink"/>
                  <w:rFonts w:ascii="Times New Roman;sans-serif" w:hAnsi="Times New Roman;sans-serif"/>
                  <w:b w:val="false"/>
                  <w:strike w:val="false"/>
                  <w:dstrike w:val="false"/>
                  <w:color w:val="0000FF"/>
                  <w:sz w:val="22"/>
                  <w:u w:val="none"/>
                  <w:effect w:val="none"/>
                </w:rPr>
                <w:t>49</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96">
              <w:r>
                <w:rPr>
                  <w:rStyle w:val="InternetLink"/>
                  <w:rFonts w:ascii="Times New Roman;sans-serif" w:hAnsi="Times New Roman;sans-serif"/>
                  <w:b w:val="false"/>
                  <w:strike w:val="false"/>
                  <w:dstrike w:val="false"/>
                  <w:color w:val="000000"/>
                  <w:sz w:val="22"/>
                  <w:u w:val="none"/>
                  <w:effect w:val="none"/>
                </w:rPr>
                <w:t>Item 2.</w:t>
              </w:r>
            </w:hyperlink>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196">
              <w:r>
                <w:rPr>
                  <w:rStyle w:val="InternetLink"/>
                  <w:rFonts w:ascii="Times New Roman;sans-serif" w:hAnsi="Times New Roman;sans-serif"/>
                  <w:b w:val="false"/>
                  <w:strike w:val="false"/>
                  <w:dstrike w:val="false"/>
                  <w:color w:val="0000FF"/>
                  <w:sz w:val="22"/>
                  <w:u w:val="none"/>
                  <w:effect w:val="non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196">
              <w:r>
                <w:rPr>
                  <w:rStyle w:val="InternetLink"/>
                  <w:rFonts w:ascii="Times New Roman;sans-serif" w:hAnsi="Times New Roman;sans-serif"/>
                  <w:b w:val="false"/>
                  <w:strike w:val="false"/>
                  <w:dstrike w:val="false"/>
                  <w:color w:val="0000FF"/>
                  <w:sz w:val="22"/>
                  <w:u w:val="none"/>
                  <w:effect w:val="none"/>
                </w:rPr>
                <w:t>49</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205">
              <w:r>
                <w:rPr>
                  <w:rStyle w:val="InternetLink"/>
                  <w:rFonts w:ascii="Times New Roman;sans-serif" w:hAnsi="Times New Roman;sans-serif"/>
                  <w:b w:val="false"/>
                  <w:strike w:val="false"/>
                  <w:dstrike w:val="false"/>
                  <w:color w:val="000000"/>
                  <w:sz w:val="22"/>
                  <w:u w:val="none"/>
                  <w:effect w:val="none"/>
                </w:rPr>
                <w:t>Item 6.</w:t>
              </w:r>
            </w:hyperlink>
          </w:p>
        </w:tc>
        <w:tc>
          <w:tcPr>
            <w:tcW w:w="75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2b5ad82fec4b8f87fd556077356ab8_205">
              <w:r>
                <w:rPr>
                  <w:rStyle w:val="InternetLink"/>
                  <w:rFonts w:ascii="Times New Roman;sans-serif" w:hAnsi="Times New Roman;sans-serif"/>
                  <w:b w:val="false"/>
                  <w:strike w:val="false"/>
                  <w:dstrike w:val="false"/>
                  <w:color w:val="0000FF"/>
                  <w:sz w:val="22"/>
                  <w:u w:val="none"/>
                  <w:effect w:val="non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a2b5ad82fec4b8f87fd556077356ab8_205">
              <w:r>
                <w:rPr>
                  <w:rStyle w:val="InternetLink"/>
                  <w:rFonts w:ascii="Times New Roman;sans-serif" w:hAnsi="Times New Roman;sans-serif"/>
                  <w:b w:val="false"/>
                  <w:strike w:val="false"/>
                  <w:dstrike w:val="false"/>
                  <w:color w:val="0000FF"/>
                  <w:sz w:val="22"/>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44" w:type="dxa"/>
        <w:jc w:val="center"/>
        <w:tblInd w:w="0" w:type="dxa"/>
        <w:tblLayout w:type="fixed"/>
        <w:tblCellMar>
          <w:top w:w="28" w:type="dxa"/>
          <w:left w:w="28" w:type="dxa"/>
          <w:bottom w:w="28" w:type="dxa"/>
          <w:right w:w="28" w:type="dxa"/>
        </w:tblCellMar>
      </w:tblPr>
      <w:tblGrid>
        <w:gridCol w:w="294"/>
        <w:gridCol w:w="257"/>
        <w:gridCol w:w="259"/>
        <w:gridCol w:w="653"/>
        <w:gridCol w:w="653"/>
        <w:gridCol w:w="928"/>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Item 1.</w:t>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(Unaudited; in millions, except per share amounts)</w:t>
      </w:r>
    </w:p>
    <w:tbl>
      <w:tblPr>
        <w:tblW w:w="9640" w:type="dxa"/>
        <w:jc w:val="center"/>
        <w:tblInd w:w="0" w:type="dxa"/>
        <w:tblLayout w:type="fixed"/>
        <w:tblCellMar>
          <w:top w:w="28" w:type="dxa"/>
          <w:left w:w="28" w:type="dxa"/>
          <w:bottom w:w="28" w:type="dxa"/>
          <w:right w:w="28" w:type="dxa"/>
        </w:tblCellMar>
      </w:tblPr>
      <w:tblGrid>
        <w:gridCol w:w="2236"/>
        <w:gridCol w:w="1957"/>
        <w:gridCol w:w="1971"/>
        <w:gridCol w:w="109"/>
        <w:gridCol w:w="109"/>
        <w:gridCol w:w="177"/>
        <w:gridCol w:w="177"/>
        <w:gridCol w:w="343"/>
        <w:gridCol w:w="1001"/>
        <w:gridCol w:w="177"/>
        <w:gridCol w:w="109"/>
        <w:gridCol w:w="109"/>
        <w:gridCol w:w="109"/>
        <w:gridCol w:w="211"/>
        <w:gridCol w:w="691"/>
        <w:gridCol w:w="154"/>
      </w:tblGrid>
      <w:tr>
        <w:trPr/>
        <w:tc>
          <w:tcPr>
            <w:tcW w:w="2236"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continuing operations before income taxes and equity in loss of </w:t>
              <w:br/>
              <w:t>    investee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 companies,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(Paramount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earnings (loss) per common share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earnings (loss) per common share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7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COMPREHENSIVE INCOME</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(Unaudited; in millions)</w:t>
      </w:r>
    </w:p>
    <w:tbl>
      <w:tblPr>
        <w:tblW w:w="9173" w:type="dxa"/>
        <w:jc w:val="center"/>
        <w:tblInd w:w="0" w:type="dxa"/>
        <w:tblLayout w:type="fixed"/>
        <w:tblCellMar>
          <w:top w:w="28" w:type="dxa"/>
          <w:left w:w="28" w:type="dxa"/>
          <w:bottom w:w="28" w:type="dxa"/>
          <w:right w:w="28" w:type="dxa"/>
        </w:tblCellMar>
      </w:tblPr>
      <w:tblGrid>
        <w:gridCol w:w="2063"/>
        <w:gridCol w:w="1813"/>
        <w:gridCol w:w="1823"/>
        <w:gridCol w:w="109"/>
        <w:gridCol w:w="109"/>
        <w:gridCol w:w="189"/>
        <w:gridCol w:w="189"/>
        <w:gridCol w:w="366"/>
        <w:gridCol w:w="940"/>
        <w:gridCol w:w="189"/>
        <w:gridCol w:w="109"/>
        <w:gridCol w:w="109"/>
        <w:gridCol w:w="109"/>
        <w:gridCol w:w="211"/>
        <w:gridCol w:w="691"/>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(Paramount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to net actuarial loss and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from continuing operations, </w:t>
              <w:br/>
              <w:t>net of tax (Paramount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1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9641" w:type="dxa"/>
        <w:jc w:val="center"/>
        <w:tblInd w:w="0" w:type="dxa"/>
        <w:tblLayout w:type="fixed"/>
        <w:tblCellMar>
          <w:top w:w="28" w:type="dxa"/>
          <w:left w:w="28" w:type="dxa"/>
          <w:bottom w:w="28" w:type="dxa"/>
          <w:right w:w="28" w:type="dxa"/>
        </w:tblCellMar>
      </w:tblPr>
      <w:tblGrid>
        <w:gridCol w:w="2199"/>
        <w:gridCol w:w="1925"/>
        <w:gridCol w:w="1935"/>
        <w:gridCol w:w="109"/>
        <w:gridCol w:w="109"/>
        <w:gridCol w:w="109"/>
        <w:gridCol w:w="196"/>
        <w:gridCol w:w="646"/>
        <w:gridCol w:w="109"/>
        <w:gridCol w:w="109"/>
        <w:gridCol w:w="109"/>
        <w:gridCol w:w="109"/>
        <w:gridCol w:w="109"/>
        <w:gridCol w:w="109"/>
        <w:gridCol w:w="109"/>
        <w:gridCol w:w="109"/>
        <w:gridCol w:w="109"/>
        <w:gridCol w:w="109"/>
        <w:gridCol w:w="196"/>
        <w:gridCol w:w="646"/>
        <w:gridCol w:w="109"/>
        <w:gridCol w:w="109"/>
        <w:gridCol w:w="109"/>
        <w:gridCol w:w="154"/>
      </w:tblGrid>
      <w:tr>
        <w:trPr/>
        <w:tc>
          <w:tcPr>
            <w:tcW w:w="219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At</w:t>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Programming and other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Programming and other 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Participants’ share and royalties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programming and production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Participants’ share and royalties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Paramount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5.75% Series A Mandatory Convertible Preferred Stock, par value $.001 per share;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18"/>
              </w:rPr>
              <w:t>25 shares authorized; 10 (2024 and 2023)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A Common Stock, par value $.001 per share; 55 shares authorized;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18"/>
              </w:rPr>
              <w:t>41 (2024 and 2023)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par value $.001 per share; 5,000 shares authorized; </w:t>
            </w:r>
          </w:p>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1,117 (2024) and 1,115 (2023)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503 (2024 and 2023) shares of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Paramount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53,543 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in millions)</w:t>
      </w:r>
    </w:p>
    <w:tbl>
      <w:tblPr>
        <w:tblW w:w="9264" w:type="dxa"/>
        <w:jc w:val="center"/>
        <w:tblInd w:w="0" w:type="dxa"/>
        <w:tblLayout w:type="fixed"/>
        <w:tblCellMar>
          <w:top w:w="28" w:type="dxa"/>
          <w:left w:w="28" w:type="dxa"/>
          <w:bottom w:w="28" w:type="dxa"/>
          <w:right w:w="28" w:type="dxa"/>
        </w:tblCellMar>
      </w:tblPr>
      <w:tblGrid>
        <w:gridCol w:w="2517"/>
        <w:gridCol w:w="2208"/>
        <w:gridCol w:w="2220"/>
        <w:gridCol w:w="211"/>
        <w:gridCol w:w="616"/>
        <w:gridCol w:w="109"/>
        <w:gridCol w:w="109"/>
        <w:gridCol w:w="109"/>
        <w:gridCol w:w="109"/>
        <w:gridCol w:w="211"/>
        <w:gridCol w:w="691"/>
        <w:gridCol w:w="154"/>
      </w:tblGrid>
      <w:tr>
        <w:trPr/>
        <w:tc>
          <w:tcPr>
            <w:tcW w:w="2517"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(Paramount and noncontrolling interests)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from discontinued operations, net of tax</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to reconcile net loss from continuing operations to net cash flow </w:t>
              <w:br/>
              <w:t>    provided by (used for) operating activities from continuing operations: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charges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 companies, net of tax</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assets and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(used for) operating activities from continuing operations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operating activities from discontinued operations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(used for) operating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used for investing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preferred stock</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payroll taxes in lieu of issuing shares for stock-based compensation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used for financing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beginning of year </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 (Continued)</w:t>
      </w:r>
    </w:p>
    <w:p>
      <w:pPr>
        <w:pStyle w:val="TextBody"/>
        <w:bidi w:val="0"/>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(Unaudited; in millions)</w:t>
      </w:r>
    </w:p>
    <w:tbl>
      <w:tblPr>
        <w:tblW w:w="15682" w:type="dxa"/>
        <w:jc w:val="center"/>
        <w:tblInd w:w="0" w:type="dxa"/>
        <w:tblLayout w:type="fixed"/>
        <w:tblCellMar>
          <w:top w:w="28" w:type="dxa"/>
          <w:left w:w="28" w:type="dxa"/>
          <w:bottom w:w="28" w:type="dxa"/>
          <w:right w:w="28" w:type="dxa"/>
        </w:tblCellMar>
      </w:tblPr>
      <w:tblGrid>
        <w:gridCol w:w="547"/>
        <w:gridCol w:w="370"/>
        <w:gridCol w:w="269"/>
        <w:gridCol w:w="210"/>
        <w:gridCol w:w="210"/>
        <w:gridCol w:w="211"/>
        <w:gridCol w:w="109"/>
        <w:gridCol w:w="109"/>
        <w:gridCol w:w="109"/>
        <w:gridCol w:w="196"/>
        <w:gridCol w:w="406"/>
        <w:gridCol w:w="109"/>
        <w:gridCol w:w="211"/>
        <w:gridCol w:w="210"/>
        <w:gridCol w:w="211"/>
        <w:gridCol w:w="109"/>
        <w:gridCol w:w="109"/>
        <w:gridCol w:w="109"/>
        <w:gridCol w:w="196"/>
        <w:gridCol w:w="241"/>
        <w:gridCol w:w="109"/>
        <w:gridCol w:w="109"/>
        <w:gridCol w:w="109"/>
        <w:gridCol w:w="109"/>
        <w:gridCol w:w="196"/>
        <w:gridCol w:w="646"/>
        <w:gridCol w:w="109"/>
        <w:gridCol w:w="109"/>
        <w:gridCol w:w="109"/>
        <w:gridCol w:w="109"/>
        <w:gridCol w:w="196"/>
        <w:gridCol w:w="661"/>
        <w:gridCol w:w="109"/>
        <w:gridCol w:w="109"/>
        <w:gridCol w:w="109"/>
        <w:gridCol w:w="109"/>
        <w:gridCol w:w="109"/>
        <w:gridCol w:w="109"/>
        <w:gridCol w:w="109"/>
        <w:gridCol w:w="196"/>
        <w:gridCol w:w="646"/>
        <w:gridCol w:w="109"/>
        <w:gridCol w:w="109"/>
        <w:gridCol w:w="109"/>
        <w:gridCol w:w="109"/>
        <w:gridCol w:w="109"/>
        <w:gridCol w:w="109"/>
        <w:gridCol w:w="109"/>
        <w:gridCol w:w="109"/>
        <w:gridCol w:w="109"/>
        <w:gridCol w:w="109"/>
        <w:gridCol w:w="196"/>
        <w:gridCol w:w="571"/>
        <w:gridCol w:w="109"/>
        <w:gridCol w:w="109"/>
        <w:gridCol w:w="109"/>
        <w:gridCol w:w="109"/>
        <w:gridCol w:w="109"/>
        <w:gridCol w:w="109"/>
        <w:gridCol w:w="109"/>
        <w:gridCol w:w="109"/>
        <w:gridCol w:w="109"/>
        <w:gridCol w:w="109"/>
        <w:gridCol w:w="196"/>
        <w:gridCol w:w="646"/>
        <w:gridCol w:w="109"/>
        <w:gridCol w:w="327"/>
        <w:gridCol w:w="327"/>
        <w:gridCol w:w="327"/>
        <w:gridCol w:w="196"/>
        <w:gridCol w:w="421"/>
        <w:gridCol w:w="109"/>
        <w:gridCol w:w="327"/>
        <w:gridCol w:w="327"/>
        <w:gridCol w:w="196"/>
        <w:gridCol w:w="64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6" w:type="dxa"/>
            <w:gridSpan w:val="8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1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Class A and B Common Stock </w:t>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Paramount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4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w:t>
              <w:br/>
              <w:t xml:space="preserve">compensation </w:t>
              <w:br/>
              <w:t>activity</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w:t>
              <w:br/>
              <w:t>dividends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w:t>
              <w:br/>
              <w:t>dividends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Noncontrolling </w:t>
              <w:br/>
              <w:t>interests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earnings (loss)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w:t>
            </w:r>
          </w:p>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420"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655 </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33,240 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13,226 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21,894 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22,337 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5682" w:type="dxa"/>
        <w:jc w:val="center"/>
        <w:tblInd w:w="0" w:type="dxa"/>
        <w:tblLayout w:type="fixed"/>
        <w:tblCellMar>
          <w:top w:w="28" w:type="dxa"/>
          <w:left w:w="28" w:type="dxa"/>
          <w:bottom w:w="28" w:type="dxa"/>
          <w:right w:w="28" w:type="dxa"/>
        </w:tblCellMar>
      </w:tblPr>
      <w:tblGrid>
        <w:gridCol w:w="547"/>
        <w:gridCol w:w="370"/>
        <w:gridCol w:w="269"/>
        <w:gridCol w:w="210"/>
        <w:gridCol w:w="210"/>
        <w:gridCol w:w="211"/>
        <w:gridCol w:w="109"/>
        <w:gridCol w:w="109"/>
        <w:gridCol w:w="109"/>
        <w:gridCol w:w="196"/>
        <w:gridCol w:w="406"/>
        <w:gridCol w:w="109"/>
        <w:gridCol w:w="211"/>
        <w:gridCol w:w="210"/>
        <w:gridCol w:w="211"/>
        <w:gridCol w:w="109"/>
        <w:gridCol w:w="109"/>
        <w:gridCol w:w="109"/>
        <w:gridCol w:w="196"/>
        <w:gridCol w:w="241"/>
        <w:gridCol w:w="109"/>
        <w:gridCol w:w="109"/>
        <w:gridCol w:w="109"/>
        <w:gridCol w:w="109"/>
        <w:gridCol w:w="196"/>
        <w:gridCol w:w="646"/>
        <w:gridCol w:w="109"/>
        <w:gridCol w:w="109"/>
        <w:gridCol w:w="109"/>
        <w:gridCol w:w="109"/>
        <w:gridCol w:w="196"/>
        <w:gridCol w:w="661"/>
        <w:gridCol w:w="109"/>
        <w:gridCol w:w="109"/>
        <w:gridCol w:w="109"/>
        <w:gridCol w:w="109"/>
        <w:gridCol w:w="109"/>
        <w:gridCol w:w="109"/>
        <w:gridCol w:w="109"/>
        <w:gridCol w:w="196"/>
        <w:gridCol w:w="646"/>
        <w:gridCol w:w="109"/>
        <w:gridCol w:w="109"/>
        <w:gridCol w:w="109"/>
        <w:gridCol w:w="109"/>
        <w:gridCol w:w="109"/>
        <w:gridCol w:w="109"/>
        <w:gridCol w:w="109"/>
        <w:gridCol w:w="109"/>
        <w:gridCol w:w="109"/>
        <w:gridCol w:w="109"/>
        <w:gridCol w:w="196"/>
        <w:gridCol w:w="571"/>
        <w:gridCol w:w="109"/>
        <w:gridCol w:w="109"/>
        <w:gridCol w:w="109"/>
        <w:gridCol w:w="109"/>
        <w:gridCol w:w="109"/>
        <w:gridCol w:w="109"/>
        <w:gridCol w:w="109"/>
        <w:gridCol w:w="109"/>
        <w:gridCol w:w="109"/>
        <w:gridCol w:w="109"/>
        <w:gridCol w:w="196"/>
        <w:gridCol w:w="646"/>
        <w:gridCol w:w="109"/>
        <w:gridCol w:w="327"/>
        <w:gridCol w:w="327"/>
        <w:gridCol w:w="327"/>
        <w:gridCol w:w="196"/>
        <w:gridCol w:w="421"/>
        <w:gridCol w:w="109"/>
        <w:gridCol w:w="327"/>
        <w:gridCol w:w="327"/>
        <w:gridCol w:w="196"/>
        <w:gridCol w:w="64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6" w:type="dxa"/>
            <w:gridSpan w:val="8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1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Class A and B Common Stock </w:t>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Paramount 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4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w:t>
            </w:r>
          </w:p>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compensation </w:t>
            </w:r>
          </w:p>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activity and other</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w:t>
              <w:br/>
              <w:t>dividends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Common stock </w:t>
              <w:br/>
              <w:t>dividends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Noncontrolling </w:t>
              <w:br/>
              <w:t>interests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earnings (loss)</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comprehensive </w:t>
              <w:br/>
              <w:t>income</w:t>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420"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651 </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33,087 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(22,958)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21,851 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22,343 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before="0" w:after="0"/>
        <w:jc w:val="left"/>
        <w:rPr/>
      </w:pPr>
      <w:r>
        <w:rPr/>
      </w:r>
    </w:p>
    <w:p>
      <w:pPr>
        <w:pStyle w:val="TextBody"/>
        <w:bidi w:val="0"/>
        <w:spacing w:lineRule="auto" w:line="288" w:before="160" w:after="160"/>
        <w:ind w:left="0" w:right="0" w:hanging="360"/>
        <w:jc w:val="left"/>
        <w:rPr>
          <w:rFonts w:ascii="Times New Roman;sans-serif" w:hAnsi="Times New Roman;sans-serif"/>
          <w:b/>
          <w:color w:val="000000"/>
          <w:sz w:val="22"/>
        </w:rPr>
      </w:pPr>
      <w:r>
        <w:rPr>
          <w:rFonts w:ascii="Times New Roman;sans-serif" w:hAnsi="Times New Roman;sans-serif"/>
          <w:b/>
          <w:color w:val="000000"/>
          <w:sz w:val="22"/>
        </w:rPr>
        <w:t xml:space="preserve">1) BASIS OF PRESENTATION </w:t>
      </w:r>
    </w:p>
    <w:p>
      <w:pPr>
        <w:pStyle w:val="TextBody"/>
        <w:bidi w:val="0"/>
        <w:spacing w:lineRule="auto" w:line="288" w:before="0" w:after="0"/>
        <w:jc w:val="left"/>
        <w:rPr/>
      </w:pPr>
      <w:r>
        <w:rPr>
          <w:rFonts w:ascii="Times New Roman;sans-serif" w:hAnsi="Times New Roman;sans-serif"/>
          <w:b w:val="false"/>
          <w:i/>
          <w:color w:val="000000"/>
          <w:sz w:val="22"/>
        </w:rPr>
        <w:t>Description of Business—</w:t>
      </w:r>
      <w:r>
        <w:rPr>
          <w:rFonts w:ascii="Times New Roman;sans-serif" w:hAnsi="Times New Roman;sans-serif"/>
          <w:b w:val="false"/>
          <w:color w:val="000000"/>
          <w:sz w:val="22"/>
        </w:rPr>
        <w:t>Paramount Global, a global media, streaming and entertainment company that creates premium content and experiences for audiences worldwide, is comprised of the following segments: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rPr>
        <w:t>TV Media—</w:t>
      </w:r>
      <w:r>
        <w:rPr>
          <w:rFonts w:ascii="Times New Roman;sans-serif" w:hAnsi="Times New Roman;sans-serif"/>
          <w:b w:val="false"/>
          <w:color w:val="000000"/>
          <w:sz w:val="22"/>
        </w:rPr>
        <w:t xml:space="preserve">Our </w:t>
      </w:r>
      <w:r>
        <w:rPr>
          <w:rFonts w:ascii="Times New Roman;sans-serif" w:hAnsi="Times New Roman;sans-serif"/>
          <w:b w:val="false"/>
          <w:i/>
          <w:color w:val="000000"/>
          <w:sz w:val="22"/>
        </w:rPr>
        <w:t>TV Media</w:t>
      </w:r>
      <w:r>
        <w:rPr>
          <w:color w:val="000000"/>
        </w:rPr>
        <w:t xml:space="preserve"> </w:t>
      </w:r>
      <w:r>
        <w:rPr>
          <w:rFonts w:ascii="Times New Roman;sans-serif" w:hAnsi="Times New Roman;sans-serif"/>
          <w:b w:val="false"/>
          <w:color w:val="000000"/>
          <w:sz w:val="22"/>
        </w:rPr>
        <w:t>segment consists of our (1) broadcast operations</w:t>
      </w:r>
      <w:r>
        <w:rPr>
          <w:color w:val="000000"/>
        </w:rPr>
        <w:t>—</w:t>
      </w:r>
      <w:r>
        <w:rPr>
          <w:rFonts w:ascii="Times New Roman;sans-serif" w:hAnsi="Times New Roman;sans-serif"/>
          <w:b w:val="false"/>
          <w:color w:val="000000"/>
          <w:sz w:val="22"/>
        </w:rPr>
        <w:t xml:space="preserve">the CBS Television Network, our domestic broadcast television network; CBS Stations, our owned television stations; and our international free-to-air networks, Network 10, Channel 5, Telefe,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Paramount Television Studios and Showtime/MTV Entertainment Studios, as well as CBS Media Ventures, which produces and distributes first-run syndicated programming. </w:t>
      </w:r>
      <w:r>
        <w:rPr>
          <w:rFonts w:ascii="Times New Roman;sans-serif" w:hAnsi="Times New Roman;sans-serif"/>
          <w:b w:val="false"/>
          <w:i/>
          <w:color w:val="000000"/>
          <w:sz w:val="22"/>
        </w:rPr>
        <w:t xml:space="preserve">TV Media </w:t>
      </w:r>
      <w:r>
        <w:rPr>
          <w:rFonts w:ascii="Times New Roman;sans-serif" w:hAnsi="Times New Roman;sans-serif"/>
          <w:b w:val="false"/>
          <w:color w:val="000000"/>
          <w:sz w:val="22"/>
        </w:rPr>
        <w:t>also includes a number of digital properties such as CBS News Streaming and CBS Sports HQ</w:t>
      </w:r>
      <w:r>
        <w:rPr>
          <w:rFonts w:ascii="Times New Roman;sans-serif" w:hAnsi="Times New Roman;sans-serif"/>
          <w:b w:val="false"/>
          <w:color w:val="242424"/>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rPr>
        <w:t>Direct-to-Consumer—</w:t>
      </w:r>
      <w:r>
        <w:rPr>
          <w:rFonts w:ascii="Times New Roman;sans-serif" w:hAnsi="Times New Roman;sans-serif"/>
          <w:b w:val="false"/>
          <w:color w:val="000000"/>
          <w:sz w:val="22"/>
        </w:rPr>
        <w:t xml:space="preserve">Our </w:t>
      </w:r>
      <w:r>
        <w:rPr>
          <w:rFonts w:ascii="Times New Roman;sans-serif" w:hAnsi="Times New Roman;sans-serif"/>
          <w:b w:val="false"/>
          <w:i/>
          <w:color w:val="000000"/>
          <w:sz w:val="22"/>
        </w:rPr>
        <w:t>Direct-to-Consumer</w:t>
      </w:r>
      <w:r>
        <w:rPr>
          <w:color w:val="000000"/>
        </w:rPr>
        <w:t xml:space="preserve"> </w:t>
      </w:r>
      <w:r>
        <w:rPr>
          <w:rFonts w:ascii="Times New Roman;sans-serif" w:hAnsi="Times New Roman;sans-serif"/>
          <w:b w:val="false"/>
          <w:color w:val="000000"/>
          <w:sz w:val="22"/>
        </w:rPr>
        <w:t>segment includes our portfolio of domestic and international pay and free streaming services, including Paramount+, Pluto TV, and BET+. Effective July 6, 2023, Showtime Networks’ domestic premium subscription streaming service was no longer offered as a standalone streaming service for new subscribers and effective April 30, 2024 will no longer be available.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shd w:fill="FFFFFF" w:val="clear"/>
        </w:rPr>
        <w:t>Filmed Entertainment</w:t>
      </w:r>
      <w:r>
        <w:rPr>
          <w:color w:val="000000"/>
        </w:rPr>
        <w:t>—</w:t>
      </w:r>
      <w:r>
        <w:rPr>
          <w:rFonts w:ascii="Times New Roman;sans-serif" w:hAnsi="Times New Roman;sans-serif"/>
          <w:b w:val="false"/>
          <w:color w:val="000000"/>
          <w:sz w:val="22"/>
          <w:shd w:fill="FFFFFF" w:val="clear"/>
        </w:rPr>
        <w:t xml:space="preserve">Our </w:t>
      </w:r>
      <w:r>
        <w:rPr>
          <w:rFonts w:ascii="Times New Roman;sans-serif" w:hAnsi="Times New Roman;sans-serif"/>
          <w:b w:val="false"/>
          <w:i/>
          <w:color w:val="000000"/>
          <w:sz w:val="22"/>
        </w:rPr>
        <w:t>Filmed Entertainment</w:t>
      </w:r>
      <w:r>
        <w:rPr>
          <w:color w:val="000000"/>
          <w:shd w:fill="FFFFFF" w:val="clear"/>
        </w:rPr>
        <w:t xml:space="preserve"> </w:t>
      </w:r>
      <w:r>
        <w:rPr>
          <w:rFonts w:ascii="Times New Roman;sans-serif" w:hAnsi="Times New Roman;sans-serif"/>
          <w:b w:val="false"/>
          <w:color w:val="000000"/>
          <w:sz w:val="22"/>
          <w:shd w:fill="FFFFFF" w:val="clear"/>
        </w:rPr>
        <w:t>segment consists of Paramount Pictures, Paramount Players, Paramount Animation, Nickelodeon Studio, Awesomeness, and Miramax</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References to “Paramount,” the “Company,” “we,” “us” and “our” refer to Paramount Global and its consolidated subsidiaries, unless the context otherwise requires.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April 29, 2024, the Board of Directors of the Company established an Office of the CEO, consisting of the following three senior company executives: George Cheeks, President and Chief Executive Officer of CBS; Chris McCarthy, President and Chief Executive Officer, Showtime/MTV Entertainment Studios and Paramount Media Networks; and Brian Robbins, President and Chief Executive Officer of Paramount Pictures and Nickelodeon. Robert M. Bakish will step down as the Company’s President and Chief Executive Officer and has resigned from the Board of Directors, in each case, effective as of the end of the day on April 30, 2024. Between May 1, 2024 and October 31, 2024, Mr. Bakish has agreed to remain employed with the Company as a Senior Advisor to help ensure a seamless transition of his duties.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2"/>
        </w:rPr>
        <w:t>Basis of Presentation—</w:t>
      </w:r>
      <w:r>
        <w:rPr>
          <w:rFonts w:ascii="Times New Roman;sans-serif" w:hAnsi="Times New Roman;sans-serif"/>
          <w:b w:val="false"/>
          <w:color w:val="000000"/>
          <w:sz w:val="22"/>
        </w:rPr>
        <w:t>The accompanying unaudited consolidated financial statements have been prepared on a basis consistent with accounting principles generally accepted in the United States (“GAAP”) for interim financial information and pursuant to the rules of the Securities and Exchange Commission (“SEC”). These financial statements should be read in conjunction with the more detailed financial statements and notes thereto included in our Annual Report on Form 10-K for the year ended December 31, 2023.</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opinion of management, the accompanying unaudited consolidated financial statements reflect all adjustments, consisting only of normal and recurring adjustments, necessary for a fair statement of our financial position, results of operations and cash flows for the periods presented. Certain previously reported amounts have been reclassified to conform to the current presentation.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2"/>
        </w:rPr>
        <w:t>Discontinued Operations—</w:t>
      </w:r>
      <w:r>
        <w:rPr>
          <w:rFonts w:ascii="Times New Roman;sans-serif" w:hAnsi="Times New Roman;sans-serif"/>
          <w:b w:val="false"/>
          <w:color w:val="000000"/>
          <w:sz w:val="22"/>
        </w:rPr>
        <w:t>On October 30, 2023, we completed the sale of Simon &amp; Schuster, which has been presented as a discontinued operation in our consolidated financial statements (see Note 13).</w:t>
      </w:r>
    </w:p>
    <w:p>
      <w:pPr>
        <w:pStyle w:val="TextBody"/>
        <w:bidi w:val="0"/>
        <w:spacing w:before="0" w:after="0"/>
        <w:jc w:val="left"/>
        <w:rPr/>
      </w:pPr>
      <w:r>
        <w:rPr/>
      </w:r>
    </w:p>
    <w:p>
      <w:pPr>
        <w:pStyle w:val="TextBody"/>
        <w:bidi w:val="0"/>
        <w:spacing w:lineRule="auto" w:line="288" w:before="0" w:after="220"/>
        <w:jc w:val="left"/>
        <w:rPr/>
      </w:pPr>
      <w:r>
        <w:rPr>
          <w:rFonts w:ascii="Times New Roman;sans-serif" w:hAnsi="Times New Roman;sans-serif"/>
          <w:b w:val="false"/>
          <w:i/>
          <w:color w:val="000000"/>
          <w:sz w:val="22"/>
        </w:rPr>
        <w:t>Use of Estimates—</w:t>
      </w:r>
      <w:r>
        <w:rPr>
          <w:rFonts w:ascii="Times New Roman;sans-serif" w:hAnsi="Times New Roman;sans-serif"/>
          <w:b w:val="false"/>
          <w:color w:val="000000"/>
          <w:sz w:val="22"/>
        </w:rPr>
        <w:t xml:space="preserve">The preparation of our consolidated financial statements in conformity with GAAP requires management to make estimates, judgments and assumptions that affect the reported amounts of assets and liabilities, the disclosures of contingent assets and liabilities as of the date of the financial statements and the reported amounts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 </w:t>
      </w:r>
    </w:p>
    <w:p>
      <w:pPr>
        <w:pStyle w:val="TextBody"/>
        <w:bidi w:val="0"/>
        <w:spacing w:lineRule="auto" w:line="288" w:before="0" w:after="0"/>
        <w:jc w:val="left"/>
        <w:rPr/>
      </w:pPr>
      <w:r>
        <w:rPr>
          <w:rFonts w:ascii="Times New Roman;sans-serif" w:hAnsi="Times New Roman;sans-serif"/>
          <w:b w:val="false"/>
          <w:i/>
          <w:color w:val="000000"/>
          <w:sz w:val="22"/>
        </w:rPr>
        <w:t>Net Earnings (Loss) per Common Share—</w:t>
      </w:r>
      <w:r>
        <w:rPr>
          <w:rFonts w:ascii="Times New Roman;sans-serif" w:hAnsi="Times New Roman;sans-serif"/>
          <w:b w:val="false"/>
          <w:color w:val="000000"/>
          <w:sz w:val="22"/>
        </w:rPr>
        <w:t>Basic net earnings (loss) per share (“EPS”) is based upon net earnings (loss) available to common stockholders divided by the weighted average number of common shares outstanding during the period. Net earnings (loss) available to common stockholders is calculated as net earnings (loss) from continuing operations or net earnings (loss), as applicable, adjusted to include a reduction for dividends recorded during the applicable period on our 5.75% Series A Mandatory Convertible Preferred Stock (“Mandatory Convertible Preferred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Weighted average shares for diluted EPS reflect the effect of the assumed exercise of stock options and vesting of restricted share units (“RSUs”) or performance share units (“PSUs”) only in the periods in which such effect would have been dilutive. Diluted EPS also reflects the effect of the assumed conversion of preferred stock, if dilutive, which includes the issuance of common shares in the weighted average number of shares and excludes the above-mentioned preferred stock dividend adjustment to net earnings (loss) available to common stockholders.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each of the three-month periods ended March 31, 2024 and 2023, all of our stock options and RSUs, which totaled 30 million and 21 million, respectively, were excluded from the calculations of diluted EPS because their inclusion would have been antidilutive since we reported a net loss. Also excluded from the calculation of diluted EPS for each period was the effect of the assumed conversion of 10 million shares of Mandatory Convertible Preferred Stock into shares of common stock because the impact would have been antidilutive.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Additionally, because the impact of the assumed conversion of the Mandatory Convertible Preferred Stock would have been antidilutive, net loss from continuing operations and net loss used in our calculations of diluted EPS for the three months ended March 31, 2024 and 2023 include a reduction for the preferred stock dividends recorded during each period. The table below presents a reconciliation of net loss from continuing operations and net loss to the amounts used in the calculations of basic and diluted EPS.</w:t>
      </w:r>
    </w:p>
    <w:tbl>
      <w:tblPr>
        <w:tblW w:w="8961" w:type="dxa"/>
        <w:jc w:val="center"/>
        <w:tblInd w:w="0" w:type="dxa"/>
        <w:tblLayout w:type="fixed"/>
        <w:tblCellMar>
          <w:top w:w="28" w:type="dxa"/>
          <w:left w:w="28" w:type="dxa"/>
          <w:bottom w:w="28" w:type="dxa"/>
          <w:right w:w="28" w:type="dxa"/>
        </w:tblCellMar>
      </w:tblPr>
      <w:tblGrid>
        <w:gridCol w:w="1870"/>
        <w:gridCol w:w="1641"/>
        <w:gridCol w:w="1649"/>
        <w:gridCol w:w="109"/>
        <w:gridCol w:w="109"/>
        <w:gridCol w:w="109"/>
        <w:gridCol w:w="109"/>
        <w:gridCol w:w="109"/>
        <w:gridCol w:w="189"/>
        <w:gridCol w:w="189"/>
        <w:gridCol w:w="366"/>
        <w:gridCol w:w="940"/>
        <w:gridCol w:w="189"/>
        <w:gridCol w:w="109"/>
        <w:gridCol w:w="109"/>
        <w:gridCol w:w="109"/>
        <w:gridCol w:w="211"/>
        <w:gridCol w:w="691"/>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Paramount: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from continuing operations for basic and diluted EPS </w:t>
            </w:r>
          </w:p>
          <w:p>
            <w:pPr>
              <w:pStyle w:val="TableContents"/>
              <w:bidi w:val="0"/>
              <w:spacing w:lineRule="auto" w:line="288" w:before="0" w:after="0"/>
              <w:jc w:val="left"/>
              <w:rPr>
                <w:color w:val="000000"/>
              </w:rPr>
            </w:pPr>
            <w:r>
              <w:rPr>
                <w:color w:val="000000"/>
              </w:rPr>
              <w:t>   </w:t>
            </w:r>
            <w:r>
              <w:rPr>
                <w:rFonts w:ascii="Times New Roman;sans-serif" w:hAnsi="Times New Roman;sans-serif"/>
                <w:b w:val="false"/>
                <w:color w:val="000000"/>
                <w:sz w:val="20"/>
              </w:rPr>
              <w:t>calculation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Paramount: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for basic and diluted EPS calculation</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Accounting Pronouncements Not Yet Adopted</w:t>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Segment Reporting</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November 2023, the Financial Accounting Standards Board (“FASB”) issued updated guidance for segment reporting, which requires the disclosure of significant segment expenses that are regularly provided to the chief operating decision maker (“CODM”) and included within the reported measure of segment profit or loss (“segment measure”), as well as the disclosure of the other segment items comprising the difference between segment revenues less these significant segment expenses and the segment measure. The update also requires an entity to disclose the title and position of the CODM and to describe how the CODM utilizes the segment measure to assess segment performance and allocate resources. In addition, the update aligns the interim disclosure requirements for segment profit or loss and assets with the annual requirements. The update is effective for us for our annual report for the year ended December 31, 2024, and for interim periods thereafter and is required to be applied retrospectively. </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Taxes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December 2023, the FASB issued guidance enhancing annual income tax disclosures. Under this guidance, certain enhancements to the effective tax rate reconciliation disclosure are required, including the disclosure of both percentages and amounts, specific categories, and additional information for reconciling items meeting a quantitative threshold defined by the guidance. Additionally, disclosures of income taxes paid and income tax expense must be disaggregated by federal, state and foreign taxes, with income taxes paid further disaggregated for individual jurisdictions that represent 5 percent or more of total income taxes paid. The guidance is effective for us for the year ended December 31, 2025, and should be applied prospectively, with retrospective application permitted.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2) PROGRAMMING AND OTHER INVENTORY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our programming and other inventory at March 31, 2024 and December 31, 2023, grouped by type and predominant monetization strategy. </w:t>
      </w:r>
    </w:p>
    <w:tbl>
      <w:tblPr>
        <w:tblW w:w="8465" w:type="dxa"/>
        <w:jc w:val="center"/>
        <w:tblInd w:w="0" w:type="dxa"/>
        <w:tblLayout w:type="fixed"/>
        <w:tblCellMar>
          <w:top w:w="28" w:type="dxa"/>
          <w:left w:w="28" w:type="dxa"/>
          <w:bottom w:w="28" w:type="dxa"/>
          <w:right w:w="28" w:type="dxa"/>
        </w:tblCellMar>
      </w:tblPr>
      <w:tblGrid>
        <w:gridCol w:w="1694"/>
        <w:gridCol w:w="1491"/>
        <w:gridCol w:w="1495"/>
        <w:gridCol w:w="109"/>
        <w:gridCol w:w="109"/>
        <w:gridCol w:w="109"/>
        <w:gridCol w:w="211"/>
        <w:gridCol w:w="721"/>
        <w:gridCol w:w="109"/>
        <w:gridCol w:w="109"/>
        <w:gridCol w:w="109"/>
        <w:gridCol w:w="109"/>
        <w:gridCol w:w="109"/>
        <w:gridCol w:w="109"/>
        <w:gridCol w:w="109"/>
        <w:gridCol w:w="110"/>
        <w:gridCol w:w="110"/>
        <w:gridCol w:w="110"/>
        <w:gridCol w:w="214"/>
        <w:gridCol w:w="733"/>
        <w:gridCol w:w="110"/>
        <w:gridCol w:w="110"/>
        <w:gridCol w:w="110"/>
        <w:gridCol w:w="156"/>
      </w:tblGrid>
      <w:tr>
        <w:trPr/>
        <w:tc>
          <w:tcPr>
            <w:tcW w:w="169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Film Group Monetization: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program rights, including prepaid sports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Internally-produced television and film programming: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process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Individual Monetization: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libraries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 not yet 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process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Internally-produced television programming: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process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entertainment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programming and other inventory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programming and other inventory</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13,420 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1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amortization of our television and film programming and production costs, which is included within “Operating expenses” on the Consolidated Statements of Operations.</w:t>
      </w:r>
    </w:p>
    <w:tbl>
      <w:tblPr>
        <w:tblW w:w="9364" w:type="dxa"/>
        <w:jc w:val="center"/>
        <w:tblInd w:w="0" w:type="dxa"/>
        <w:tblLayout w:type="fixed"/>
        <w:tblCellMar>
          <w:top w:w="28" w:type="dxa"/>
          <w:left w:w="28" w:type="dxa"/>
          <w:bottom w:w="28" w:type="dxa"/>
          <w:right w:w="28" w:type="dxa"/>
        </w:tblCellMar>
      </w:tblPr>
      <w:tblGrid>
        <w:gridCol w:w="1935"/>
        <w:gridCol w:w="1703"/>
        <w:gridCol w:w="1713"/>
        <w:gridCol w:w="278"/>
        <w:gridCol w:w="278"/>
        <w:gridCol w:w="451"/>
        <w:gridCol w:w="177"/>
        <w:gridCol w:w="343"/>
        <w:gridCol w:w="1001"/>
        <w:gridCol w:w="177"/>
        <w:gridCol w:w="109"/>
        <w:gridCol w:w="109"/>
        <w:gridCol w:w="109"/>
        <w:gridCol w:w="211"/>
        <w:gridCol w:w="616"/>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49"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49"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program rights</w:t>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Internally-produced television and film programming, and acquired libraries:</w:t>
            </w:r>
          </w:p>
        </w:tc>
        <w:tc>
          <w:tcPr>
            <w:tcW w:w="3006" w:type="dxa"/>
            <w:gridSpan w:val="10"/>
            <w:tcBorders/>
          </w:tcPr>
          <w:p>
            <w:pPr>
              <w:pStyle w:val="TableContents"/>
              <w:bidi w:val="0"/>
              <w:spacing w:before="0" w:after="283"/>
              <w:jc w:val="left"/>
              <w:rPr>
                <w:sz w:val="4"/>
                <w:szCs w:val="4"/>
              </w:rPr>
            </w:pPr>
            <w:r>
              <w:rPr>
                <w:sz w:val="4"/>
                <w:szCs w:val="4"/>
              </w:rPr>
            </w:r>
          </w:p>
        </w:tc>
      </w:tr>
      <w:tr>
        <w:trPr/>
        <w:tc>
          <w:tcPr>
            <w:tcW w:w="5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monetization</w:t>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 group monetization</w:t>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7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Programming Charges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first quarter of 2024, in connection with our continued review of our content strategy, we made a strategic decision to focus on content with mass global appeal. As part of this, we are rationalizing original content on our streaming services, especially internationally, and improving the efficiency of our linear network programming. As a result, we have reviewed our expansive global content portfolio and removed select content from our platforms. In addition, we have decided not to move forward with certain titles and therefore have abandoned some development projects and terminated certain programming agreements. Accordingly, we recorded programming charges on the Consolidated Statement of Operations for the three months ended March 31, 2024 relating to these actions. These charges, which totaled $1.12 billion, were comprised of $909 million for the impairment of content to its estimated fair value, as well as $209 million for development cost write-offs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contract termination costs. We may incur an additional programming charge of approximately $250 million later in 2024 related to the termination of an international programming agreement.</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first half of 2023, in connection with the integration of Showtime into Paramount+ across both streaming and linear platforms, we performed a comprehensive strategic review of the combined content portfolio of Showtime and Paramount+. Additionally, we commenced a review of our international content portfolio in connection with initiatives to rationalize and right-size our international operations to align with our streaming strategy, and close or globalize certain of our international channels. As a result, we changed the strategy for certain content, which led to content being removed from our platforms or abandoned, the write-off of development costs, distribution changes, and termination of programming agreements. Accordingly, we recorded programming charges on the Consolidated Statement of Operations relating to these actions. For the first quarter of 2023, we recorded charges totaling $1.67 billion, which were comprised of $1.45 billion for the impairment of content to its estimated fair value, as well as $225 million for development cost write-offs and contract termination costs.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For content that was removed from our platforms or abandoned in each period, the estimated fair value was determined using assumptions for secondary market licensing revenues,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 xml:space="preserve">3) RESTRUCTURING CHARGES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three months ended March 31, 2024, we recorded the following restructuring charges.</w:t>
      </w:r>
    </w:p>
    <w:tbl>
      <w:tblPr>
        <w:tblW w:w="5839" w:type="dxa"/>
        <w:jc w:val="center"/>
        <w:tblInd w:w="0" w:type="dxa"/>
        <w:tblLayout w:type="fixed"/>
        <w:tblCellMar>
          <w:top w:w="28" w:type="dxa"/>
          <w:left w:w="28" w:type="dxa"/>
          <w:bottom w:w="28" w:type="dxa"/>
          <w:right w:w="28" w:type="dxa"/>
        </w:tblCellMar>
      </w:tblPr>
      <w:tblGrid>
        <w:gridCol w:w="699"/>
        <w:gridCol w:w="614"/>
        <w:gridCol w:w="621"/>
        <w:gridCol w:w="109"/>
        <w:gridCol w:w="109"/>
        <w:gridCol w:w="1876"/>
        <w:gridCol w:w="109"/>
        <w:gridCol w:w="386"/>
        <w:gridCol w:w="854"/>
        <w:gridCol w:w="19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Severance</w:t>
            </w:r>
            <w:r>
              <w:rPr>
                <w:color w:val="000000"/>
              </w:rPr>
              <w:t xml:space="preserve">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Severance costs include the accelerated vesting of stock-based compensation.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restructuring charges of $186 million for the three months ended March 31, 2024 are comprised of severance costs associated with strategic changes in our global workforce and the impairment of lease assets that we ceased use of in connection with initiatives to reduce our real estate footprint and create cost synergies. The impairments were primarily the result of a decline in market conditions since the inception of these leases and reflect the difference between the estimated fair values, which were determined based on the expected future cash flows of the lease assets, and the carrying values.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is a rollforward of our restructuring liability, which is recorded in “Other current liabilities” and “Other liabilities” on the Consolidated Balance Sheets. The restructuring liability at March 31, 2024, which principally relates to severance payments, is expected to be substantially paid by the end of 2024.</w:t>
      </w:r>
    </w:p>
    <w:tbl>
      <w:tblPr>
        <w:tblW w:w="8961" w:type="dxa"/>
        <w:jc w:val="center"/>
        <w:tblInd w:w="0" w:type="dxa"/>
        <w:tblLayout w:type="fixed"/>
        <w:tblCellMar>
          <w:top w:w="28" w:type="dxa"/>
          <w:left w:w="28" w:type="dxa"/>
          <w:bottom w:w="28" w:type="dxa"/>
          <w:right w:w="28" w:type="dxa"/>
        </w:tblCellMar>
      </w:tblPr>
      <w:tblGrid>
        <w:gridCol w:w="684"/>
        <w:gridCol w:w="599"/>
        <w:gridCol w:w="606"/>
        <w:gridCol w:w="130"/>
        <w:gridCol w:w="130"/>
        <w:gridCol w:w="130"/>
        <w:gridCol w:w="252"/>
        <w:gridCol w:w="558"/>
        <w:gridCol w:w="130"/>
        <w:gridCol w:w="130"/>
        <w:gridCol w:w="130"/>
        <w:gridCol w:w="130"/>
        <w:gridCol w:w="109"/>
        <w:gridCol w:w="109"/>
        <w:gridCol w:w="109"/>
        <w:gridCol w:w="273"/>
        <w:gridCol w:w="604"/>
        <w:gridCol w:w="143"/>
        <w:gridCol w:w="109"/>
        <w:gridCol w:w="109"/>
        <w:gridCol w:w="109"/>
        <w:gridCol w:w="109"/>
        <w:gridCol w:w="109"/>
        <w:gridCol w:w="109"/>
        <w:gridCol w:w="211"/>
        <w:gridCol w:w="436"/>
        <w:gridCol w:w="109"/>
        <w:gridCol w:w="109"/>
        <w:gridCol w:w="109"/>
        <w:gridCol w:w="109"/>
        <w:gridCol w:w="109"/>
        <w:gridCol w:w="142"/>
        <w:gridCol w:w="142"/>
        <w:gridCol w:w="142"/>
        <w:gridCol w:w="142"/>
        <w:gridCol w:w="142"/>
        <w:gridCol w:w="142"/>
        <w:gridCol w:w="149"/>
        <w:gridCol w:w="211"/>
        <w:gridCol w:w="466"/>
        <w:gridCol w:w="10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 Activity</w:t>
            </w:r>
          </w:p>
        </w:tc>
        <w:tc>
          <w:tcPr>
            <w:tcW w:w="10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7"/>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Balance at</w:t>
            </w:r>
          </w:p>
        </w:tc>
        <w:tc>
          <w:tcPr>
            <w:tcW w:w="1158" w:type="dxa"/>
            <w:gridSpan w:val="6"/>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Charges </w:t>
            </w:r>
            <w:r>
              <w:rPr>
                <w:rFonts w:ascii="Times New Roman;sans-serif" w:hAnsi="Times New Roman;sans-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Payments</w:t>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TV Media</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Filmed Entertainment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9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3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4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For the three months ended March 31, 2024, excludes stock-based compensation expense of $2 million and lease impairments of $31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4) RELATED PARTIES </w:t>
      </w:r>
    </w:p>
    <w:p>
      <w:pPr>
        <w:pStyle w:val="TextBody"/>
        <w:bidi w:val="0"/>
        <w:spacing w:lineRule="auto" w:line="288" w:before="0" w:after="160"/>
        <w:jc w:val="left"/>
        <w:rPr/>
      </w:pPr>
      <w:r>
        <w:rPr>
          <w:rFonts w:ascii="Times New Roman;sans-serif" w:hAnsi="Times New Roman;sans-serif"/>
          <w:b w:val="false"/>
          <w:i/>
          <w:color w:val="000000"/>
          <w:sz w:val="22"/>
        </w:rPr>
        <w:t>National Amusements, Inc.</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National Amusements, Inc. (“NAI”) is the controlling stockholder of the Company. At March 31, 2024, NAI directly or indirectly owned approximately 77.4% of our voting Class A Common Stock, and approximately 9.7% of our Class A Common Stock and non-voting Class B Common Stock on a combined basis. NAI is controlled by the Sumner M. Redstone National Amusements Part B General Trust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Shari E. Redstone, Chairperson, CEO and President of NAI and non-executive Chair of our Board of Directors, is one of the seven directors of NA Administration, LLC and one of two directors who are beneficiaries of the General Trust. No member of our management or other member of our Board of Directors is a director of NA Administration, LLC.</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2"/>
        </w:rPr>
        <w:t>Other Related Parties</w:t>
      </w:r>
      <w:r>
        <w:rPr>
          <w:color w:val="000000"/>
        </w:rPr>
        <w:t xml:space="preserve">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ordinary course of business, we are involved in transactions with our equity-method investees, primarily for the licensing of television and film programming. The following tables present the amounts recorded in our consolidated financial statements related to these transactions. </w:t>
      </w:r>
    </w:p>
    <w:tbl>
      <w:tblPr>
        <w:tblW w:w="4825" w:type="dxa"/>
        <w:jc w:val="center"/>
        <w:tblInd w:w="0" w:type="dxa"/>
        <w:tblLayout w:type="fixed"/>
        <w:tblCellMar>
          <w:top w:w="28" w:type="dxa"/>
          <w:left w:w="28" w:type="dxa"/>
          <w:bottom w:w="28" w:type="dxa"/>
          <w:right w:w="28" w:type="dxa"/>
        </w:tblCellMar>
      </w:tblPr>
      <w:tblGrid>
        <w:gridCol w:w="570"/>
        <w:gridCol w:w="499"/>
        <w:gridCol w:w="506"/>
        <w:gridCol w:w="109"/>
        <w:gridCol w:w="109"/>
        <w:gridCol w:w="227"/>
        <w:gridCol w:w="227"/>
        <w:gridCol w:w="440"/>
        <w:gridCol w:w="753"/>
        <w:gridCol w:w="227"/>
        <w:gridCol w:w="109"/>
        <w:gridCol w:w="109"/>
        <w:gridCol w:w="109"/>
        <w:gridCol w:w="211"/>
        <w:gridCol w:w="466"/>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58"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Operating costs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7"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Includes costs expensed as operating expenses in each year. 2024 also includes costs capitalized in programming assets during the period.</w:t>
      </w:r>
    </w:p>
    <w:tbl>
      <w:tblPr>
        <w:tblW w:w="6739" w:type="dxa"/>
        <w:jc w:val="center"/>
        <w:tblInd w:w="0" w:type="dxa"/>
        <w:tblLayout w:type="fixed"/>
        <w:tblCellMar>
          <w:top w:w="28" w:type="dxa"/>
          <w:left w:w="28" w:type="dxa"/>
          <w:bottom w:w="28" w:type="dxa"/>
          <w:right w:w="28" w:type="dxa"/>
        </w:tblCellMar>
      </w:tblPr>
      <w:tblGrid>
        <w:gridCol w:w="1163"/>
        <w:gridCol w:w="1022"/>
        <w:gridCol w:w="1024"/>
        <w:gridCol w:w="109"/>
        <w:gridCol w:w="109"/>
        <w:gridCol w:w="109"/>
        <w:gridCol w:w="211"/>
        <w:gridCol w:w="466"/>
        <w:gridCol w:w="109"/>
        <w:gridCol w:w="109"/>
        <w:gridCol w:w="109"/>
        <w:gridCol w:w="109"/>
        <w:gridCol w:w="109"/>
        <w:gridCol w:w="109"/>
        <w:gridCol w:w="109"/>
        <w:gridCol w:w="129"/>
        <w:gridCol w:w="129"/>
        <w:gridCol w:w="129"/>
        <w:gridCol w:w="251"/>
        <w:gridCol w:w="555"/>
        <w:gridCol w:w="129"/>
        <w:gridCol w:w="129"/>
        <w:gridCol w:w="129"/>
        <w:gridCol w:w="183"/>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(Receivables, noncurrent)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Through the normal course of business, we are involved in other transactions with related parties that have not been material in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pPr>
      <w:r>
        <w:rPr>
          <w:rFonts w:ascii="Times New Roman;sans-serif" w:hAnsi="Times New Roman;sans-serif"/>
          <w:b/>
          <w:color w:val="000000"/>
          <w:sz w:val="22"/>
        </w:rPr>
        <w:t>5) REVENUES</w:t>
      </w:r>
      <w:r>
        <w:rPr>
          <w:color w:val="000000"/>
        </w:rPr>
        <w:t xml:space="preserve">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 below presents our revenues disaggregated into categories based on the nature of such revenues. See Note 12 for revenues by segment disaggregated into these categories. </w:t>
      </w:r>
    </w:p>
    <w:tbl>
      <w:tblPr>
        <w:tblW w:w="5590" w:type="dxa"/>
        <w:jc w:val="center"/>
        <w:tblInd w:w="0" w:type="dxa"/>
        <w:tblLayout w:type="fixed"/>
        <w:tblCellMar>
          <w:top w:w="28" w:type="dxa"/>
          <w:left w:w="28" w:type="dxa"/>
          <w:bottom w:w="28" w:type="dxa"/>
          <w:right w:w="28" w:type="dxa"/>
        </w:tblCellMar>
      </w:tblPr>
      <w:tblGrid>
        <w:gridCol w:w="794"/>
        <w:gridCol w:w="695"/>
        <w:gridCol w:w="700"/>
        <w:gridCol w:w="109"/>
        <w:gridCol w:w="109"/>
        <w:gridCol w:w="177"/>
        <w:gridCol w:w="177"/>
        <w:gridCol w:w="343"/>
        <w:gridCol w:w="1001"/>
        <w:gridCol w:w="177"/>
        <w:gridCol w:w="109"/>
        <w:gridCol w:w="109"/>
        <w:gridCol w:w="109"/>
        <w:gridCol w:w="211"/>
        <w:gridCol w:w="61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Type: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Receivables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Reserves for accounts receivable reflect our expected credit losses based on historical experience as well as current and expected economic conditions and industry trends. At both March 31, 2024 and December 31, 2023, our allowance for credit losses was $120 million.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Included in “Other assets” on the Consolidated Balance Sheets are noncurrent receivables of $1.22 billion and $1.39 billion at</w:t>
      </w:r>
      <w:r>
        <w:rPr>
          <w:color w:val="000000"/>
        </w:rPr>
        <w:t xml:space="preserve"> </w:t>
      </w:r>
      <w:r>
        <w:rPr>
          <w:rFonts w:ascii="Times New Roman;sans-serif" w:hAnsi="Times New Roman;sans-serif"/>
          <w:b w:val="false"/>
          <w:color w:val="000000"/>
          <w:sz w:val="22"/>
        </w:rPr>
        <w:t>March 31, 2024</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2"/>
        </w:rPr>
        <w:t xml:space="preserve">December 31, 2023,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Contract Liabilities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Contract liabilities are included within “Deferred revenues” and “Other liabilities” on the Consolidated Balance Sheets and were $0.7 billion and $0.8 billion at March 31, 2024 and December 31, 2023, respectively. We recognized revenues of $0.3 billion for each of the three months ended March 31, 2024 and 2023 that were included in the opening balance of deferred revenues for the respective year.</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Unrecognized Revenues Under Contract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 March 31, 2024, unrecognized revenues attributable to unsatisfied performance obligations under our long-term contracts were approximately $7 billion, of which $3 billion is expected to be recognized during the remainder of 2024, $2 billion in 2025, $1 billion in 2026, and $1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In addition, the timing of satisfying certain of the performance obligations under these long-term contracts is uncertain and, therefore, is also subject to change.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Performance Obligations Satisfied in Previous Periods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Under certain revenue arrangements, the amount and timing of our revenue recognition is determined based on our licensees’ subsequent sale to its end customers. As a result, under such arrangements we often satisfy our performance obligation of delivery of our content in advance of revenue recognition. For each of the three months ended March 31, 2024 and 2023, we recognized revenues of $0.1 billion, from arrangements for the licensing of our content, including from distributors of transactional video-on-demand and electronic sell-through services and other licensing arrangements, as well as from the theatrical distribution of our films, for which our performance obligation was satisfied in a prior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6) DEBT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Our debt consists of the following:</w:t>
      </w:r>
    </w:p>
    <w:tbl>
      <w:tblPr>
        <w:tblW w:w="7301"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196"/>
        <w:gridCol w:w="646"/>
        <w:gridCol w:w="109"/>
        <w:gridCol w:w="109"/>
        <w:gridCol w:w="109"/>
        <w:gridCol w:w="109"/>
        <w:gridCol w:w="109"/>
        <w:gridCol w:w="109"/>
        <w:gridCol w:w="109"/>
        <w:gridCol w:w="109"/>
        <w:gridCol w:w="109"/>
        <w:gridCol w:w="109"/>
        <w:gridCol w:w="196"/>
        <w:gridCol w:w="646"/>
        <w:gridCol w:w="109"/>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At</w:t>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4.75% Senior Notes due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4.0% Senior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3.45% Senior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2.90%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3.375%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3.70%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7.875% Senior Debentures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4.95%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5.50% Senior Debentures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 Senior Debentures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6.875% Senior Debentures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6.75% Senior Debentures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5.90% Senior Notes due 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4.50% Senior Debentures due 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4.85% Senior Notes due 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4.375% Senior Debentures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4.875% Senior Debentures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5.85% Senior Debentures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5.25% Senior Debentures due 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4.90% Senior Notes due 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4.60% Senior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4.95%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6.25% Junior Subordinated Debentures due 2057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6.375% Junior Subordinated Debentures due 2062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Obligations under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Total debt </w:t>
            </w:r>
            <w:r>
              <w:rPr>
                <w:rFonts w:ascii="Times New Roman;sans-serif" w:hAnsi="Times New Roman;sans-serif"/>
                <w:b w:val="false"/>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current portion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 net of current portion</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 At March 31, 2024 and December 31, 2023, the senior and junior subordinated debt balances included (i) a net unamortized discount of $415 million and $419 million, respectively, and (ii) unamortized deferred financing costs of $79 million and $81 million, respectively. The face value of our total debt was $15.10 billion at both March 31, 2024 and December 31, 2023. </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Commercial Paper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 both March 31, 2024 and December 31, 2023, we had no outstanding commercial paper borrowings.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Credit Facility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 March 31, 2024, we had a $3.50 billion revolving credit facility that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March 31, 2024, we had no borrowings outstanding under the Credit Facility and the availability under the Credit Facility was $3.50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Credit Facility has one principal financial covenant which sets a maximum Consolidated Total Leverage Ratio (“Leverage Ratio”) at the end of each quarter. The maximum Leverage Ratio was 5.75x for the quarter ended March 31, 2024 and will remain at this level for each quarter through and including the quarter ending September 30, 2024, and will then decrease to 5.5x for the quarters ending December 31, 2024 and March 31, 2025, with decreases of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For quarters ending on or after September 30, 2024, the maximum amount of unrestricted cash and cash equivalents that can be netted against Consolidated Indebtedness in the calculation of the Leverage Ratio will be $1.50 billion. We met the covenant as of March 31, 2024.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Bank Borrowings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At both March 31, 2024 and December 31, 2023, we had no outstanding bank borrowings under Miramax’s $50 million credit facility that matures in November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7) FINANCIAL INSTRUMENTS AND FAIR VALUE MEASUREMENTS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value of our financial instruments approximates fair value, except for notes and debentures. At March 31, 2024 and December 31, 2023, the carrying value of our outstanding notes and debentures was $14.61 billion and $14.60 billion, respectively, and the fair value, which is determined based on quoted prices in active markets (Level 1 in the fair value hierarchy) was $12.7 billion and $13.6 billion, respectively.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Investments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investments without a readily determinable fair value for which we have no significant influence, which are principally comprised of our investment in Viacom18, had a carrying value of $607 million and $612 million at March 31, 2024 and December 31, 2023, respectively. These investments are included in “Other assets” on the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March 2024, we entered into an agreement to sell our 13% interest in Viacom18 to Reliance Industries Limited (“Reliance”), the majority interest holder, for an aggregate purchase price of 42.86 billion Indian rupees (approximately $517 million based on the foreign exchange rate at the agreement date). The closing of this transaction is subject to the satisfaction of certain customary conditions, including receipt of applicable regulatory approvals and the completion of a separate transaction between Viacom18, Reliance and a third party.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Foreign Exchange Contracts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use derivative financial instruments primarily to manage our exposure to market risks from fluctuations in foreign currency exchange rates. We do not use derivative instruments unless there is an underlying exposure and, therefore, we do not hold or enter into derivative financial instruments for speculative trading purposes. </w:t>
      </w:r>
    </w:p>
    <w:p>
      <w:pPr>
        <w:pStyle w:val="TextBody"/>
        <w:bidi w:val="0"/>
        <w:spacing w:before="0" w:after="0"/>
        <w:jc w:val="left"/>
        <w:rPr/>
      </w:pPr>
      <w:r>
        <w:rPr/>
      </w:r>
    </w:p>
    <w:p>
      <w:pPr>
        <w:pStyle w:val="TextBody"/>
        <w:bidi w:val="0"/>
        <w:spacing w:lineRule="auto" w:line="288" w:before="0" w:after="220"/>
        <w:jc w:val="left"/>
        <w:rPr>
          <w:rFonts w:ascii="Times New Roman;sans-serif" w:hAnsi="Times New Roman;sans-serif"/>
          <w:b w:val="false"/>
          <w:color w:val="000000"/>
          <w:sz w:val="22"/>
        </w:rPr>
      </w:pPr>
      <w:r>
        <w:rPr>
          <w:rFonts w:ascii="Times New Roman;sans-serif" w:hAnsi="Times New Roman;sans-serif"/>
          <w:b w:val="false"/>
          <w:color w:val="000000"/>
          <w:sz w:val="22"/>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Additionally, we enter into non-designated forward contracts to hedge non-U.S. dollar denominated cash flows.</w:t>
      </w:r>
    </w:p>
    <w:p>
      <w:pPr>
        <w:pStyle w:val="TextBody"/>
        <w:bidi w:val="0"/>
        <w:spacing w:lineRule="auto" w:line="288" w:before="0" w:after="0"/>
        <w:jc w:val="left"/>
        <w:rPr/>
      </w:pPr>
      <w:r>
        <w:rPr>
          <w:rFonts w:ascii="Times New Roman;sans-serif" w:hAnsi="Times New Roman;sans-serif"/>
          <w:b w:val="false"/>
          <w:color w:val="000000"/>
          <w:sz w:val="22"/>
        </w:rPr>
        <w:t>At March 31, 2024 and December 31, 2023, the notional amount of all foreign exchange contracts was $3.12 billion and $2.72 billion, respectively. At March 31, 2024, $2.57 billion related to future production costs and $546 million</w:t>
      </w:r>
      <w:r>
        <w:rPr>
          <w:color w:val="FF0000"/>
        </w:rPr>
        <w:t xml:space="preserve"> </w:t>
      </w:r>
      <w:r>
        <w:rPr>
          <w:rFonts w:ascii="Times New Roman;sans-serif" w:hAnsi="Times New Roman;sans-serif"/>
          <w:b w:val="false"/>
          <w:color w:val="000000"/>
          <w:sz w:val="22"/>
        </w:rPr>
        <w:t>related to our foreign currency balances and other expected foreign currency cash flows. At December 31, 2023, $2.20 billion related to future production costs and $523 million</w:t>
      </w:r>
      <w:r>
        <w:rPr>
          <w:color w:val="FF0000"/>
        </w:rPr>
        <w:t xml:space="preserve"> </w:t>
      </w:r>
      <w:r>
        <w:rPr>
          <w:rFonts w:ascii="Times New Roman;sans-serif" w:hAnsi="Times New Roman;sans-serif"/>
          <w:b w:val="false"/>
          <w:color w:val="000000"/>
          <w:sz w:val="22"/>
        </w:rPr>
        <w:t xml:space="preserve">related to our foreign currency balances and other expected foreign currency cash flows.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Gains recognized on derivative financial instruments were as follows:</w:t>
      </w:r>
    </w:p>
    <w:tbl>
      <w:tblPr>
        <w:tblW w:w="9219" w:type="dxa"/>
        <w:jc w:val="center"/>
        <w:tblInd w:w="0" w:type="dxa"/>
        <w:tblLayout w:type="fixed"/>
        <w:tblCellMar>
          <w:top w:w="28" w:type="dxa"/>
          <w:left w:w="28" w:type="dxa"/>
          <w:bottom w:w="28" w:type="dxa"/>
          <w:right w:w="28" w:type="dxa"/>
        </w:tblCellMar>
      </w:tblPr>
      <w:tblGrid>
        <w:gridCol w:w="1320"/>
        <w:gridCol w:w="1160"/>
        <w:gridCol w:w="1165"/>
        <w:gridCol w:w="109"/>
        <w:gridCol w:w="109"/>
        <w:gridCol w:w="257"/>
        <w:gridCol w:w="257"/>
        <w:gridCol w:w="498"/>
        <w:gridCol w:w="604"/>
        <w:gridCol w:w="257"/>
        <w:gridCol w:w="109"/>
        <w:gridCol w:w="109"/>
        <w:gridCol w:w="109"/>
        <w:gridCol w:w="211"/>
        <w:gridCol w:w="256"/>
        <w:gridCol w:w="109"/>
        <w:gridCol w:w="755"/>
        <w:gridCol w:w="755"/>
        <w:gridCol w:w="1070"/>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6"/>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6"/>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Account</w:t>
            </w:r>
          </w:p>
        </w:tc>
      </w:tr>
      <w:tr>
        <w:trPr/>
        <w:tc>
          <w:tcPr>
            <w:tcW w:w="364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Non-designated foreign exchange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5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Fair Value Measurements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table below presents our assets and liabilities measured at fair value on a recurring basis at March 31, 2024 and December 31, 2023.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tbl>
      <w:tblPr>
        <w:tblW w:w="6080" w:type="dxa"/>
        <w:jc w:val="center"/>
        <w:tblInd w:w="0" w:type="dxa"/>
        <w:tblLayout w:type="fixed"/>
        <w:tblCellMar>
          <w:top w:w="28" w:type="dxa"/>
          <w:left w:w="28" w:type="dxa"/>
          <w:bottom w:w="28" w:type="dxa"/>
          <w:right w:w="28" w:type="dxa"/>
        </w:tblCellMar>
      </w:tblPr>
      <w:tblGrid>
        <w:gridCol w:w="763"/>
        <w:gridCol w:w="673"/>
        <w:gridCol w:w="678"/>
        <w:gridCol w:w="109"/>
        <w:gridCol w:w="109"/>
        <w:gridCol w:w="109"/>
        <w:gridCol w:w="109"/>
        <w:gridCol w:w="109"/>
        <w:gridCol w:w="211"/>
        <w:gridCol w:w="466"/>
        <w:gridCol w:w="109"/>
        <w:gridCol w:w="109"/>
        <w:gridCol w:w="109"/>
        <w:gridCol w:w="109"/>
        <w:gridCol w:w="109"/>
        <w:gridCol w:w="109"/>
        <w:gridCol w:w="109"/>
        <w:gridCol w:w="109"/>
        <w:gridCol w:w="109"/>
        <w:gridCol w:w="129"/>
        <w:gridCol w:w="129"/>
        <w:gridCol w:w="129"/>
        <w:gridCol w:w="251"/>
        <w:gridCol w:w="555"/>
        <w:gridCol w:w="129"/>
        <w:gridCol w:w="129"/>
        <w:gridCol w:w="129"/>
        <w:gridCol w:w="183"/>
      </w:tblGrid>
      <w:tr>
        <w:trPr/>
        <w:tc>
          <w:tcPr>
            <w:tcW w:w="7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4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estimated fair values of our impaired content and lease assets were determined using Level 3 inputs. See Notes 2 and 3,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8) VARIABLE INTEREST ENTITIES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variable interest entity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tables present the amounts recorded in our consolidated financial statements related to our consolidated VIEs. </w:t>
      </w:r>
    </w:p>
    <w:tbl>
      <w:tblPr>
        <w:tblW w:w="5065" w:type="dxa"/>
        <w:jc w:val="center"/>
        <w:tblInd w:w="0" w:type="dxa"/>
        <w:tblLayout w:type="fixed"/>
        <w:tblCellMar>
          <w:top w:w="28" w:type="dxa"/>
          <w:left w:w="28" w:type="dxa"/>
          <w:bottom w:w="28" w:type="dxa"/>
          <w:right w:w="28" w:type="dxa"/>
        </w:tblCellMar>
      </w:tblPr>
      <w:tblGrid>
        <w:gridCol w:w="499"/>
        <w:gridCol w:w="438"/>
        <w:gridCol w:w="442"/>
        <w:gridCol w:w="109"/>
        <w:gridCol w:w="109"/>
        <w:gridCol w:w="109"/>
        <w:gridCol w:w="211"/>
        <w:gridCol w:w="616"/>
        <w:gridCol w:w="109"/>
        <w:gridCol w:w="109"/>
        <w:gridCol w:w="109"/>
        <w:gridCol w:w="109"/>
        <w:gridCol w:w="109"/>
        <w:gridCol w:w="109"/>
        <w:gridCol w:w="109"/>
        <w:gridCol w:w="118"/>
        <w:gridCol w:w="118"/>
        <w:gridCol w:w="118"/>
        <w:gridCol w:w="228"/>
        <w:gridCol w:w="667"/>
        <w:gridCol w:w="118"/>
        <w:gridCol w:w="118"/>
        <w:gridCol w:w="118"/>
        <w:gridCol w:w="166"/>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4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18"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39" w:type="dxa"/>
        <w:jc w:val="center"/>
        <w:tblInd w:w="0" w:type="dxa"/>
        <w:tblLayout w:type="fixed"/>
        <w:tblCellMar>
          <w:top w:w="28" w:type="dxa"/>
          <w:left w:w="28" w:type="dxa"/>
          <w:bottom w:w="28" w:type="dxa"/>
          <w:right w:w="28" w:type="dxa"/>
        </w:tblCellMar>
      </w:tblPr>
      <w:tblGrid>
        <w:gridCol w:w="467"/>
        <w:gridCol w:w="409"/>
        <w:gridCol w:w="414"/>
        <w:gridCol w:w="109"/>
        <w:gridCol w:w="109"/>
        <w:gridCol w:w="203"/>
        <w:gridCol w:w="203"/>
        <w:gridCol w:w="394"/>
        <w:gridCol w:w="870"/>
        <w:gridCol w:w="203"/>
        <w:gridCol w:w="109"/>
        <w:gridCol w:w="109"/>
        <w:gridCol w:w="109"/>
        <w:gridCol w:w="211"/>
        <w:gridCol w:w="46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58"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03"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9) STOCKHOLDERS’ EQUITY </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Mandatory Convertible Preferred Stock</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 March 31, 2024, there were 9.7 million shares of our Mandatory Convertible Preferred Stock outstanding. On April 1, 2024, each outstanding share automatically and mandatorily converted into 1.1765 shares of our Class B Common Stock, resulting in the issuance of 11.5 million shares of Class B Common Stock. Prior to the mandatory conversion, 0.3 million shares of Mandatory Convertible Preferred Stock were voluntarily converted into Class B Common Stock during the three months ended March 31, 2024. The final dividend on the Mandatory Convertible Preferred Stock, which was declared during the three months ended March 31, 2024, was paid on April 1, 2024.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Dividends</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dividends declared per share and total dividends for our Class A and Class B Common Stock and our Mandatory Convertible Preferred Stock for the three months ended March 31, 2024 and 2023.</w:t>
      </w:r>
    </w:p>
    <w:tbl>
      <w:tblPr>
        <w:tblW w:w="7015" w:type="dxa"/>
        <w:jc w:val="center"/>
        <w:tblInd w:w="0" w:type="dxa"/>
        <w:tblLayout w:type="fixed"/>
        <w:tblCellMar>
          <w:top w:w="28" w:type="dxa"/>
          <w:left w:w="28" w:type="dxa"/>
          <w:bottom w:w="28" w:type="dxa"/>
          <w:right w:w="28" w:type="dxa"/>
        </w:tblCellMar>
      </w:tblPr>
      <w:tblGrid>
        <w:gridCol w:w="1270"/>
        <w:gridCol w:w="1118"/>
        <w:gridCol w:w="1122"/>
        <w:gridCol w:w="109"/>
        <w:gridCol w:w="109"/>
        <w:gridCol w:w="162"/>
        <w:gridCol w:w="162"/>
        <w:gridCol w:w="314"/>
        <w:gridCol w:w="1074"/>
        <w:gridCol w:w="162"/>
        <w:gridCol w:w="109"/>
        <w:gridCol w:w="109"/>
        <w:gridCol w:w="109"/>
        <w:gridCol w:w="211"/>
        <w:gridCol w:w="72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Mandatory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2"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Accumulated Other Comprehensive Income (Loss)</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summarize the changes in the components of accumulated other comprehensive loss.</w:t>
      </w:r>
    </w:p>
    <w:tbl>
      <w:tblPr>
        <w:tblW w:w="10205" w:type="dxa"/>
        <w:jc w:val="center"/>
        <w:tblInd w:w="0" w:type="dxa"/>
        <w:tblLayout w:type="fixed"/>
        <w:tblCellMar>
          <w:top w:w="28" w:type="dxa"/>
          <w:left w:w="28" w:type="dxa"/>
          <w:bottom w:w="28" w:type="dxa"/>
          <w:right w:w="28" w:type="dxa"/>
        </w:tblCellMar>
      </w:tblPr>
      <w:tblGrid>
        <w:gridCol w:w="1066"/>
        <w:gridCol w:w="929"/>
        <w:gridCol w:w="933"/>
        <w:gridCol w:w="109"/>
        <w:gridCol w:w="109"/>
        <w:gridCol w:w="109"/>
        <w:gridCol w:w="211"/>
        <w:gridCol w:w="539"/>
        <w:gridCol w:w="109"/>
        <w:gridCol w:w="109"/>
        <w:gridCol w:w="109"/>
        <w:gridCol w:w="109"/>
        <w:gridCol w:w="109"/>
        <w:gridCol w:w="109"/>
        <w:gridCol w:w="109"/>
        <w:gridCol w:w="109"/>
        <w:gridCol w:w="109"/>
        <w:gridCol w:w="109"/>
        <w:gridCol w:w="211"/>
        <w:gridCol w:w="689"/>
        <w:gridCol w:w="109"/>
        <w:gridCol w:w="109"/>
        <w:gridCol w:w="109"/>
        <w:gridCol w:w="109"/>
        <w:gridCol w:w="109"/>
        <w:gridCol w:w="109"/>
        <w:gridCol w:w="109"/>
        <w:gridCol w:w="109"/>
        <w:gridCol w:w="109"/>
        <w:gridCol w:w="368"/>
        <w:gridCol w:w="368"/>
        <w:gridCol w:w="368"/>
        <w:gridCol w:w="368"/>
        <w:gridCol w:w="370"/>
        <w:gridCol w:w="211"/>
        <w:gridCol w:w="689"/>
        <w:gridCol w:w="109"/>
        <w:gridCol w:w="109"/>
        <w:gridCol w:w="109"/>
        <w:gridCol w:w="160"/>
      </w:tblGrid>
      <w:tr>
        <w:trPr/>
        <w:tc>
          <w:tcPr>
            <w:tcW w:w="106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Cumulative</w:t>
              <w:br/>
              <w:t>Translation</w:t>
              <w:br/>
              <w:t>Adjustments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Actuarial</w:t>
              <w:br/>
              <w:t>Loss and Prior</w:t>
              <w:br/>
              <w:t>Service Cost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2"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Loss</w:t>
            </w:r>
          </w:p>
        </w:tc>
        <w:tc>
          <w:tcPr>
            <w:tcW w:w="1387" w:type="dxa"/>
            <w:gridSpan w:val="6"/>
            <w:tcBorders/>
          </w:tcPr>
          <w:p>
            <w:pPr>
              <w:pStyle w:val="TableContents"/>
              <w:bidi w:val="0"/>
              <w:spacing w:before="0" w:after="283"/>
              <w:jc w:val="left"/>
              <w:rPr>
                <w:sz w:val="4"/>
                <w:szCs w:val="4"/>
              </w:rPr>
            </w:pPr>
            <w:r>
              <w:rPr>
                <w:sz w:val="4"/>
                <w:szCs w:val="4"/>
              </w:rPr>
            </w:r>
          </w:p>
        </w:tc>
      </w:tr>
      <w:tr>
        <w:trPr/>
        <w:tc>
          <w:tcPr>
            <w:tcW w:w="2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loss before </w:t>
              <w:br/>
              <w:t>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to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8"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13"/>
        <w:gridCol w:w="651"/>
        <w:gridCol w:w="576"/>
        <w:gridCol w:w="109"/>
        <w:gridCol w:w="109"/>
        <w:gridCol w:w="109"/>
        <w:gridCol w:w="211"/>
        <w:gridCol w:w="505"/>
        <w:gridCol w:w="109"/>
        <w:gridCol w:w="109"/>
        <w:gridCol w:w="109"/>
        <w:gridCol w:w="109"/>
        <w:gridCol w:w="109"/>
        <w:gridCol w:w="109"/>
        <w:gridCol w:w="109"/>
        <w:gridCol w:w="109"/>
        <w:gridCol w:w="109"/>
        <w:gridCol w:w="109"/>
        <w:gridCol w:w="211"/>
        <w:gridCol w:w="655"/>
        <w:gridCol w:w="109"/>
        <w:gridCol w:w="109"/>
        <w:gridCol w:w="109"/>
        <w:gridCol w:w="109"/>
        <w:gridCol w:w="109"/>
        <w:gridCol w:w="109"/>
        <w:gridCol w:w="109"/>
        <w:gridCol w:w="206"/>
        <w:gridCol w:w="180"/>
        <w:gridCol w:w="171"/>
        <w:gridCol w:w="331"/>
        <w:gridCol w:w="649"/>
        <w:gridCol w:w="171"/>
        <w:gridCol w:w="171"/>
        <w:gridCol w:w="171"/>
        <w:gridCol w:w="171"/>
        <w:gridCol w:w="109"/>
        <w:gridCol w:w="109"/>
        <w:gridCol w:w="109"/>
        <w:gridCol w:w="113"/>
        <w:gridCol w:w="113"/>
        <w:gridCol w:w="113"/>
        <w:gridCol w:w="220"/>
        <w:gridCol w:w="687"/>
        <w:gridCol w:w="113"/>
        <w:gridCol w:w="113"/>
        <w:gridCol w:w="113"/>
        <w:gridCol w:w="170"/>
      </w:tblGrid>
      <w:tr>
        <w:trPr/>
        <w:tc>
          <w:tcPr>
            <w:tcW w:w="91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Continuing Operations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Discontinued Operations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Cumulative</w:t>
              <w:br/>
              <w:t>Translation</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Actuarial</w:t>
              <w:br/>
              <w:t>Loss and Prior</w:t>
              <w:br/>
              <w:t>Service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Other Comprehensive Income (Loss) </w:t>
            </w:r>
            <w:r>
              <w:rPr>
                <w:rFonts w:ascii="Times New Roman;sans-serif" w:hAnsi="Times New Roman;sans-serif"/>
                <w:b/>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 Loss</w:t>
            </w:r>
          </w:p>
        </w:tc>
      </w:tr>
      <w:tr>
        <w:trPr/>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before </w:t>
              <w:br/>
              <w:t>reclassifications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to 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w:t>
            </w:r>
          </w:p>
        </w:tc>
        <w:tc>
          <w:tcPr>
            <w:tcW w:w="11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(a) Reflects amortization of net actuarial losses (see Note 11).</w:t>
      </w:r>
    </w:p>
    <w:p>
      <w:pPr>
        <w:pStyle w:val="TextBody"/>
        <w:bidi w:val="0"/>
        <w:spacing w:lineRule="auto" w:line="288" w:before="0" w:after="24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(b) Reflects cumulative translation adjustments.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net actuarial loss and prior service cost related to pension and other postretirement benefit plans included in other comprehensive income (loss) is net of a tax benefit of $3 million and $4 million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10) INCOME TAXES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provision for/benefit from income taxes represents federal, state and local, and foreign taxes on earnings (loss) from continuing operations before income taxes and equity in loss of investee companies. For the three months ended March 31, 2024, we recorded a benefit from income taxes of $172 million, reflecting an effective income tax rate of 27.1%. Included in the benefit from income taxes are the following items identified as affecting the comparability of our results, which in aggregate increased our effective income tax rate by 5.0 percentage points.</w:t>
      </w:r>
    </w:p>
    <w:p>
      <w:pPr>
        <w:pStyle w:val="TextBody"/>
        <w:bidi w:val="0"/>
        <w:spacing w:before="0" w:after="0"/>
        <w:jc w:val="center"/>
        <w:rPr/>
      </w:pPr>
      <w:r>
        <w:rPr/>
      </w:r>
    </w:p>
    <w:tbl>
      <w:tblPr>
        <w:tblW w:w="9434" w:type="dxa"/>
        <w:jc w:val="center"/>
        <w:tblInd w:w="0" w:type="dxa"/>
        <w:tblLayout w:type="fixed"/>
        <w:tblCellMar>
          <w:top w:w="28" w:type="dxa"/>
          <w:left w:w="28" w:type="dxa"/>
          <w:bottom w:w="28" w:type="dxa"/>
          <w:right w:w="28" w:type="dxa"/>
        </w:tblCellMar>
      </w:tblPr>
      <w:tblGrid>
        <w:gridCol w:w="944"/>
        <w:gridCol w:w="831"/>
        <w:gridCol w:w="835"/>
        <w:gridCol w:w="109"/>
        <w:gridCol w:w="109"/>
        <w:gridCol w:w="361"/>
        <w:gridCol w:w="361"/>
        <w:gridCol w:w="430"/>
        <w:gridCol w:w="430"/>
        <w:gridCol w:w="430"/>
        <w:gridCol w:w="361"/>
        <w:gridCol w:w="361"/>
        <w:gridCol w:w="361"/>
        <w:gridCol w:w="361"/>
        <w:gridCol w:w="211"/>
        <w:gridCol w:w="616"/>
        <w:gridCol w:w="109"/>
        <w:gridCol w:w="109"/>
        <w:gridCol w:w="109"/>
        <w:gridCol w:w="109"/>
        <w:gridCol w:w="109"/>
        <w:gridCol w:w="109"/>
        <w:gridCol w:w="109"/>
        <w:gridCol w:w="109"/>
        <w:gridCol w:w="109"/>
        <w:gridCol w:w="109"/>
        <w:gridCol w:w="211"/>
        <w:gridCol w:w="541"/>
        <w:gridCol w:w="109"/>
        <w:gridCol w:w="109"/>
        <w:gridCol w:w="109"/>
        <w:gridCol w:w="154"/>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6"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3150"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3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from Items Affecting Comparability</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Loss Before </w:t>
              <w:br/>
              <w:t>Income Taxes</w:t>
            </w:r>
          </w:p>
        </w:tc>
        <w:tc>
          <w:tcPr>
            <w:tcW w:w="3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Tax (Benefit) Provision</w:t>
            </w:r>
          </w:p>
        </w:tc>
        <w:tc>
          <w:tcPr>
            <w:tcW w:w="1887" w:type="dxa"/>
            <w:gridSpan w:val="12"/>
            <w:tcBorders/>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charges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charges (Note </w:t>
            </w:r>
            <w:r>
              <w:rPr>
                <w:rFonts w:ascii="Times New Roman;sans-serif" w:hAnsi="Times New Roman;sans-serif"/>
                <w:b w:val="false"/>
                <w:color w:val="000000"/>
                <w:sz w:val="22"/>
              </w:rPr>
              <w:t>3</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discrete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n/a - not applicable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2023, we recorded a benefit from income taxes of $381 million, reflecting an effective income tax rate of 26.0%. Included in the benefit from income taxes are the following items identified as affecting the comparability of our results, which in aggregate reduced our effective income tax rate by 1.5 percentage points.</w:t>
      </w:r>
    </w:p>
    <w:p>
      <w:pPr>
        <w:pStyle w:val="TextBody"/>
        <w:bidi w:val="0"/>
        <w:spacing w:before="0" w:after="0"/>
        <w:jc w:val="left"/>
        <w:rPr/>
      </w:pPr>
      <w:r>
        <w:rPr/>
      </w:r>
    </w:p>
    <w:tbl>
      <w:tblPr>
        <w:tblW w:w="9403" w:type="dxa"/>
        <w:jc w:val="center"/>
        <w:tblInd w:w="0" w:type="dxa"/>
        <w:tblLayout w:type="fixed"/>
        <w:tblCellMar>
          <w:top w:w="28" w:type="dxa"/>
          <w:left w:w="28" w:type="dxa"/>
          <w:bottom w:w="28" w:type="dxa"/>
          <w:right w:w="28" w:type="dxa"/>
        </w:tblCellMar>
      </w:tblPr>
      <w:tblGrid>
        <w:gridCol w:w="933"/>
        <w:gridCol w:w="821"/>
        <w:gridCol w:w="825"/>
        <w:gridCol w:w="109"/>
        <w:gridCol w:w="109"/>
        <w:gridCol w:w="361"/>
        <w:gridCol w:w="361"/>
        <w:gridCol w:w="430"/>
        <w:gridCol w:w="430"/>
        <w:gridCol w:w="430"/>
        <w:gridCol w:w="361"/>
        <w:gridCol w:w="361"/>
        <w:gridCol w:w="361"/>
        <w:gridCol w:w="361"/>
        <w:gridCol w:w="211"/>
        <w:gridCol w:w="616"/>
        <w:gridCol w:w="109"/>
        <w:gridCol w:w="109"/>
        <w:gridCol w:w="109"/>
        <w:gridCol w:w="109"/>
        <w:gridCol w:w="109"/>
        <w:gridCol w:w="109"/>
        <w:gridCol w:w="109"/>
        <w:gridCol w:w="109"/>
        <w:gridCol w:w="109"/>
        <w:gridCol w:w="109"/>
        <w:gridCol w:w="211"/>
        <w:gridCol w:w="541"/>
        <w:gridCol w:w="109"/>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6"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150" w:type="dxa"/>
            <w:gridSpan w:val="18"/>
            <w:tcBorders/>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33"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from Items Affecting Comparability</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Loss Before </w:t>
              <w:br/>
              <w:t>Income Taxes</w:t>
            </w:r>
          </w:p>
        </w:tc>
        <w:tc>
          <w:tcPr>
            <w:tcW w:w="3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Tax Benefit</w:t>
            </w:r>
          </w:p>
        </w:tc>
        <w:tc>
          <w:tcPr>
            <w:tcW w:w="1887" w:type="dxa"/>
            <w:gridSpan w:val="12"/>
            <w:tcBorders/>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charges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discrete tax benefit</w:t>
            </w:r>
            <w:r>
              <w:rPr>
                <w:color w:val="000000"/>
              </w:rPr>
              <w:t xml:space="preserve">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n/a - not applicable</w:t>
      </w:r>
    </w:p>
    <w:p>
      <w:pPr>
        <w:pStyle w:val="TextBody"/>
        <w:bidi w:val="0"/>
        <w:spacing w:lineRule="auto" w:line="288" w:before="0" w:after="200"/>
        <w:ind w:left="0" w:right="0" w:firstLine="990"/>
        <w:jc w:val="left"/>
        <w:rPr>
          <w:rFonts w:ascii="Times New Roman;sans-serif" w:hAnsi="Times New Roman;sans-serif"/>
          <w:b w:val="false"/>
          <w:color w:val="000000"/>
          <w:sz w:val="18"/>
        </w:rPr>
      </w:pPr>
      <w:r>
        <w:rPr>
          <w:rFonts w:ascii="Times New Roman;sans-serif" w:hAnsi="Times New Roman;sans-serif"/>
          <w:b w:val="false"/>
          <w:color w:val="000000"/>
          <w:sz w:val="18"/>
        </w:rPr>
        <w:t>(a) Principally reflects a tax benefit from the resolution of an income tax matter in a foreign jurisdiction.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and its subsidiaries file income tax returns with the Internal Revenue Service (“IRS”) and various state and local and foreign jurisdictions. For periods prior to the merger of Viacom Inc. (“Viacom”) with and into CBS Corporation (“CBS”), Viacom and CBS filed separate tax returns. For CBS, during the fourth quarter of 2023, the Company and the IRS settled the income tax audit for the 2017 and 2018 tax years with the exception of one item. This item is currently being resolved through the Mutual Agreement Procedure process. For Viacom, we are currently under examination by the IRS for the 2016 through 2019 tax years. For tax returns filed as a merged company, we are currently under examination by the IRS for the 2019 tax year. Various tax years are also currently under examination by state and local and foreign tax authorities. With respect to open tax years in all jurisdictions, we currently do not believe that it is reasonably possible that the reserve for uncertain tax positions will significantly change within the next 12 months; however, it is difficult to predict the final outcome or timing of resolution of any particular tax matter and events could cause our current expectation to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11) PENSION AND OTHER POSTRETIREMENT BENEFITS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the components of net periodic cost for our pension and postretirement benefit plans, which are included within “Other items, net” on the Consolidated Statements of Operations. </w:t>
      </w:r>
    </w:p>
    <w:tbl>
      <w:tblPr>
        <w:tblW w:w="7397" w:type="dxa"/>
        <w:jc w:val="center"/>
        <w:tblInd w:w="0" w:type="dxa"/>
        <w:tblLayout w:type="fixed"/>
        <w:tblCellMar>
          <w:top w:w="28" w:type="dxa"/>
          <w:left w:w="28" w:type="dxa"/>
          <w:bottom w:w="28" w:type="dxa"/>
          <w:right w:w="28" w:type="dxa"/>
        </w:tblCellMar>
      </w:tblPr>
      <w:tblGrid>
        <w:gridCol w:w="1179"/>
        <w:gridCol w:w="1036"/>
        <w:gridCol w:w="1040"/>
        <w:gridCol w:w="211"/>
        <w:gridCol w:w="361"/>
        <w:gridCol w:w="109"/>
        <w:gridCol w:w="109"/>
        <w:gridCol w:w="109"/>
        <w:gridCol w:w="109"/>
        <w:gridCol w:w="211"/>
        <w:gridCol w:w="361"/>
        <w:gridCol w:w="109"/>
        <w:gridCol w:w="109"/>
        <w:gridCol w:w="109"/>
        <w:gridCol w:w="109"/>
        <w:gridCol w:w="268"/>
        <w:gridCol w:w="421"/>
        <w:gridCol w:w="138"/>
        <w:gridCol w:w="138"/>
        <w:gridCol w:w="138"/>
        <w:gridCol w:w="138"/>
        <w:gridCol w:w="268"/>
        <w:gridCol w:w="421"/>
        <w:gridCol w:w="196"/>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Postretirement Benefits</w:t>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Components of net periodic cost </w:t>
            </w:r>
            <w:r>
              <w:rPr>
                <w:rFonts w:ascii="Times New Roman;sans-serif" w:hAnsi="Times New Roman;sans-serif"/>
                <w:b w:val="false"/>
                <w:color w:val="000000"/>
                <w:sz w:val="13"/>
              </w:rPr>
              <w:t>(a)</w:t>
            </w:r>
            <w:r>
              <w:rPr>
                <w:rFonts w:ascii="Times New Roman;sans-serif" w:hAnsi="Times New Roman;sans-serif"/>
                <w:b w:val="false"/>
                <w:color w:val="000000"/>
                <w:sz w:val="20"/>
              </w:rPr>
              <w:t>:</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Amortization of actuarial loss (gain) </w:t>
            </w:r>
            <w:r>
              <w:rPr>
                <w:rFonts w:ascii="Times New Roman;sans-serif" w:hAnsi="Times New Roman;sans-serif"/>
                <w:b w:val="false"/>
                <w:color w:val="000000"/>
                <w:sz w:val="13"/>
              </w:rPr>
              <w:t>(b)</w:t>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cost</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8"/>
        </w:rPr>
      </w:pPr>
      <w:r>
        <w:rPr>
          <w:rFonts w:ascii="Times New Roman;sans-serif" w:hAnsi="Times New Roman;sans-serif"/>
          <w:b w:val="false"/>
          <w:color w:val="000000"/>
          <w:sz w:val="18"/>
        </w:rPr>
        <w:t>(a) Amounts reflect our domestic plans only.</w:t>
      </w:r>
    </w:p>
    <w:p>
      <w:pPr>
        <w:pStyle w:val="TextBody"/>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 Reflects amounts reclassified from accumulated other comprehensive loss to net earnings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12) SEGMENT INFORMATION </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tables below set forth our financial information by reportable segment. Our operating segments, which are the same as our reportable segments, have been determined in accordance with our internal management structure, which is organized based upon products and services. </w:t>
      </w:r>
    </w:p>
    <w:tbl>
      <w:tblPr>
        <w:tblW w:w="5590" w:type="dxa"/>
        <w:jc w:val="center"/>
        <w:tblInd w:w="0" w:type="dxa"/>
        <w:tblLayout w:type="fixed"/>
        <w:tblCellMar>
          <w:top w:w="28" w:type="dxa"/>
          <w:left w:w="28" w:type="dxa"/>
          <w:bottom w:w="28" w:type="dxa"/>
          <w:right w:w="28" w:type="dxa"/>
        </w:tblCellMar>
      </w:tblPr>
      <w:tblGrid>
        <w:gridCol w:w="791"/>
        <w:gridCol w:w="694"/>
        <w:gridCol w:w="704"/>
        <w:gridCol w:w="109"/>
        <w:gridCol w:w="109"/>
        <w:gridCol w:w="177"/>
        <w:gridCol w:w="177"/>
        <w:gridCol w:w="343"/>
        <w:gridCol w:w="1001"/>
        <w:gridCol w:w="177"/>
        <w:gridCol w:w="109"/>
        <w:gridCol w:w="109"/>
        <w:gridCol w:w="109"/>
        <w:gridCol w:w="211"/>
        <w:gridCol w:w="616"/>
        <w:gridCol w:w="154"/>
      </w:tblGrid>
      <w:tr>
        <w:trPr/>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TV 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Theatrical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Filmed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Revenues generated between segments are principally from intersegment arrangements for the distribution of content, rental of studio space, and advertising, as well as licensing revenues earned from third parties who license our content to our internal platforms either through a sub-license or co-production arrangement. These transactions are recorded at market value as if the sales were to third parties and are eliminated in consolidation. For content that is licensed between segments, content costs are allocated across segments based on the relative value of the distribution windows within each segment. Accordingly, no intersegment licensing revenues or profits are recorded by the licensor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tbl>
      <w:tblPr>
        <w:tblW w:w="5815" w:type="dxa"/>
        <w:jc w:val="center"/>
        <w:tblInd w:w="0" w:type="dxa"/>
        <w:tblLayout w:type="fixed"/>
        <w:tblCellMar>
          <w:top w:w="28" w:type="dxa"/>
          <w:left w:w="28" w:type="dxa"/>
          <w:bottom w:w="28" w:type="dxa"/>
          <w:right w:w="28" w:type="dxa"/>
        </w:tblCellMar>
      </w:tblPr>
      <w:tblGrid>
        <w:gridCol w:w="966"/>
        <w:gridCol w:w="851"/>
        <w:gridCol w:w="853"/>
        <w:gridCol w:w="109"/>
        <w:gridCol w:w="109"/>
        <w:gridCol w:w="227"/>
        <w:gridCol w:w="227"/>
        <w:gridCol w:w="440"/>
        <w:gridCol w:w="753"/>
        <w:gridCol w:w="227"/>
        <w:gridCol w:w="109"/>
        <w:gridCol w:w="109"/>
        <w:gridCol w:w="109"/>
        <w:gridCol w:w="211"/>
        <w:gridCol w:w="36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53"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TV 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Filmed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Intercompany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present operating income excluding depreciation and amortization, stock-based compensation, restructuring charges, and programming charges, each where applicable (“Adjusted OIBDA”), as the measure of profit and loss for our operating segments in accordance with FASB guidance for segment reporting since it is the measure used by our management. Stock-based compensation is excluded from our segment measure of profit and loss because it is set and approved by our Board of Directors in consultation with corporate executive management. </w:t>
      </w:r>
    </w:p>
    <w:tbl>
      <w:tblPr>
        <w:tblW w:w="8290" w:type="dxa"/>
        <w:jc w:val="center"/>
        <w:tblInd w:w="0" w:type="dxa"/>
        <w:tblLayout w:type="fixed"/>
        <w:tblCellMar>
          <w:top w:w="28" w:type="dxa"/>
          <w:left w:w="28" w:type="dxa"/>
          <w:bottom w:w="28" w:type="dxa"/>
          <w:right w:w="28" w:type="dxa"/>
        </w:tblCellMar>
      </w:tblPr>
      <w:tblGrid>
        <w:gridCol w:w="1745"/>
        <w:gridCol w:w="1529"/>
        <w:gridCol w:w="1540"/>
        <w:gridCol w:w="109"/>
        <w:gridCol w:w="109"/>
        <w:gridCol w:w="177"/>
        <w:gridCol w:w="177"/>
        <w:gridCol w:w="343"/>
        <w:gridCol w:w="1001"/>
        <w:gridCol w:w="177"/>
        <w:gridCol w:w="109"/>
        <w:gridCol w:w="109"/>
        <w:gridCol w:w="109"/>
        <w:gridCol w:w="211"/>
        <w:gridCol w:w="691"/>
        <w:gridCol w:w="154"/>
      </w:tblGrid>
      <w:tr>
        <w:trPr/>
        <w:tc>
          <w:tcPr>
            <w:tcW w:w="174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OIBDA: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TV 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Filmed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Corporate/Eliminations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continuing operations before income taxes and </w:t>
              <w:br/>
              <w:t>    equity in loss of investee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 companies,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(Paramount and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1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For the three months ended March 31, 2024, stock-based compensation expense of $2 million is included in “Restructuring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both"/>
        <w:rPr>
          <w:rFonts w:ascii="Times New Roman;sans-serif" w:hAnsi="Times New Roman;sans-serif"/>
          <w:b/>
          <w:color w:val="000000"/>
          <w:sz w:val="22"/>
        </w:rPr>
      </w:pPr>
      <w:r>
        <w:rPr>
          <w:rFonts w:ascii="Times New Roman;sans-serif" w:hAnsi="Times New Roman;sans-serif"/>
          <w:b/>
          <w:color w:val="000000"/>
          <w:sz w:val="22"/>
        </w:rPr>
        <w:t xml:space="preserve">13) DISCONTINUED OPERATIONS </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sets forth details of net earnings from discontinued operations for the three months ended March 31, 2023, which primarily reflects the results of Simon &amp; Schuster. On October 30, 2023, we completed the sale of Simon &amp; Schuster to affiliates of Kohlberg Kravis Roberts &amp; Co. During the first quarter of 2024, we recorded an additional pretax gain of $12 million on the sale as a result of a working capital adjustment. </w:t>
      </w:r>
    </w:p>
    <w:tbl>
      <w:tblPr>
        <w:tblW w:w="7722" w:type="dxa"/>
        <w:jc w:val="center"/>
        <w:tblInd w:w="0" w:type="dxa"/>
        <w:tblLayout w:type="fixed"/>
        <w:tblCellMar>
          <w:top w:w="28" w:type="dxa"/>
          <w:left w:w="28" w:type="dxa"/>
          <w:bottom w:w="28" w:type="dxa"/>
          <w:right w:w="28" w:type="dxa"/>
        </w:tblCellMar>
      </w:tblPr>
      <w:tblGrid>
        <w:gridCol w:w="1622"/>
        <w:gridCol w:w="1419"/>
        <w:gridCol w:w="1429"/>
        <w:gridCol w:w="109"/>
        <w:gridCol w:w="109"/>
        <w:gridCol w:w="109"/>
        <w:gridCol w:w="109"/>
        <w:gridCol w:w="1876"/>
        <w:gridCol w:w="109"/>
        <w:gridCol w:w="211"/>
        <w:gridCol w:w="466"/>
        <w:gridCol w:w="154"/>
      </w:tblGrid>
      <w:tr>
        <w:trPr/>
        <w:tc>
          <w:tcPr>
            <w:tcW w:w="162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40" w:type="dxa"/>
            <w:gridSpan w:val="4"/>
            <w:tcBorders/>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940" w:type="dxa"/>
            <w:gridSpan w:val="4"/>
            <w:tcBorders/>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Total costs and expenses</w:t>
            </w:r>
            <w:r>
              <w:rPr>
                <w:color w:val="000000"/>
              </w:rPr>
              <w:t xml:space="preserve">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Provision for income taxes</w:t>
            </w:r>
            <w:r>
              <w:rPr>
                <w:color w:val="000000"/>
              </w:rPr>
              <w:t xml:space="preserve"> </w:t>
            </w:r>
            <w:r>
              <w:rPr>
                <w:rFonts w:ascii="Times New Roman;sans-serif" w:hAnsi="Times New Roman;sans-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from discontinued operations, net of tax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Included in total costs and expenses are amounts associated with the release of indemnification obligations for leases relating to a previously disposed business of $4 million for the three months ended March 31, 2023.</w:t>
      </w:r>
    </w:p>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 The tax provision includes amounts relating to previously disposed businesses of $1 million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 xml:space="preserve">14) COMMITMENTS AND CONTINGENCIES </w:t>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Guarantees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Letters of Credit and Surety Bonds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 March 31, 2024, we had outstanding letters of credit and surety bonds of $2.07 billion that were not recorded on the Consolidated Balance Sheet, including $1.86 billion that was issued under a $1.9 billion standby letter of credit facility in accordance with the contractual requirements of one of our commitments. The amount outstanding under the letter of credit facility will decrease throughout 2024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the same principal financial covenant as the Credit Facility (see Note 6). </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2"/>
        </w:rPr>
        <w:t>Lease Guarantees</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certain indemnification obligations with respect to leases primarily associated with the previously discontinued operations of Famous Players Inc. Our guarantee liability relating to these lease commitments totaled $8 million at March 31, 2024, and is presented within “Other liabilities” on the Consolidated Balance Sheet. The amount of these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available financial information, the lessees’ historical performance in meeting their lease obligations and the underlying economic factors impacting the lessees’ business models.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Legal Matters</w:t>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General</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Litigation Related to Stock Offerings</w:t>
      </w:r>
    </w:p>
    <w:p>
      <w:pPr>
        <w:pStyle w:val="TextBody"/>
        <w:bidi w:val="0"/>
        <w:spacing w:lineRule="auto" w:line="288" w:before="0" w:after="0"/>
        <w:jc w:val="left"/>
        <w:rPr/>
      </w:pPr>
      <w:r>
        <w:rPr>
          <w:rFonts w:ascii="Times New Roman;sans-serif" w:hAnsi="Times New Roman;sans-serif"/>
          <w:b w:val="false"/>
          <w:color w:val="000000"/>
          <w:sz w:val="22"/>
        </w:rPr>
        <w:t>In August 2021, Camelot Event Driven Fund filed a putative securities class action lawsuit in New York Supreme Court, County of New York, and in November 2021, an amended complaint was filed that, among other changes, added an additional named plaintiff (as used in this paragraph, the “Complaint”). The Complaint is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In December 2021, the plaintiffs filed a stipulation seeking the voluntary dismissal without prejudice of the outside director defendants from the lawsuit, which the Court subsequently ordered. On the same date, the defendants filed motions to dismiss the lawsuit, which were heard in January 2023. In February 2023, the Court dismissed all claims against the Company while allowing the claims against the underwriters to proceed. The plaintiffs and underwriter defendants appealed the ruling</w:t>
      </w:r>
      <w:r>
        <w:rPr>
          <w:rFonts w:ascii="Arial;sans-serif" w:hAnsi="Arial;sans-serif"/>
          <w:b w:val="false"/>
          <w:color w:val="008080"/>
          <w:sz w:val="24"/>
        </w:rPr>
        <w:t>,</w:t>
      </w:r>
      <w:r>
        <w:rPr>
          <w:color w:val="000000"/>
        </w:rPr>
        <w:t xml:space="preserve"> </w:t>
      </w:r>
      <w:r>
        <w:rPr>
          <w:rFonts w:ascii="Times New Roman;sans-serif" w:hAnsi="Times New Roman;sans-serif"/>
          <w:b w:val="false"/>
          <w:color w:val="000000"/>
          <w:sz w:val="22"/>
        </w:rPr>
        <w:t>and in April 2024, the New York Supreme Court, Appellate Division, First Department, ruled in our favor and upheld the decision of the trial court dismissing the case against the Company and its officers.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Claims Related to Former Businesses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Asbestos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against us in which a product has been identified most commonly relate to allegations of exposure to asbestos-containing insulating material used in conjunction with turbines and electrical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March 31, 2024, we had pending approximately 19,510 asbestos claims, as compared with approximately 19,970 as of December 31, 2023. During the first quarter of 2024, we received approximately 810 new claims and closed or moved to an inactive docket approximately 1,270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2023 and 2022 for settlement and defense of asbestos claims after insurance recoveries and net of tax were approximately $54 million and $57 million, respectively. Our costs for settlement and defense of asbestos claims may vary year to year and insurance proceeds are not always recovered in the same period as the insured portion of the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claim filings, costs per claim of resolution and the filing of new claims, and is assessed in consultation with the third-party firm. Changes in circumstances in future periods could cause our actual liabilities to be higher or lower than our current accrual. We will continue to evaluate our estimates and update our accrual as needed.</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2"/>
        </w:rPr>
        <w:t>Other</w:t>
      </w:r>
      <w:r>
        <w:rPr>
          <w:color w:val="000000"/>
        </w:rPr>
        <w: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PARAMOUNT GLOBAL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15) SUPPLEMENTAL FINANCIAL INFORMATION</w:t>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Supplemental Cash Flow Information </w:t>
      </w:r>
    </w:p>
    <w:tbl>
      <w:tblPr>
        <w:tblW w:w="5574" w:type="dxa"/>
        <w:jc w:val="center"/>
        <w:tblInd w:w="0" w:type="dxa"/>
        <w:tblLayout w:type="fixed"/>
        <w:tblCellMar>
          <w:top w:w="28" w:type="dxa"/>
          <w:left w:w="28" w:type="dxa"/>
          <w:bottom w:w="28" w:type="dxa"/>
          <w:right w:w="28" w:type="dxa"/>
        </w:tblCellMar>
      </w:tblPr>
      <w:tblGrid>
        <w:gridCol w:w="1315"/>
        <w:gridCol w:w="1152"/>
        <w:gridCol w:w="1163"/>
        <w:gridCol w:w="211"/>
        <w:gridCol w:w="466"/>
        <w:gridCol w:w="109"/>
        <w:gridCol w:w="109"/>
        <w:gridCol w:w="109"/>
        <w:gridCol w:w="109"/>
        <w:gridCol w:w="211"/>
        <w:gridCol w:w="46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to operating lease assets</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Lease Income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including both fixed and variable amounts, of $6 million and $14 million for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center"/>
        <w:rPr/>
      </w:pPr>
      <w:r>
        <w:rPr/>
      </w:r>
    </w:p>
    <w:tbl>
      <w:tblPr>
        <w:tblW w:w="9674" w:type="dxa"/>
        <w:jc w:val="center"/>
        <w:tblInd w:w="0" w:type="dxa"/>
        <w:tblLayout w:type="fixed"/>
        <w:tblCellMar>
          <w:top w:w="28" w:type="dxa"/>
          <w:left w:w="28" w:type="dxa"/>
          <w:bottom w:w="28" w:type="dxa"/>
          <w:right w:w="28" w:type="dxa"/>
        </w:tblCellMar>
      </w:tblPr>
      <w:tblGrid>
        <w:gridCol w:w="294"/>
        <w:gridCol w:w="257"/>
        <w:gridCol w:w="259"/>
        <w:gridCol w:w="2596"/>
        <w:gridCol w:w="2596"/>
        <w:gridCol w:w="3672"/>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Item 2.</w:t>
            </w:r>
          </w:p>
        </w:tc>
        <w:tc>
          <w:tcPr>
            <w:tcW w:w="88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Management’s Discussion and Analysis of Results of Operations and Financial Condition.</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Management’s discussion and analysis of the results of operations and financial condition of Paramount Global should be read in conjunction with the consolidated financial statements and related notes in our Annual Report on Form 10-K for the year ended December 31, 2023. References in this document to “Paramount,” the “Company,” “we,” “us” and “our” refer to Paramount Global.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On April 29, 2024, the Board of Directors of the Company established an Office of the CEO, consisting of the following three senior company executives: George Cheeks, President and Chief Executive Officer of CBS; Chris McCarthy, President and Chief Executive Officer, Showtime/MTV Entertainment Studios and Paramount Media Networks; and Brian Robbins, President and Chief Executive Officer of Paramount Pictures and Nickelodeon. Robert M. Bakish will step down as the Company’s President and Chief Executive Officer and has resigned from the Board of Directors, in each case, effective as of the end of the day on April 30, 2024. Between May 1, 2024 and October 31, 2024, Mr. Bakish has agreed to remain employed with the Company as a Senior Advisor to help ensure a seamless transition of his duties.</w:t>
      </w:r>
    </w:p>
    <w:p>
      <w:pPr>
        <w:pStyle w:val="TextBody"/>
        <w:bidi w:val="0"/>
        <w:spacing w:before="0" w:after="0"/>
        <w:ind w:left="0" w:right="0" w:firstLine="360"/>
        <w:jc w:val="both"/>
        <w:rPr/>
      </w:pPr>
      <w:r>
        <w:rPr/>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Significant components of management’s discussion and analysis of results of operations and financial condition include:</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i/>
          <w:color w:val="000000"/>
          <w:sz w:val="22"/>
        </w:rPr>
        <w:t>Overview</w:t>
      </w:r>
      <w:r>
        <w:rPr>
          <w:color w:val="000000"/>
        </w:rPr>
        <w:t>—</w:t>
      </w:r>
      <w:r>
        <w:rPr>
          <w:rFonts w:ascii="Times New Roman;sans-serif" w:hAnsi="Times New Roman;sans-serif"/>
          <w:b w:val="false"/>
          <w:color w:val="000000"/>
          <w:sz w:val="22"/>
        </w:rPr>
        <w:t>Summary of our business and operational highlights.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i/>
          <w:color w:val="000000"/>
          <w:sz w:val="22"/>
        </w:rPr>
        <w:t>Consolidated Results of Operations</w:t>
      </w:r>
      <w:r>
        <w:rPr>
          <w:color w:val="000000"/>
        </w:rPr>
        <w:t>—</w:t>
      </w:r>
      <w:r>
        <w:rPr>
          <w:rFonts w:ascii="Times New Roman;sans-serif" w:hAnsi="Times New Roman;sans-serif"/>
          <w:b w:val="false"/>
          <w:color w:val="000000"/>
          <w:sz w:val="22"/>
        </w:rPr>
        <w:t>Analysis of our results on a consolidated basis for the three months ended March 31, 2024, including a comparison to the three months ended March 31, 2023.</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i/>
          <w:color w:val="000000"/>
          <w:sz w:val="22"/>
        </w:rPr>
        <w:t>Segment Results of Operations</w:t>
      </w:r>
      <w:r>
        <w:rPr>
          <w:color w:val="000000"/>
        </w:rPr>
        <w:t>—</w:t>
      </w:r>
      <w:r>
        <w:rPr>
          <w:rFonts w:ascii="Times New Roman;sans-serif" w:hAnsi="Times New Roman;sans-serif"/>
          <w:b w:val="false"/>
          <w:color w:val="000000"/>
          <w:sz w:val="22"/>
        </w:rPr>
        <w:t>Analysis of our results on a reportable segment basis for the three months ended March 31, 2024, including a comparison to the three months ended March 31, 2023.</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i/>
          <w:color w:val="000000"/>
          <w:sz w:val="22"/>
        </w:rPr>
        <w:t>Liquidity and Capital Resources</w:t>
      </w:r>
      <w:r>
        <w:rPr>
          <w:color w:val="000000"/>
        </w:rPr>
        <w:t>—</w:t>
      </w:r>
      <w:r>
        <w:rPr>
          <w:rFonts w:ascii="Times New Roman;sans-serif" w:hAnsi="Times New Roman;sans-serif"/>
          <w:b w:val="false"/>
          <w:color w:val="000000"/>
          <w:sz w:val="22"/>
        </w:rPr>
        <w:t>Discussion of our cash flows, including sources and uses of cash, for the three months ended March 31, 2024 and 2023; and of our outstanding debt as of March 31, 2024.</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i/>
          <w:color w:val="000000"/>
          <w:sz w:val="22"/>
        </w:rPr>
        <w:t>Legal Matters</w:t>
      </w:r>
      <w:r>
        <w:rPr>
          <w:color w:val="000000"/>
        </w:rPr>
        <w:t>—</w:t>
      </w:r>
      <w:r>
        <w:rPr>
          <w:rFonts w:ascii="Times New Roman;sans-serif" w:hAnsi="Times New Roman;sans-serif"/>
          <w:b w:val="false"/>
          <w:color w:val="000000"/>
          <w:sz w:val="22"/>
        </w:rPr>
        <w:t xml:space="preserve">Discussion of legal matters to which we are involved. </w:t>
      </w:r>
    </w:p>
    <w:p>
      <w:pPr>
        <w:pStyle w:val="TextBody"/>
        <w:bidi w:val="0"/>
        <w:spacing w:before="0" w:after="0"/>
        <w:ind w:left="0" w:right="0" w:firstLine="18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20" w:after="160"/>
        <w:jc w:val="both"/>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20" w:after="160"/>
        <w:jc w:val="both"/>
        <w:rPr/>
      </w:pPr>
      <w:r>
        <w:rPr>
          <w:rFonts w:ascii="Times New Roman;sans-serif" w:hAnsi="Times New Roman;sans-serif"/>
          <w:b w:val="false"/>
          <w:i/>
          <w:color w:val="000000"/>
          <w:sz w:val="22"/>
        </w:rPr>
        <w:t xml:space="preserve">Operational Highlights </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Three Months Ended March 31, 2024 versus</w:t>
      </w:r>
      <w:r>
        <w:rPr>
          <w:color w:val="000000"/>
        </w:rPr>
        <w:t xml:space="preserve"> </w:t>
      </w:r>
      <w:r>
        <w:rPr>
          <w:rFonts w:ascii="Times New Roman;sans-serif" w:hAnsi="Times New Roman;sans-serif"/>
          <w:b w:val="false"/>
          <w:i/>
          <w:color w:val="000000"/>
          <w:sz w:val="22"/>
        </w:rPr>
        <w:t>Three Months Ended March 31, 2023</w:t>
      </w:r>
      <w:r>
        <w:rPr>
          <w:color w:val="000000"/>
        </w:rPr>
        <w:t xml:space="preserve"> </w:t>
      </w:r>
    </w:p>
    <w:tbl>
      <w:tblPr>
        <w:tblW w:w="9120" w:type="dxa"/>
        <w:jc w:val="center"/>
        <w:tblInd w:w="0" w:type="dxa"/>
        <w:tblLayout w:type="fixed"/>
        <w:tblCellMar>
          <w:top w:w="28" w:type="dxa"/>
          <w:left w:w="28" w:type="dxa"/>
          <w:bottom w:w="28" w:type="dxa"/>
          <w:right w:w="28" w:type="dxa"/>
        </w:tblCellMar>
      </w:tblPr>
      <w:tblGrid>
        <w:gridCol w:w="1505"/>
        <w:gridCol w:w="1322"/>
        <w:gridCol w:w="1327"/>
        <w:gridCol w:w="211"/>
        <w:gridCol w:w="616"/>
        <w:gridCol w:w="109"/>
        <w:gridCol w:w="109"/>
        <w:gridCol w:w="109"/>
        <w:gridCol w:w="109"/>
        <w:gridCol w:w="211"/>
        <w:gridCol w:w="691"/>
        <w:gridCol w:w="109"/>
        <w:gridCol w:w="109"/>
        <w:gridCol w:w="109"/>
        <w:gridCol w:w="109"/>
        <w:gridCol w:w="233"/>
        <w:gridCol w:w="515"/>
        <w:gridCol w:w="120"/>
        <w:gridCol w:w="120"/>
        <w:gridCol w:w="120"/>
        <w:gridCol w:w="120"/>
        <w:gridCol w:w="232"/>
        <w:gridCol w:w="234"/>
        <w:gridCol w:w="299"/>
        <w:gridCol w:w="109"/>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GAAP:</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(loss) from continuing operations </w:t>
              <w:br/>
              <w:t>   attributable to Paramount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 from continuing operations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i/>
                <w:color w:val="000000"/>
                <w:sz w:val="20"/>
              </w:rPr>
              <w:t>Non-GAAP:</w:t>
            </w:r>
            <w:r>
              <w:rPr>
                <w:color w:val="000000"/>
              </w:rPr>
              <w:t xml:space="preserve"> </w:t>
            </w:r>
            <w:r>
              <w:rPr>
                <w:rFonts w:ascii="Times New Roman;sans-serif" w:hAnsi="Times New Roman;sans-serif"/>
                <w:b w:val="false"/>
                <w:color w:val="000000"/>
                <w:sz w:val="13"/>
              </w:rPr>
              <w:t>(a)</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Adjusted OIBDA</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from continuing operations</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attributable to Paramount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diluted EPS from continuing operations</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2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9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360"/>
        <w:jc w:val="left"/>
        <w:rPr/>
      </w:pPr>
      <w:r>
        <w:rPr>
          <w:rFonts w:ascii="Times New Roman;sans-serif" w:hAnsi="Times New Roman;sans-serif"/>
          <w:b w:val="false"/>
          <w:color w:val="000000"/>
          <w:sz w:val="18"/>
        </w:rPr>
        <w:t>(a) Certain items identified as affecting comparability are excluded in non-GAAP results. See “</w:t>
      </w:r>
      <w:r>
        <w:rPr>
          <w:rFonts w:ascii="Times New Roman;sans-serif" w:hAnsi="Times New Roman;sans-serif"/>
          <w:b w:val="false"/>
          <w:i/>
          <w:color w:val="000000"/>
          <w:sz w:val="18"/>
        </w:rPr>
        <w:t>Reconciliation of Non-GAAP Measures</w:t>
      </w:r>
      <w:r>
        <w:rPr>
          <w:color w:val="000000"/>
        </w:rPr>
        <w:t xml:space="preserve">” </w:t>
      </w:r>
      <w:r>
        <w:rPr>
          <w:rFonts w:ascii="Times New Roman;sans-serif" w:hAnsi="Times New Roman;sans-serif"/>
          <w:b w:val="false"/>
          <w:color w:val="000000"/>
          <w:sz w:val="18"/>
        </w:rPr>
        <w:t>for details of these items and reconciliations of non-GAAP results to the most directly comparable financial measures in accordance with accounting principles generally accepted in the United States (“GAAP”).</w:t>
      </w:r>
    </w:p>
    <w:p>
      <w:pPr>
        <w:pStyle w:val="TextBody"/>
        <w:bidi w:val="0"/>
        <w:spacing w:lineRule="auto" w:line="288" w:before="0" w:after="0"/>
        <w:jc w:val="left"/>
        <w:rPr/>
      </w:pPr>
      <w:r>
        <w:rPr>
          <w:rFonts w:ascii="Times New Roman;sans-serif" w:hAnsi="Times New Roman;sans-serif"/>
          <w:b w:val="false"/>
          <w:color w:val="000000"/>
          <w:sz w:val="22"/>
        </w:rPr>
        <w:t xml:space="preserve">For the three months ended March 31, 2024, revenues increased 6% to $7.69 billion, driven by CBS’ broadcast of </w:t>
      </w:r>
      <w:r>
        <w:rPr>
          <w:rFonts w:ascii="Times New Roman;sans-serif" w:hAnsi="Times New Roman;sans-serif"/>
          <w:b w:val="false"/>
          <w:i/>
          <w:color w:val="000000"/>
          <w:sz w:val="22"/>
        </w:rPr>
        <w:t>Super Bowl LVIII</w:t>
      </w:r>
      <w:r>
        <w:rPr>
          <w:rFonts w:ascii="Times New Roman;sans-serif" w:hAnsi="Times New Roman;sans-serif"/>
          <w:b w:val="false"/>
          <w:color w:val="000000"/>
          <w:sz w:val="22"/>
        </w:rPr>
        <w:t xml:space="preserve">, with no comparable broadcast in 2023 as we have these rights on a rotational basis with other networks, and growth in revenues from our streaming services, led by Paramount+. The Super Bowl contributed an 8-percentage point benefit to the total revenue growth. These increases were partially offset by the impact on linear advertising sales from continued weakness in the global advertising market, a decline in linear affiliate revenues, and lower content licensing revenues. Content available for licensing was impacted by temporary production shutdowns due to labor strikes in 2023.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We reported an operating loss of $417 million for the three months ended March 31, 2024 compared with an operating loss of $1.23 billion for the comparable prior-year period. The comparison was impacted by programming charges of $1.12 billion recorded in 2024 and $1.67 billion recorded in 2023 and restructuring charges of $186 million in 2024. Adjusted operating income before depreciation and amortization (“Adjusted OIBDA”), which excludes these charges, increased 80%, driven by the benefit from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and improved results for our streaming services, partially offset by the impact from weakness in the linear advertising market.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For the three months ended March 31, 2024, we reported a net loss from continuing operations attributable to Paramount of $563 million, or $.88 per diluted share, compared with a net loss from continuing operations attributable to Paramount of $1.16 billion, or $1.81 per diluted share, for the same prior-year period. The comparison was impacted by the programming and restructuring charges noted above and the other items described under </w:t>
      </w:r>
      <w:r>
        <w:rPr>
          <w:rFonts w:ascii="Times New Roman;sans-serif" w:hAnsi="Times New Roman;sans-serif"/>
          <w:b w:val="false"/>
          <w:i/>
          <w:color w:val="000000"/>
          <w:sz w:val="22"/>
        </w:rPr>
        <w:t>Reconciliation of Non-GAAP Measures</w:t>
      </w:r>
      <w:r>
        <w:rPr>
          <w:rFonts w:ascii="Times New Roman;sans-serif" w:hAnsi="Times New Roman;sans-serif"/>
          <w:b w:val="false"/>
          <w:color w:val="000000"/>
          <w:sz w:val="22"/>
        </w:rPr>
        <w:t>. These items have been excluded in adjusted net earnings from continuing operations attributable to Paramount and adjusted diluted EPS, which increased $352 million and $.53 per diluted share, respectively, primarily reflecting the higher tax-effected Adjusted OIBDA.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Reconciliation of Non-GAAP Measures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Results for the three months ended March 31, 2024 and 2023 included certain items identified as affecting comparability. Adjusted OIBDA, adjusted earnings from continuing operations before income taxes, adjusted provision for income taxes, adjusted net earnings from continuing operations attributable to Paramount, adjusted diluted EPS from continuing operations, and adjusted effective income tax rate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Because the adjusted measures are measures of performance not calculated in accordance with GAAP, they should not be considered in isolation of, or as a substitute for, operating income (loss), earnings (loss) from continuing operations before income taxes, (provision for) benefit from income taxes, net earnings (loss) from continuing operations attributable to Paramount, diluted EPS from continuing operations, and effective income tax rate, as applicable, as indicators of operating performance. These measures, as we calculate them, may not be comparable to similarly titled measures employed by other companies.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tables reconcile the adjusted measures to their most directly comparable financial measures in accordance with GAAP.</w:t>
      </w:r>
    </w:p>
    <w:tbl>
      <w:tblPr>
        <w:tblW w:w="6114" w:type="dxa"/>
        <w:jc w:val="center"/>
        <w:tblInd w:w="0" w:type="dxa"/>
        <w:tblLayout w:type="fixed"/>
        <w:tblCellMar>
          <w:top w:w="28" w:type="dxa"/>
          <w:left w:w="28" w:type="dxa"/>
          <w:bottom w:w="28" w:type="dxa"/>
          <w:right w:w="28" w:type="dxa"/>
        </w:tblCellMar>
      </w:tblPr>
      <w:tblGrid>
        <w:gridCol w:w="955"/>
        <w:gridCol w:w="840"/>
        <w:gridCol w:w="845"/>
        <w:gridCol w:w="109"/>
        <w:gridCol w:w="109"/>
        <w:gridCol w:w="189"/>
        <w:gridCol w:w="189"/>
        <w:gridCol w:w="366"/>
        <w:gridCol w:w="940"/>
        <w:gridCol w:w="189"/>
        <w:gridCol w:w="109"/>
        <w:gridCol w:w="109"/>
        <w:gridCol w:w="109"/>
        <w:gridCol w:w="211"/>
        <w:gridCol w:w="69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383" w:type="dxa"/>
            <w:gridSpan w:val="6"/>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 (GAAP)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Programming charges </w:t>
            </w:r>
            <w:r>
              <w:rPr>
                <w:rFonts w:ascii="Times New Roman;sans-serif" w:hAnsi="Times New Roman;sans-serif"/>
                <w:b w:val="false"/>
                <w:color w:val="000000"/>
                <w:sz w:val="13"/>
              </w:rPr>
              <w:t xml:space="preserve">(a)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charges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OIBDA (Non-GAAP)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8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16"/>
        </w:rPr>
      </w:pPr>
      <w:r>
        <w:rPr>
          <w:rFonts w:ascii="Times New Roman;sans-serif" w:hAnsi="Times New Roman;sans-serif"/>
          <w:b w:val="false"/>
          <w:color w:val="000000"/>
          <w:sz w:val="16"/>
        </w:rPr>
        <w:t>(a) See notes on the following tables for additional information on items affecting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tbl>
      <w:tblPr>
        <w:tblW w:w="10205" w:type="dxa"/>
        <w:jc w:val="center"/>
        <w:tblInd w:w="0" w:type="dxa"/>
        <w:tblLayout w:type="fixed"/>
        <w:tblCellMar>
          <w:top w:w="28" w:type="dxa"/>
          <w:left w:w="28" w:type="dxa"/>
          <w:bottom w:w="28" w:type="dxa"/>
          <w:right w:w="28" w:type="dxa"/>
        </w:tblCellMar>
      </w:tblPr>
      <w:tblGrid>
        <w:gridCol w:w="613"/>
        <w:gridCol w:w="480"/>
        <w:gridCol w:w="358"/>
        <w:gridCol w:w="153"/>
        <w:gridCol w:w="153"/>
        <w:gridCol w:w="153"/>
        <w:gridCol w:w="297"/>
        <w:gridCol w:w="712"/>
        <w:gridCol w:w="153"/>
        <w:gridCol w:w="153"/>
        <w:gridCol w:w="153"/>
        <w:gridCol w:w="153"/>
        <w:gridCol w:w="109"/>
        <w:gridCol w:w="109"/>
        <w:gridCol w:w="109"/>
        <w:gridCol w:w="131"/>
        <w:gridCol w:w="131"/>
        <w:gridCol w:w="131"/>
        <w:gridCol w:w="255"/>
        <w:gridCol w:w="603"/>
        <w:gridCol w:w="131"/>
        <w:gridCol w:w="131"/>
        <w:gridCol w:w="131"/>
        <w:gridCol w:w="131"/>
        <w:gridCol w:w="109"/>
        <w:gridCol w:w="109"/>
        <w:gridCol w:w="109"/>
        <w:gridCol w:w="161"/>
        <w:gridCol w:w="161"/>
        <w:gridCol w:w="161"/>
        <w:gridCol w:w="312"/>
        <w:gridCol w:w="751"/>
        <w:gridCol w:w="161"/>
        <w:gridCol w:w="161"/>
        <w:gridCol w:w="161"/>
        <w:gridCol w:w="161"/>
        <w:gridCol w:w="109"/>
        <w:gridCol w:w="109"/>
        <w:gridCol w:w="109"/>
        <w:gridCol w:w="131"/>
        <w:gridCol w:w="131"/>
        <w:gridCol w:w="131"/>
        <w:gridCol w:w="254"/>
        <w:gridCol w:w="477"/>
        <w:gridCol w:w="131"/>
        <w:gridCol w:w="131"/>
        <w:gridCol w:w="131"/>
        <w:gridCol w:w="211"/>
      </w:tblGrid>
      <w:tr>
        <w:trPr/>
        <w:tc>
          <w:tcPr>
            <w:tcW w:w="6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4"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Earnings (Loss) from Continuing Operations Before Income Taxes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Benefit from (Provision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Earnings (Loss) from Continuing Operations Attributable to Paramount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Diluted EPS from Continuing Operations</w:t>
            </w:r>
          </w:p>
        </w:tc>
      </w:tr>
      <w:tr>
        <w:trPr/>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(GAAP)</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(d)</w:t>
            </w:r>
          </w:p>
        </w:tc>
      </w:tr>
      <w:tr>
        <w:trPr/>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affecting comparability:</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Programming charges</w:t>
            </w:r>
            <w:r>
              <w:rPr>
                <w:color w:val="000000"/>
              </w:rPr>
              <w:t xml:space="preserve"> </w:t>
            </w:r>
            <w:r>
              <w:rPr>
                <w:rFonts w:ascii="Times New Roman;sans-serif" w:hAnsi="Times New Roman;sans-serif"/>
                <w:b w:val="false"/>
                <w:color w:val="000000"/>
                <w:sz w:val="13"/>
              </w:rPr>
              <w:t>(a)</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Restructuring charges </w:t>
            </w:r>
            <w:r>
              <w:rPr>
                <w:rFonts w:ascii="Times New Roman;sans-serif" w:hAnsi="Times New Roman;sans-serif"/>
                <w:b w:val="false"/>
                <w:color w:val="000000"/>
                <w:sz w:val="13"/>
              </w:rPr>
              <w:t>(b)</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Loss from investment</w:t>
            </w:r>
            <w:r>
              <w:rPr>
                <w:color w:val="000000"/>
              </w:rPr>
              <w:t xml:space="preserve"> </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r>
        <w:trPr/>
        <w:tc>
          <w:tcPr>
            <w:tcW w:w="1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Discrete tax items</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(Non-GAAP)</w:t>
            </w:r>
          </w:p>
        </w:tc>
        <w:tc>
          <w:tcPr>
            <w:tcW w:w="45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3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(c)</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(d)</w:t>
            </w:r>
          </w:p>
        </w:tc>
      </w:tr>
      <w:tr>
        <w:trPr/>
        <w:tc>
          <w:tcPr>
            <w:tcW w:w="1451"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In connection with our strategic decision to focus on content with mass global appeal, we are rationalizing original content on our streaming services, especially internationally, and improving the efficiency of our linear network programming. As a result, we have reviewed our expansive global content portfolio and removed select content from our platforms. In addition, we have decided not to move forward with certain titles and therefore are abandoning some development projects and terminating certain programming agreements. Accordingly, we recorded programming charges relating to these actions.</w:t>
      </w:r>
    </w:p>
    <w:p>
      <w:pPr>
        <w:pStyle w:val="TextBody"/>
        <w:bidi w:val="0"/>
        <w:spacing w:lineRule="auto" w:line="288" w:before="0" w:after="60"/>
        <w:ind w:left="0" w:right="0" w:hanging="270"/>
        <w:jc w:val="left"/>
        <w:rPr/>
      </w:pPr>
      <w:r>
        <w:rPr>
          <w:rFonts w:ascii="Times New Roman;sans-serif" w:hAnsi="Times New Roman;sans-serif"/>
          <w:b w:val="false"/>
          <w:color w:val="000000"/>
          <w:sz w:val="18"/>
        </w:rPr>
        <w:t>(b) Consists of severance costs recorded during the first quarter of 2024 associated with strategic changes in our global workforce</w:t>
      </w:r>
      <w:r>
        <w:rPr>
          <w:color w:val="000000"/>
        </w:rPr>
        <w:t xml:space="preserve"> </w:t>
      </w:r>
      <w:r>
        <w:rPr>
          <w:rFonts w:ascii="Times New Roman;sans-serif" w:hAnsi="Times New Roman;sans-serif"/>
          <w:b w:val="false"/>
          <w:color w:val="000000"/>
          <w:sz w:val="18"/>
        </w:rPr>
        <w:t>and the impairment of lease assets.</w:t>
      </w:r>
    </w:p>
    <w:p>
      <w:pPr>
        <w:pStyle w:val="TextBody"/>
        <w:bidi w:val="0"/>
        <w:spacing w:lineRule="auto" w:line="288" w:before="0" w:after="6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 The reported effective income tax rate for the three months ended March 31, 2024 was 27.1% and the adjusted effective income tax rate, which is calculated as the adjusted provision for income taxes of $149 million divided by adjusted earnings from continuing operations before income taxes of $673 million, was 22.1%. These adjusted measures exclude the items affecting comparability described above.</w:t>
      </w:r>
    </w:p>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(d) For the three months ended March 31, 2024, the weighted average number of common shares outstanding used in the calculation of reported diluted EPS from continuing operations is 654 and in the calculation of adjusted diluted EPS from continuing operations is 657. The dilutive impact was excluded in the calculation of reported diluted EPS from continuing operations because it would have been antidilutive since we reported a net loss from continuing operations.</w:t>
      </w:r>
    </w:p>
    <w:tbl>
      <w:tblPr>
        <w:tblW w:w="10205" w:type="dxa"/>
        <w:jc w:val="center"/>
        <w:tblInd w:w="0" w:type="dxa"/>
        <w:tblLayout w:type="fixed"/>
        <w:tblCellMar>
          <w:top w:w="28" w:type="dxa"/>
          <w:left w:w="28" w:type="dxa"/>
          <w:bottom w:w="28" w:type="dxa"/>
          <w:right w:w="28" w:type="dxa"/>
        </w:tblCellMar>
      </w:tblPr>
      <w:tblGrid>
        <w:gridCol w:w="603"/>
        <w:gridCol w:w="470"/>
        <w:gridCol w:w="344"/>
        <w:gridCol w:w="141"/>
        <w:gridCol w:w="141"/>
        <w:gridCol w:w="141"/>
        <w:gridCol w:w="272"/>
        <w:gridCol w:w="841"/>
        <w:gridCol w:w="141"/>
        <w:gridCol w:w="141"/>
        <w:gridCol w:w="141"/>
        <w:gridCol w:w="141"/>
        <w:gridCol w:w="109"/>
        <w:gridCol w:w="109"/>
        <w:gridCol w:w="109"/>
        <w:gridCol w:w="129"/>
        <w:gridCol w:w="129"/>
        <w:gridCol w:w="129"/>
        <w:gridCol w:w="250"/>
        <w:gridCol w:w="553"/>
        <w:gridCol w:w="129"/>
        <w:gridCol w:w="129"/>
        <w:gridCol w:w="129"/>
        <w:gridCol w:w="129"/>
        <w:gridCol w:w="109"/>
        <w:gridCol w:w="109"/>
        <w:gridCol w:w="109"/>
        <w:gridCol w:w="147"/>
        <w:gridCol w:w="147"/>
        <w:gridCol w:w="147"/>
        <w:gridCol w:w="284"/>
        <w:gridCol w:w="880"/>
        <w:gridCol w:w="147"/>
        <w:gridCol w:w="147"/>
        <w:gridCol w:w="147"/>
        <w:gridCol w:w="147"/>
        <w:gridCol w:w="109"/>
        <w:gridCol w:w="109"/>
        <w:gridCol w:w="109"/>
        <w:gridCol w:w="125"/>
        <w:gridCol w:w="125"/>
        <w:gridCol w:w="125"/>
        <w:gridCol w:w="243"/>
        <w:gridCol w:w="623"/>
        <w:gridCol w:w="125"/>
        <w:gridCol w:w="125"/>
        <w:gridCol w:w="125"/>
        <w:gridCol w:w="192"/>
      </w:tblGrid>
      <w:tr>
        <w:trPr/>
        <w:tc>
          <w:tcPr>
            <w:tcW w:w="60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8"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Earnings (Loss) from Continuing Operations Before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Benefit from (Provision for) Income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Earnings (Loss) from Continuing Operations Attributable to Paramount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Diluted EPS from Continuing Operations </w:t>
            </w:r>
          </w:p>
        </w:tc>
      </w:tr>
      <w:tr>
        <w:trPr/>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(GAAP)</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3"/>
              </w:rPr>
            </w:pPr>
            <w:r>
              <w:rPr>
                <w:rFonts w:ascii="Times New Roman;sans-serif" w:hAnsi="Times New Roman;sans-serif"/>
                <w:b w:val="false"/>
                <w:color w:val="000000"/>
                <w:sz w:val="13"/>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affecting comparability: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Programming charges</w:t>
            </w:r>
            <w:r>
              <w:rPr>
                <w:color w:val="000000"/>
              </w:rPr>
              <w:t xml:space="preserve"> </w:t>
            </w:r>
            <w:r>
              <w:rPr>
                <w:rFonts w:ascii="Times New Roman;sans-serif" w:hAnsi="Times New Roman;sans-serif"/>
                <w:b w:val="false"/>
                <w:color w:val="000000"/>
                <w:sz w:val="13"/>
              </w:rPr>
              <w:t>(a)</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Discrete tax items</w:t>
            </w:r>
            <w:r>
              <w:rPr>
                <w:color w:val="000000"/>
              </w:rPr>
              <w:t xml:space="preserve"> </w:t>
            </w:r>
            <w:r>
              <w:rPr>
                <w:rFonts w:ascii="Times New Roman;sans-serif" w:hAnsi="Times New Roman;sans-serif"/>
                <w:b w:val="false"/>
                <w:color w:val="000000"/>
                <w:sz w:val="13"/>
              </w:rPr>
              <w:t>(b)</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(Non-GAAP)</w:t>
            </w:r>
          </w:p>
        </w:tc>
        <w:tc>
          <w:tcPr>
            <w:tcW w:w="42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(c)</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4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2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Comprised of programming charges recorded during the first quarter of 2023 in connection with the integration of Showtime into Paramount+ and initiatives to rationalize and right-size our international operations to align with our streaming strategy and close or globalize certain of our international channels. These initiatives resulted in a change in strategy for certain content, which led to content being removed from our platforms or abandoned, the write-off of development costs, distribution changes, and termination of programming agreements.</w:t>
      </w:r>
    </w:p>
    <w:p>
      <w:pPr>
        <w:pStyle w:val="TextBody"/>
        <w:bidi w:val="0"/>
        <w:spacing w:lineRule="auto" w:line="288" w:before="0" w:after="6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 Principally reflects a tax benefit from the resolution of an income tax matter in a foreign jurisdiction.</w:t>
      </w:r>
    </w:p>
    <w:p>
      <w:pPr>
        <w:pStyle w:val="TextBody"/>
        <w:bidi w:val="0"/>
        <w:spacing w:lineRule="auto" w:line="288" w:before="0" w:after="16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 The reported effective income tax rate for the three months ended March 31, 2023 was 26.0% and the adjusted effective income tax rate, which is calculated as the adjusted provision for income taxes of $58 million divided by adjusted earnings from continuing operations before income taxes of $211 million, was 27.5%. These adjusted measures exclude the items affecting comparability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Consolidated Results of Operations</w:t>
      </w:r>
    </w:p>
    <w:p>
      <w:pPr>
        <w:pStyle w:val="TextBody"/>
        <w:bidi w:val="0"/>
        <w:spacing w:lineRule="auto" w:line="288" w:before="0" w:after="160"/>
        <w:jc w:val="left"/>
        <w:rPr/>
      </w:pPr>
      <w:r>
        <w:rPr>
          <w:rFonts w:ascii="Times New Roman;sans-serif" w:hAnsi="Times New Roman;sans-serif"/>
          <w:b/>
          <w:color w:val="000000"/>
          <w:sz w:val="22"/>
        </w:rPr>
        <w:t>Three Months Ended March 31, 2024</w:t>
      </w:r>
      <w:r>
        <w:rPr>
          <w:color w:val="000000"/>
        </w:rPr>
        <w:t xml:space="preserve"> </w:t>
      </w:r>
      <w:r>
        <w:rPr>
          <w:rFonts w:ascii="Times New Roman;sans-serif" w:hAnsi="Times New Roman;sans-serif"/>
          <w:b/>
          <w:color w:val="000000"/>
          <w:sz w:val="22"/>
        </w:rPr>
        <w:t>versus</w:t>
      </w:r>
      <w:r>
        <w:rPr>
          <w:color w:val="000000"/>
        </w:rPr>
        <w:t xml:space="preserve"> </w:t>
      </w:r>
      <w:r>
        <w:rPr>
          <w:rFonts w:ascii="Times New Roman;sans-serif" w:hAnsi="Times New Roman;sans-serif"/>
          <w:b/>
          <w:color w:val="000000"/>
          <w:sz w:val="22"/>
        </w:rPr>
        <w:t>Three Months Ended March 31, 2023</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Revenues</w:t>
      </w:r>
    </w:p>
    <w:tbl>
      <w:tblPr>
        <w:tblW w:w="10205" w:type="dxa"/>
        <w:jc w:val="center"/>
        <w:tblInd w:w="0" w:type="dxa"/>
        <w:tblLayout w:type="fixed"/>
        <w:tblCellMar>
          <w:top w:w="28" w:type="dxa"/>
          <w:left w:w="28" w:type="dxa"/>
          <w:bottom w:w="28" w:type="dxa"/>
          <w:right w:w="28" w:type="dxa"/>
        </w:tblCellMar>
      </w:tblPr>
      <w:tblGrid>
        <w:gridCol w:w="738"/>
        <w:gridCol w:w="605"/>
        <w:gridCol w:w="610"/>
        <w:gridCol w:w="211"/>
        <w:gridCol w:w="616"/>
        <w:gridCol w:w="109"/>
        <w:gridCol w:w="109"/>
        <w:gridCol w:w="109"/>
        <w:gridCol w:w="109"/>
        <w:gridCol w:w="109"/>
        <w:gridCol w:w="109"/>
        <w:gridCol w:w="109"/>
        <w:gridCol w:w="232"/>
        <w:gridCol w:w="234"/>
        <w:gridCol w:w="271"/>
        <w:gridCol w:w="109"/>
        <w:gridCol w:w="109"/>
        <w:gridCol w:w="109"/>
        <w:gridCol w:w="109"/>
        <w:gridCol w:w="109"/>
        <w:gridCol w:w="109"/>
        <w:gridCol w:w="211"/>
        <w:gridCol w:w="616"/>
        <w:gridCol w:w="109"/>
        <w:gridCol w:w="109"/>
        <w:gridCol w:w="109"/>
        <w:gridCol w:w="109"/>
        <w:gridCol w:w="109"/>
        <w:gridCol w:w="109"/>
        <w:gridCol w:w="109"/>
        <w:gridCol w:w="232"/>
        <w:gridCol w:w="234"/>
        <w:gridCol w:w="271"/>
        <w:gridCol w:w="109"/>
        <w:gridCol w:w="109"/>
        <w:gridCol w:w="109"/>
        <w:gridCol w:w="109"/>
        <w:gridCol w:w="109"/>
        <w:gridCol w:w="109"/>
        <w:gridCol w:w="228"/>
        <w:gridCol w:w="504"/>
        <w:gridCol w:w="117"/>
        <w:gridCol w:w="117"/>
        <w:gridCol w:w="117"/>
        <w:gridCol w:w="117"/>
        <w:gridCol w:w="209"/>
        <w:gridCol w:w="212"/>
        <w:gridCol w:w="292"/>
        <w:gridCol w:w="109"/>
        <w:gridCol w:w="109"/>
        <w:gridCol w:w="159"/>
      </w:tblGrid>
      <w:tr>
        <w:trPr/>
        <w:tc>
          <w:tcPr>
            <w:tcW w:w="73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5"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Type</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Advertising</w:t>
            </w:r>
            <w:r>
              <w:rPr>
                <w:color w:val="000000"/>
              </w:rPr>
              <w:t xml:space="preserve">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subscription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Theatrical</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1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Advertising</w:t>
      </w:r>
    </w:p>
    <w:p>
      <w:pPr>
        <w:pStyle w:val="TextBody"/>
        <w:bidi w:val="0"/>
        <w:spacing w:lineRule="auto" w:line="288" w:before="0" w:after="0"/>
        <w:jc w:val="left"/>
        <w:rPr/>
      </w:pPr>
      <w:r>
        <w:rPr>
          <w:rFonts w:ascii="Times New Roman;sans-serif" w:hAnsi="Times New Roman;sans-serif"/>
          <w:b w:val="false"/>
          <w:color w:val="000000"/>
          <w:sz w:val="22"/>
        </w:rPr>
        <w:t xml:space="preserve">For the three months ended March 31, 2024, advertising revenues increased 17%, reflecting a 22-percentage point benefit from the broadcast of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 xml:space="preserve">on CBS as well as growth from our streaming services. We have the rights to broadcast the Super Bowl on a rotational basis with other networks, and therefore did not have a comparable broadcast in 2023. These increases were partially offset by the impact from continued weakness in the global linear advertising market.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Affiliate and Subscription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Affiliate and subscription revenues are principally comprised of affiliate fees received from distributors for carriage of our cable networks (cable affiliate fees) and owned television stations (retransmission fees), fees received from television stations for their affiliation with the CBS Television Network (reverse compensation), and subscription fees for our streaming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2024, affiliate and subscription revenues increased 6%, primarily driven by increases in subscribers and domestic pricing for Paramount+. Subscribers grew to 71.2 million at March 31, 2024 from 60.0 million at March 31, 2023. These increases were partially offset by lower affiliate fees for our linear networks.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Theatrical</w:t>
      </w:r>
    </w:p>
    <w:p>
      <w:pPr>
        <w:pStyle w:val="TextBody"/>
        <w:bidi w:val="0"/>
        <w:spacing w:lineRule="auto" w:line="288" w:before="160" w:after="283"/>
        <w:jc w:val="left"/>
        <w:rPr/>
      </w:pPr>
      <w:r>
        <w:rPr>
          <w:rFonts w:ascii="Times New Roman;sans-serif" w:hAnsi="Times New Roman;sans-serif"/>
          <w:b w:val="false"/>
          <w:color w:val="000000"/>
          <w:sz w:val="22"/>
        </w:rPr>
        <w:t xml:space="preserve">For the three months ended March 31, 2024, theatrical revenues increased $26 million, reflecting the timing and mix of releases in each year. Releases in the first quarter of 2024 included </w:t>
      </w:r>
      <w:r>
        <w:rPr>
          <w:rFonts w:ascii="Times New Roman;sans-serif" w:hAnsi="Times New Roman;sans-serif"/>
          <w:b w:val="false"/>
          <w:i/>
          <w:color w:val="000000"/>
          <w:sz w:val="22"/>
        </w:rPr>
        <w:t>Bob Marley: One Love, Mean Girls</w:t>
      </w:r>
      <w:r>
        <w:rPr>
          <w:color w:val="000000"/>
        </w:rPr>
        <w:t xml:space="preserve"> </w:t>
      </w:r>
      <w:r>
        <w:rPr>
          <w:rFonts w:ascii="Times New Roman;sans-serif" w:hAnsi="Times New Roman;sans-serif"/>
          <w:b w:val="false"/>
          <w:color w:val="000000"/>
          <w:sz w:val="22"/>
        </w:rPr>
        <w:t xml:space="preserve">and Miramax’s release of </w:t>
      </w:r>
      <w:r>
        <w:rPr>
          <w:rFonts w:ascii="Times New Roman;sans-serif" w:hAnsi="Times New Roman;sans-serif"/>
          <w:b w:val="false"/>
          <w:i/>
          <w:color w:val="000000"/>
          <w:sz w:val="22"/>
        </w:rPr>
        <w:t>The Beekeeper</w:t>
      </w:r>
      <w:r>
        <w:rPr>
          <w:rFonts w:ascii="Times New Roman;sans-serif" w:hAnsi="Times New Roman;sans-serif"/>
          <w:b w:val="false"/>
          <w:color w:val="000000"/>
          <w:sz w:val="22"/>
        </w:rPr>
        <w:t xml:space="preserve">, while the first quarter of 2023 included </w:t>
      </w:r>
      <w:r>
        <w:rPr>
          <w:rFonts w:ascii="Times New Roman;sans-serif" w:hAnsi="Times New Roman;sans-serif"/>
          <w:b w:val="false"/>
          <w:i/>
          <w:color w:val="000000"/>
          <w:sz w:val="22"/>
        </w:rPr>
        <w:t>Scream VI</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i/>
          <w:color w:val="000000"/>
          <w:sz w:val="22"/>
        </w:rPr>
        <w:t>80 for Brady</w:t>
      </w:r>
      <w:r>
        <w:rPr>
          <w:rFonts w:ascii="Times New Roman;sans-serif" w:hAnsi="Times New Roman;sans-serif"/>
          <w:b w:val="false"/>
          <w:color w:val="000000"/>
          <w:sz w:val="22"/>
        </w:rPr>
        <w:t>, and</w:t>
      </w:r>
      <w:r>
        <w:rPr>
          <w:color w:val="000000"/>
        </w:rPr>
        <w:t xml:space="preserve"> </w:t>
      </w:r>
      <w:r>
        <w:rPr>
          <w:rFonts w:ascii="Times New Roman;sans-serif" w:hAnsi="Times New Roman;sans-serif"/>
          <w:b w:val="false"/>
          <w:i/>
          <w:color w:val="000000"/>
          <w:sz w:val="22"/>
        </w:rPr>
        <w:t>Dungeons &amp; Dragons: Honor Among Thieves</w:t>
      </w:r>
      <w:r>
        <w:rPr>
          <w:rFonts w:ascii="Times New Roman;sans-serif" w:hAnsi="Times New Roman;sans-serif"/>
          <w:b w:val="false"/>
          <w:color w:val="000000"/>
          <w:sz w:val="22"/>
        </w:rPr>
        <w:t xml:space="preserve">, which was released on the last day of the quarter.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Licensing and Other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or distributed for third parties; home entertainment revenues, which include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and revenues from the rental of production facilities.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three months ended March 31, 2024, licensing and other revenues decreased 18%, primarily reflecting a lower volume of television licensing in the secondary market. Content available for licensing was impacted by temporary production shutdowns due to labor strikes in 2023. </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2"/>
        </w:rPr>
        <w:t>Operating Expenses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630"/>
        <w:gridCol w:w="483"/>
        <w:gridCol w:w="486"/>
        <w:gridCol w:w="211"/>
        <w:gridCol w:w="616"/>
        <w:gridCol w:w="109"/>
        <w:gridCol w:w="109"/>
        <w:gridCol w:w="109"/>
        <w:gridCol w:w="109"/>
        <w:gridCol w:w="144"/>
        <w:gridCol w:w="144"/>
        <w:gridCol w:w="144"/>
        <w:gridCol w:w="276"/>
        <w:gridCol w:w="198"/>
        <w:gridCol w:w="360"/>
        <w:gridCol w:w="144"/>
        <w:gridCol w:w="144"/>
        <w:gridCol w:w="144"/>
        <w:gridCol w:w="109"/>
        <w:gridCol w:w="109"/>
        <w:gridCol w:w="109"/>
        <w:gridCol w:w="211"/>
        <w:gridCol w:w="616"/>
        <w:gridCol w:w="109"/>
        <w:gridCol w:w="109"/>
        <w:gridCol w:w="109"/>
        <w:gridCol w:w="109"/>
        <w:gridCol w:w="144"/>
        <w:gridCol w:w="144"/>
        <w:gridCol w:w="144"/>
        <w:gridCol w:w="276"/>
        <w:gridCol w:w="198"/>
        <w:gridCol w:w="360"/>
        <w:gridCol w:w="144"/>
        <w:gridCol w:w="144"/>
        <w:gridCol w:w="144"/>
        <w:gridCol w:w="109"/>
        <w:gridCol w:w="109"/>
        <w:gridCol w:w="109"/>
        <w:gridCol w:w="223"/>
        <w:gridCol w:w="383"/>
        <w:gridCol w:w="115"/>
        <w:gridCol w:w="115"/>
        <w:gridCol w:w="115"/>
        <w:gridCol w:w="115"/>
        <w:gridCol w:w="144"/>
        <w:gridCol w:w="146"/>
        <w:gridCol w:w="287"/>
        <w:gridCol w:w="109"/>
        <w:gridCol w:w="109"/>
        <w:gridCol w:w="169"/>
      </w:tblGrid>
      <w:tr>
        <w:trPr/>
        <w:tc>
          <w:tcPr>
            <w:tcW w:w="63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5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9" w:type="dxa"/>
            <w:gridSpan w:val="45"/>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Operating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 by Type</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costs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and other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6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6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0"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8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Content Costs</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Content costs include the amortization of costs of internally-produced television and theatrical film content; amortization of acquired program rights; other television production costs, including on-air talent; and participation and residuals expenses, which reflect amounts owed to talent and other participants in our content pursuant to contractual and collective bargaining arrangements.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For the three months ended March 31, 2024, the 2% increase primarily reflects costs associated with the Super Bowl broadcast, partially offset by lower costs associated with lower licensing revenues and for other content exhibited on our networks. The lower content costs include the impacts from the 2023 production shutdowns, which reduced the content available for licensing and resulted in CBS’ broadcast season being delayed to February 2024, and lower costs following the removal of content from our platforms and other actions relating to the change in our content strategy further described under </w:t>
      </w:r>
      <w:r>
        <w:rPr>
          <w:rFonts w:ascii="Times New Roman;sans-serif" w:hAnsi="Times New Roman;sans-serif"/>
          <w:b w:val="false"/>
          <w:i/>
          <w:color w:val="000000"/>
          <w:sz w:val="22"/>
        </w:rPr>
        <w:t xml:space="preserve">Programming Charges. </w:t>
      </w:r>
      <w:r>
        <w:rPr>
          <w:rFonts w:ascii="Times New Roman;sans-serif" w:hAnsi="Times New Roman;sans-serif"/>
          <w:b w:val="false"/>
          <w:color w:val="000000"/>
          <w:sz w:val="22"/>
        </w:rPr>
        <w:t>These decreases were partially offset by higher costs for other sporting events.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Distribution and Other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Distribution and other operating expenses primarily include costs relating to the distribution of our content, including marketing for theatrical releases; revenue-sharing costs, including for third-party distribution and to television stations affiliated with the CBS Television Network; compensation and other ancillary and overhead costs associated with our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2024, distribution and other expenses decreased 1%, primarily driven by lower theatrical marketing costs, reflecting the timing and mix of releases in each year. The decrease was partially offset by higher costs associated with the growth of our streaming services, principally from costs for third-party distribution.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Programming Charges</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first quarter of 2024, in connection with our continued review of our content strategy, we made a strategic decision to focus on content with mass global appeal. As part of this, we are rationalizing original content on our streaming services, especially internationally, and improving the efficiency of our linear network programming. As a result, we have reviewed our expansive global content portfolio and removed select content from our platforms. In addition, we have decided not to move forward with certain titles and therefore have abandoned some development projects and terminated certain programming agreements. Accordingly, we recorded programming charges on the Consolidated Statement of Operations for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relating to these actions. These charges, which totaled $1.12 billion, were comprised of $909 million for the impairment of content to its estimated fair value, as well as $209 million for development cost write-offs and contract termination costs. We may incur an additional programming charge of approximately $250 million later in 2024 related to the termination of an international programming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first half of 2023, in connection with the integration of Showtime into Paramount+ across both streaming and linear platforms, we performed a comprehensive strategic review of the combined content portfolio of Showtime and Paramount+. Additionally, we commenced a review of our international content portfolio in connection with initiatives to rationalize and right-size our international operations to align with our streaming strategy, and close or globalize certain of our international channels. As a result, we changed the strategy for certain content, which led to content being removed from our platforms or abandoned, the write-off of development costs, distribution changes, and termination of programming agreements. Accordingly, we recorded programming charges on the Consolidated Statement of Operations relating to these actions. For the first quarter of 2023, we recorded charges totaling $1.67 billion, which were comprised of $1.45 billion for the impairment of content to its estimated fair value, as well as $225 million for development cost write-offs and contract termination costs.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Selling, General and Administrative Expenses</w:t>
      </w:r>
    </w:p>
    <w:tbl>
      <w:tblPr>
        <w:tblW w:w="10205" w:type="dxa"/>
        <w:jc w:val="center"/>
        <w:tblInd w:w="0" w:type="dxa"/>
        <w:tblLayout w:type="fixed"/>
        <w:tblCellMar>
          <w:top w:w="28" w:type="dxa"/>
          <w:left w:w="28" w:type="dxa"/>
          <w:bottom w:w="28" w:type="dxa"/>
          <w:right w:w="28" w:type="dxa"/>
        </w:tblCellMar>
      </w:tblPr>
      <w:tblGrid>
        <w:gridCol w:w="970"/>
        <w:gridCol w:w="852"/>
        <w:gridCol w:w="854"/>
        <w:gridCol w:w="109"/>
        <w:gridCol w:w="109"/>
        <w:gridCol w:w="302"/>
        <w:gridCol w:w="302"/>
        <w:gridCol w:w="302"/>
        <w:gridCol w:w="302"/>
        <w:gridCol w:w="302"/>
        <w:gridCol w:w="302"/>
        <w:gridCol w:w="302"/>
        <w:gridCol w:w="302"/>
        <w:gridCol w:w="211"/>
        <w:gridCol w:w="616"/>
        <w:gridCol w:w="109"/>
        <w:gridCol w:w="109"/>
        <w:gridCol w:w="109"/>
        <w:gridCol w:w="109"/>
        <w:gridCol w:w="211"/>
        <w:gridCol w:w="616"/>
        <w:gridCol w:w="109"/>
        <w:gridCol w:w="109"/>
        <w:gridCol w:w="109"/>
        <w:gridCol w:w="109"/>
        <w:gridCol w:w="109"/>
        <w:gridCol w:w="109"/>
        <w:gridCol w:w="109"/>
        <w:gridCol w:w="211"/>
        <w:gridCol w:w="424"/>
        <w:gridCol w:w="109"/>
        <w:gridCol w:w="109"/>
        <w:gridCol w:w="109"/>
        <w:gridCol w:w="109"/>
        <w:gridCol w:w="158"/>
        <w:gridCol w:w="160"/>
        <w:gridCol w:w="271"/>
        <w:gridCol w:w="109"/>
        <w:gridCol w:w="109"/>
        <w:gridCol w:w="164"/>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gridSpan w:val="8"/>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936"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24"/>
            <w:tcBorders/>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2042" w:type="dxa"/>
            <w:gridSpan w:val="12"/>
            <w:tcBorders/>
          </w:tcPr>
          <w:p>
            <w:pPr>
              <w:pStyle w:val="TableContents"/>
              <w:bidi w:val="0"/>
              <w:spacing w:before="0" w:after="283"/>
              <w:jc w:val="left"/>
              <w:rPr>
                <w:sz w:val="4"/>
                <w:szCs w:val="4"/>
              </w:rPr>
            </w:pPr>
            <w:r>
              <w:rPr>
                <w:sz w:val="4"/>
                <w:szCs w:val="4"/>
              </w:rPr>
            </w:r>
          </w:p>
        </w:tc>
      </w:tr>
      <w:tr>
        <w:trPr/>
        <w:tc>
          <w:tcPr>
            <w:tcW w:w="2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br/>
              <w: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8"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(“SG&amp;A”) expenses include costs incurred for advertising, marketing, occupancy, professional service fees, and back office support, including employee compensation and technology. For the three months ended March 31, 2024, SG&amp;A expenses decreased 5%, driven by lower marketing costs for our streaming services and lower compensation expense.</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Depreciation and Amortization</w:t>
      </w:r>
    </w:p>
    <w:tbl>
      <w:tblPr>
        <w:tblW w:w="9468" w:type="dxa"/>
        <w:jc w:val="center"/>
        <w:tblInd w:w="0" w:type="dxa"/>
        <w:tblLayout w:type="fixed"/>
        <w:tblCellMar>
          <w:top w:w="28" w:type="dxa"/>
          <w:left w:w="28" w:type="dxa"/>
          <w:bottom w:w="28" w:type="dxa"/>
          <w:right w:w="28" w:type="dxa"/>
        </w:tblCellMar>
      </w:tblPr>
      <w:tblGrid>
        <w:gridCol w:w="939"/>
        <w:gridCol w:w="826"/>
        <w:gridCol w:w="829"/>
        <w:gridCol w:w="109"/>
        <w:gridCol w:w="109"/>
        <w:gridCol w:w="196"/>
        <w:gridCol w:w="196"/>
        <w:gridCol w:w="196"/>
        <w:gridCol w:w="196"/>
        <w:gridCol w:w="196"/>
        <w:gridCol w:w="196"/>
        <w:gridCol w:w="196"/>
        <w:gridCol w:w="380"/>
        <w:gridCol w:w="839"/>
        <w:gridCol w:w="196"/>
        <w:gridCol w:w="109"/>
        <w:gridCol w:w="109"/>
        <w:gridCol w:w="109"/>
        <w:gridCol w:w="211"/>
        <w:gridCol w:w="466"/>
        <w:gridCol w:w="109"/>
        <w:gridCol w:w="109"/>
        <w:gridCol w:w="109"/>
        <w:gridCol w:w="109"/>
        <w:gridCol w:w="211"/>
        <w:gridCol w:w="406"/>
        <w:gridCol w:w="109"/>
        <w:gridCol w:w="109"/>
        <w:gridCol w:w="109"/>
        <w:gridCol w:w="109"/>
        <w:gridCol w:w="203"/>
        <w:gridCol w:w="203"/>
        <w:gridCol w:w="271"/>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gridSpan w:val="10"/>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21"/>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Restructuring Charges</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three months ended March 31, 2024, we recorded the following restructuring charges.</w:t>
      </w:r>
    </w:p>
    <w:tbl>
      <w:tblPr>
        <w:tblW w:w="5839" w:type="dxa"/>
        <w:jc w:val="center"/>
        <w:tblInd w:w="0" w:type="dxa"/>
        <w:tblLayout w:type="fixed"/>
        <w:tblCellMar>
          <w:top w:w="28" w:type="dxa"/>
          <w:left w:w="28" w:type="dxa"/>
          <w:bottom w:w="28" w:type="dxa"/>
          <w:right w:w="28" w:type="dxa"/>
        </w:tblCellMar>
      </w:tblPr>
      <w:tblGrid>
        <w:gridCol w:w="699"/>
        <w:gridCol w:w="614"/>
        <w:gridCol w:w="621"/>
        <w:gridCol w:w="109"/>
        <w:gridCol w:w="109"/>
        <w:gridCol w:w="1876"/>
        <w:gridCol w:w="109"/>
        <w:gridCol w:w="386"/>
        <w:gridCol w:w="854"/>
        <w:gridCol w:w="19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811" w:type="dxa"/>
            <w:gridSpan w:val="6"/>
            <w:tcBorders/>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Severance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Severance costs include the accelerated vesting of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restructuring charges of $186 million for the three months ended March 31, 2024 are comprised of severance costs associated with strategic changes in our global workforce and the impairment of lease assets that we ceased use of in connection with initiatives to reduce our real estate footprint and create cost synergies.</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Interest Expense/Income</w:t>
      </w:r>
    </w:p>
    <w:tbl>
      <w:tblPr>
        <w:tblW w:w="8208" w:type="dxa"/>
        <w:jc w:val="center"/>
        <w:tblInd w:w="0" w:type="dxa"/>
        <w:tblLayout w:type="fixed"/>
        <w:tblCellMar>
          <w:top w:w="28" w:type="dxa"/>
          <w:left w:w="28" w:type="dxa"/>
          <w:bottom w:w="28" w:type="dxa"/>
          <w:right w:w="28" w:type="dxa"/>
        </w:tblCellMar>
      </w:tblPr>
      <w:tblGrid>
        <w:gridCol w:w="516"/>
        <w:gridCol w:w="452"/>
        <w:gridCol w:w="456"/>
        <w:gridCol w:w="109"/>
        <w:gridCol w:w="109"/>
        <w:gridCol w:w="196"/>
        <w:gridCol w:w="196"/>
        <w:gridCol w:w="196"/>
        <w:gridCol w:w="196"/>
        <w:gridCol w:w="196"/>
        <w:gridCol w:w="196"/>
        <w:gridCol w:w="196"/>
        <w:gridCol w:w="380"/>
        <w:gridCol w:w="839"/>
        <w:gridCol w:w="196"/>
        <w:gridCol w:w="109"/>
        <w:gridCol w:w="109"/>
        <w:gridCol w:w="109"/>
        <w:gridCol w:w="211"/>
        <w:gridCol w:w="466"/>
        <w:gridCol w:w="109"/>
        <w:gridCol w:w="109"/>
        <w:gridCol w:w="109"/>
        <w:gridCol w:w="109"/>
        <w:gridCol w:w="211"/>
        <w:gridCol w:w="361"/>
        <w:gridCol w:w="109"/>
        <w:gridCol w:w="109"/>
        <w:gridCol w:w="109"/>
        <w:gridCol w:w="109"/>
        <w:gridCol w:w="179"/>
        <w:gridCol w:w="182"/>
        <w:gridCol w:w="271"/>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gridSpan w:val="10"/>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21"/>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9"/>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96"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our outstanding debt balances, excluding finance leases, and the weighted average interest rates as of March 31, 2024 and 2023.</w:t>
      </w:r>
    </w:p>
    <w:tbl>
      <w:tblPr>
        <w:tblW w:w="9159" w:type="dxa"/>
        <w:jc w:val="center"/>
        <w:tblInd w:w="0" w:type="dxa"/>
        <w:tblLayout w:type="fixed"/>
        <w:tblCellMar>
          <w:top w:w="28" w:type="dxa"/>
          <w:left w:w="28" w:type="dxa"/>
          <w:bottom w:w="28" w:type="dxa"/>
          <w:right w:w="28" w:type="dxa"/>
        </w:tblCellMar>
      </w:tblPr>
      <w:tblGrid>
        <w:gridCol w:w="836"/>
        <w:gridCol w:w="735"/>
        <w:gridCol w:w="739"/>
        <w:gridCol w:w="211"/>
        <w:gridCol w:w="721"/>
        <w:gridCol w:w="109"/>
        <w:gridCol w:w="109"/>
        <w:gridCol w:w="109"/>
        <w:gridCol w:w="109"/>
        <w:gridCol w:w="160"/>
        <w:gridCol w:w="160"/>
        <w:gridCol w:w="160"/>
        <w:gridCol w:w="255"/>
        <w:gridCol w:w="256"/>
        <w:gridCol w:w="398"/>
        <w:gridCol w:w="160"/>
        <w:gridCol w:w="160"/>
        <w:gridCol w:w="160"/>
        <w:gridCol w:w="109"/>
        <w:gridCol w:w="109"/>
        <w:gridCol w:w="109"/>
        <w:gridCol w:w="211"/>
        <w:gridCol w:w="721"/>
        <w:gridCol w:w="109"/>
        <w:gridCol w:w="109"/>
        <w:gridCol w:w="109"/>
        <w:gridCol w:w="109"/>
        <w:gridCol w:w="158"/>
        <w:gridCol w:w="158"/>
        <w:gridCol w:w="158"/>
        <w:gridCol w:w="255"/>
        <w:gridCol w:w="256"/>
        <w:gridCol w:w="393"/>
        <w:gridCol w:w="158"/>
        <w:gridCol w:w="158"/>
        <w:gridCol w:w="223"/>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3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 March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and debentures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3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bank borrowings</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8"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39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Loss from Investment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During the first quarter of 2024, we recorded a loss of $4 million associated with the sale of an investment.</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Items, Net</w:t>
      </w:r>
    </w:p>
    <w:p>
      <w:pPr>
        <w:pStyle w:val="TextBody"/>
        <w:bidi w:val="0"/>
        <w:spacing w:lineRule="auto" w:line="288" w:before="0" w:after="160"/>
        <w:jc w:val="left"/>
        <w:rPr/>
      </w:pPr>
      <w:r>
        <w:rPr>
          <w:rFonts w:ascii="Times New Roman;sans-serif" w:hAnsi="Times New Roman;sans-serif"/>
          <w:b w:val="false"/>
          <w:color w:val="000000"/>
          <w:sz w:val="22"/>
        </w:rPr>
        <w:t>The following table presents the components of “Other items, net”.</w:t>
      </w:r>
      <w:r>
        <w:rPr>
          <w:color w:val="000000"/>
        </w:rPr>
        <w:t xml:space="preserve"> </w:t>
      </w:r>
    </w:p>
    <w:tbl>
      <w:tblPr>
        <w:tblW w:w="7521" w:type="dxa"/>
        <w:jc w:val="center"/>
        <w:tblInd w:w="0" w:type="dxa"/>
        <w:tblLayout w:type="fixed"/>
        <w:tblCellMar>
          <w:top w:w="28" w:type="dxa"/>
          <w:left w:w="28" w:type="dxa"/>
          <w:bottom w:w="28" w:type="dxa"/>
          <w:right w:w="28" w:type="dxa"/>
        </w:tblCellMar>
      </w:tblPr>
      <w:tblGrid>
        <w:gridCol w:w="1229"/>
        <w:gridCol w:w="1079"/>
        <w:gridCol w:w="1082"/>
        <w:gridCol w:w="109"/>
        <w:gridCol w:w="109"/>
        <w:gridCol w:w="233"/>
        <w:gridCol w:w="233"/>
        <w:gridCol w:w="452"/>
        <w:gridCol w:w="935"/>
        <w:gridCol w:w="233"/>
        <w:gridCol w:w="233"/>
        <w:gridCol w:w="233"/>
        <w:gridCol w:w="233"/>
        <w:gridCol w:w="211"/>
        <w:gridCol w:w="436"/>
        <w:gridCol w:w="109"/>
        <w:gridCol w:w="109"/>
        <w:gridCol w:w="109"/>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gridSpan w:val="8"/>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128" w:type="dxa"/>
            <w:gridSpan w:val="6"/>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Provision for/Benefit from Income Taxes </w:t>
      </w:r>
    </w:p>
    <w:p>
      <w:pPr>
        <w:pStyle w:val="TextBody"/>
        <w:bidi w:val="0"/>
        <w:spacing w:lineRule="auto" w:line="288" w:before="160" w:after="283"/>
        <w:jc w:val="left"/>
        <w:rPr/>
      </w:pPr>
      <w:r>
        <w:rPr>
          <w:rFonts w:ascii="Times New Roman;sans-serif" w:hAnsi="Times New Roman;sans-serif"/>
          <w:b w:val="false"/>
          <w:color w:val="000000"/>
          <w:sz w:val="22"/>
        </w:rPr>
        <w:t xml:space="preserve">The provision for/benefit from income taxes represents federal, state and local, and foreign taxes on earnings (loss) from continuing operations before income taxes and equity in loss of investee companies. For the three months ended March 31, 2024, we recorded a benefit from income taxes of $172 million, reflecting an effective income tax rate of 27.1%. The tax benefit for the first quarter of 2024 was primarily the result of a benefit of $275 million on programming charges of $1.12 billion. Our adjusted effective income tax rate, which excludes the impacts from these programming charges, as well as the other items impacting comparability described under </w:t>
      </w:r>
      <w:r>
        <w:rPr>
          <w:rFonts w:ascii="Times New Roman;sans-serif" w:hAnsi="Times New Roman;sans-serif"/>
          <w:b w:val="false"/>
          <w:i/>
          <w:color w:val="000000"/>
          <w:sz w:val="22"/>
        </w:rPr>
        <w:t>Reconciliation of Non-GAAP Measures</w:t>
      </w:r>
      <w:r>
        <w:rPr>
          <w:rFonts w:ascii="Times New Roman;sans-serif" w:hAnsi="Times New Roman;sans-serif"/>
          <w:b w:val="false"/>
          <w:color w:val="000000"/>
          <w:sz w:val="22"/>
        </w:rPr>
        <w:t xml:space="preserve">, was 22.1%.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pPr>
      <w:r>
        <w:rPr>
          <w:rFonts w:ascii="Times New Roman;sans-serif" w:hAnsi="Times New Roman;sans-serif"/>
          <w:b w:val="false"/>
          <w:color w:val="000000"/>
          <w:sz w:val="22"/>
        </w:rPr>
        <w:t xml:space="preserve">For the three months ended March 31, 2023, we recorded a benefit from income taxes of $381 million, reflecting an effective income tax rate of 26.0%. The tax benefit for the first quarter of 2023 was primarily the result of a benefit of $409 million on programming charges of $1.67 billion. Our adjusted effective income tax rate, which excludes the impacts from these programming charges, as well as the other items impacting comparability described under </w:t>
      </w:r>
      <w:r>
        <w:rPr>
          <w:rFonts w:ascii="Times New Roman;sans-serif" w:hAnsi="Times New Roman;sans-serif"/>
          <w:b w:val="false"/>
          <w:i/>
          <w:color w:val="000000"/>
          <w:sz w:val="22"/>
        </w:rPr>
        <w:t>Reconciliation of Non-GAAP Measures</w:t>
      </w:r>
      <w:r>
        <w:rPr>
          <w:rFonts w:ascii="Times New Roman;sans-serif" w:hAnsi="Times New Roman;sans-serif"/>
          <w:b w:val="false"/>
          <w:color w:val="000000"/>
          <w:sz w:val="22"/>
        </w:rPr>
        <w:t xml:space="preserve">, was 27.5%.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Equity in Loss of Investee Companies, Net of Tax</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equity in loss of investee companies for our equity-method investments.</w:t>
      </w:r>
    </w:p>
    <w:tbl>
      <w:tblPr>
        <w:tblW w:w="10205" w:type="dxa"/>
        <w:jc w:val="center"/>
        <w:tblInd w:w="0" w:type="dxa"/>
        <w:tblLayout w:type="fixed"/>
        <w:tblCellMar>
          <w:top w:w="28" w:type="dxa"/>
          <w:left w:w="28" w:type="dxa"/>
          <w:bottom w:w="28" w:type="dxa"/>
          <w:right w:w="28" w:type="dxa"/>
        </w:tblCellMar>
      </w:tblPr>
      <w:tblGrid>
        <w:gridCol w:w="1279"/>
        <w:gridCol w:w="1116"/>
        <w:gridCol w:w="1124"/>
        <w:gridCol w:w="109"/>
        <w:gridCol w:w="109"/>
        <w:gridCol w:w="186"/>
        <w:gridCol w:w="186"/>
        <w:gridCol w:w="186"/>
        <w:gridCol w:w="186"/>
        <w:gridCol w:w="186"/>
        <w:gridCol w:w="186"/>
        <w:gridCol w:w="186"/>
        <w:gridCol w:w="361"/>
        <w:gridCol w:w="738"/>
        <w:gridCol w:w="186"/>
        <w:gridCol w:w="109"/>
        <w:gridCol w:w="109"/>
        <w:gridCol w:w="109"/>
        <w:gridCol w:w="211"/>
        <w:gridCol w:w="427"/>
        <w:gridCol w:w="109"/>
        <w:gridCol w:w="109"/>
        <w:gridCol w:w="109"/>
        <w:gridCol w:w="109"/>
        <w:gridCol w:w="211"/>
        <w:gridCol w:w="427"/>
        <w:gridCol w:w="109"/>
        <w:gridCol w:w="109"/>
        <w:gridCol w:w="109"/>
        <w:gridCol w:w="109"/>
        <w:gridCol w:w="213"/>
        <w:gridCol w:w="213"/>
        <w:gridCol w:w="271"/>
        <w:gridCol w:w="109"/>
        <w:gridCol w:w="109"/>
        <w:gridCol w:w="109"/>
        <w:gridCol w:w="109"/>
        <w:gridCol w:w="109"/>
        <w:gridCol w:w="164"/>
      </w:tblGrid>
      <w:tr>
        <w:trPr/>
        <w:tc>
          <w:tcPr>
            <w:tcW w:w="127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7" w:type="dxa"/>
            <w:gridSpan w:val="10"/>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21"/>
            <w:tcBorders/>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9"/>
            <w:tcBorders/>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 of investee companies,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8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Net Loss from Continuing Operations Attributable to Paramount and Diluted EPS from Continuing Operations</w:t>
      </w:r>
    </w:p>
    <w:tbl>
      <w:tblPr>
        <w:tblW w:w="10205" w:type="dxa"/>
        <w:jc w:val="center"/>
        <w:tblInd w:w="0" w:type="dxa"/>
        <w:tblLayout w:type="fixed"/>
        <w:tblCellMar>
          <w:top w:w="28" w:type="dxa"/>
          <w:left w:w="28" w:type="dxa"/>
          <w:bottom w:w="28" w:type="dxa"/>
          <w:right w:w="28" w:type="dxa"/>
        </w:tblCellMar>
      </w:tblPr>
      <w:tblGrid>
        <w:gridCol w:w="1130"/>
        <w:gridCol w:w="993"/>
        <w:gridCol w:w="998"/>
        <w:gridCol w:w="109"/>
        <w:gridCol w:w="109"/>
        <w:gridCol w:w="312"/>
        <w:gridCol w:w="312"/>
        <w:gridCol w:w="312"/>
        <w:gridCol w:w="312"/>
        <w:gridCol w:w="312"/>
        <w:gridCol w:w="312"/>
        <w:gridCol w:w="312"/>
        <w:gridCol w:w="211"/>
        <w:gridCol w:w="523"/>
        <w:gridCol w:w="109"/>
        <w:gridCol w:w="113"/>
        <w:gridCol w:w="113"/>
        <w:gridCol w:w="113"/>
        <w:gridCol w:w="220"/>
        <w:gridCol w:w="703"/>
        <w:gridCol w:w="113"/>
        <w:gridCol w:w="113"/>
        <w:gridCol w:w="113"/>
        <w:gridCol w:w="113"/>
        <w:gridCol w:w="211"/>
        <w:gridCol w:w="466"/>
        <w:gridCol w:w="109"/>
        <w:gridCol w:w="109"/>
        <w:gridCol w:w="109"/>
        <w:gridCol w:w="109"/>
        <w:gridCol w:w="180"/>
        <w:gridCol w:w="181"/>
        <w:gridCol w:w="271"/>
        <w:gridCol w:w="109"/>
        <w:gridCol w:w="109"/>
        <w:gridCol w:w="162"/>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4" w:type="dxa"/>
            <w:gridSpan w:val="7"/>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8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21"/>
            <w:tcBorders/>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9"/>
            <w:tcBorders/>
          </w:tcPr>
          <w:p>
            <w:pPr>
              <w:pStyle w:val="TableContents"/>
              <w:bidi w:val="0"/>
              <w:spacing w:before="0" w:after="283"/>
              <w:jc w:val="left"/>
              <w:rPr>
                <w:sz w:val="4"/>
                <w:szCs w:val="4"/>
              </w:rPr>
            </w:pPr>
            <w:r>
              <w:rPr>
                <w:sz w:val="4"/>
                <w:szCs w:val="4"/>
              </w:rPr>
            </w:r>
          </w:p>
        </w:tc>
      </w:tr>
      <w:tr>
        <w:trPr/>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(loss) from continuing operations </w:t>
              <w:br/>
              <w:t>   attributable to Paramount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EPS from continuing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13"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Times New Roman;sans-serif" w:hAnsi="Times New Roman;sans-serif"/>
          <w:b w:val="false"/>
          <w:color w:val="000000"/>
          <w:sz w:val="22"/>
        </w:rPr>
        <w:t>For the three months ended March 31, 2024, we reported a net loss from continuing operations attributable to Paramount of $563 million or $.88</w:t>
      </w:r>
      <w:r>
        <w:rPr>
          <w:color w:val="000000"/>
        </w:rPr>
        <w:t xml:space="preserve"> </w:t>
      </w:r>
      <w:r>
        <w:rPr>
          <w:rFonts w:ascii="Times New Roman;sans-serif" w:hAnsi="Times New Roman;sans-serif"/>
          <w:b w:val="false"/>
          <w:color w:val="000000"/>
          <w:sz w:val="22"/>
        </w:rPr>
        <w:t xml:space="preserve">per diluted share compared with a net loss from continuing operations attributable to Paramount of $1.16 billion or $1.81 per diluted share for the same prior-year period. The comparison reflects the lower tax-effected operating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Net Earnings from Discontinued Operations</w:t>
      </w:r>
    </w:p>
    <w:p>
      <w:pPr>
        <w:pStyle w:val="TextBody"/>
        <w:bidi w:val="0"/>
        <w:spacing w:lineRule="auto" w:line="288"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sets forth details of net earnings from discontinued operations for the three months ended March 31, 2023, which primarily reflects the results of Simon &amp; Schuster. On October 30, 2023, we completed the sale of Simon &amp; Schuster to affiliates of Kohlberg Kravis Roberts &amp; Co. During the first quarter of 2024, we recorded an additional pretax gain of $12 million on the sale as a result of a working capital adjustment. </w:t>
      </w:r>
    </w:p>
    <w:tbl>
      <w:tblPr>
        <w:tblW w:w="7891" w:type="dxa"/>
        <w:jc w:val="center"/>
        <w:tblInd w:w="0" w:type="dxa"/>
        <w:tblLayout w:type="fixed"/>
        <w:tblCellMar>
          <w:top w:w="28" w:type="dxa"/>
          <w:left w:w="28" w:type="dxa"/>
          <w:bottom w:w="28" w:type="dxa"/>
          <w:right w:w="28" w:type="dxa"/>
        </w:tblCellMar>
      </w:tblPr>
      <w:tblGrid>
        <w:gridCol w:w="1605"/>
        <w:gridCol w:w="1405"/>
        <w:gridCol w:w="1414"/>
        <w:gridCol w:w="109"/>
        <w:gridCol w:w="109"/>
        <w:gridCol w:w="109"/>
        <w:gridCol w:w="109"/>
        <w:gridCol w:w="374"/>
        <w:gridCol w:w="374"/>
        <w:gridCol w:w="374"/>
        <w:gridCol w:w="374"/>
        <w:gridCol w:w="377"/>
        <w:gridCol w:w="211"/>
        <w:gridCol w:w="466"/>
        <w:gridCol w:w="109"/>
        <w:gridCol w:w="109"/>
        <w:gridCol w:w="109"/>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58" w:type="dxa"/>
            <w:gridSpan w:val="6"/>
            <w:tcBorders/>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158" w:type="dxa"/>
            <w:gridSpan w:val="6"/>
            <w:tcBorders/>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Total costs and expenses </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Provision for income taxes</w:t>
            </w:r>
            <w:r>
              <w:rPr>
                <w:color w:val="000000"/>
              </w:rPr>
              <w:t xml:space="preserve"> </w:t>
            </w:r>
            <w:r>
              <w:rPr>
                <w:rFonts w:ascii="Times New Roman;sans-serif" w:hAnsi="Times New Roman;sans-serif"/>
                <w:b w:val="false"/>
                <w:color w:val="000000"/>
                <w:sz w:val="13"/>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Included in total costs and expenses are amounts associated with the release of indemnification obligations for leases relating to a previously disposed business of $4 million for the three months ended March 31, 2023.</w:t>
      </w:r>
    </w:p>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 The tax provision includes amounts relating to previously disposed businesses of $1 million for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Segment Results of Operations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We are a global media, streaming and entertainment company that creates premium content and experiences for audiences worldwide, and are comprised of the following segments: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rPr>
        <w:t>TV Media—</w:t>
      </w:r>
      <w:r>
        <w:rPr>
          <w:rFonts w:ascii="Times New Roman;sans-serif" w:hAnsi="Times New Roman;sans-serif"/>
          <w:b w:val="false"/>
          <w:color w:val="000000"/>
          <w:sz w:val="22"/>
        </w:rPr>
        <w:t xml:space="preserve">Our </w:t>
      </w:r>
      <w:r>
        <w:rPr>
          <w:rFonts w:ascii="Times New Roman;sans-serif" w:hAnsi="Times New Roman;sans-serif"/>
          <w:b w:val="false"/>
          <w:i/>
          <w:color w:val="000000"/>
          <w:sz w:val="22"/>
        </w:rPr>
        <w:t>TV Media</w:t>
      </w:r>
      <w:r>
        <w:rPr>
          <w:color w:val="000000"/>
        </w:rPr>
        <w:t xml:space="preserve"> </w:t>
      </w:r>
      <w:r>
        <w:rPr>
          <w:rFonts w:ascii="Times New Roman;sans-serif" w:hAnsi="Times New Roman;sans-serif"/>
          <w:b w:val="false"/>
          <w:color w:val="000000"/>
          <w:sz w:val="22"/>
        </w:rPr>
        <w:t>segment consists of our (1) broadcast operations</w:t>
      </w:r>
      <w:r>
        <w:rPr>
          <w:color w:val="000000"/>
        </w:rPr>
        <w:t>—</w:t>
      </w:r>
      <w:r>
        <w:rPr>
          <w:rFonts w:ascii="Times New Roman;sans-serif" w:hAnsi="Times New Roman;sans-serif"/>
          <w:b w:val="false"/>
          <w:color w:val="000000"/>
          <w:sz w:val="22"/>
        </w:rPr>
        <w:t xml:space="preserve">the CBS Television Network, our domestic broadcast television network; CBS Stations, our owned television stations; and our international free-to-air networks, Network 10, Channel 5, Telefe, and Chilevisión; (2) domestic premium and basic cable networks, including Paramount+ with Showtime, MTV, Comedy Central, Paramount Network, The Smithsonian Channel, Nickelodeon, BET Media Group, CBS Sports Network, and international extensions of certain of these brands; and (3) domestic and international television studio operations, including CBS Studios, Paramount Television Studios and Showtime/MTV Entertainment Studios, as well as CBS Media Ventures, which produces and distributes first-run syndicated programming. </w:t>
      </w:r>
      <w:r>
        <w:rPr>
          <w:rFonts w:ascii="Times New Roman;sans-serif" w:hAnsi="Times New Roman;sans-serif"/>
          <w:b w:val="false"/>
          <w:i/>
          <w:color w:val="000000"/>
          <w:sz w:val="22"/>
        </w:rPr>
        <w:t xml:space="preserve">TV Media </w:t>
      </w:r>
      <w:r>
        <w:rPr>
          <w:rFonts w:ascii="Times New Roman;sans-serif" w:hAnsi="Times New Roman;sans-serif"/>
          <w:b w:val="false"/>
          <w:color w:val="000000"/>
          <w:sz w:val="22"/>
        </w:rPr>
        <w:t>also includes a number of digital properties such as CBS News Streaming and CBS Sports HQ</w:t>
      </w:r>
      <w:r>
        <w:rPr>
          <w:rFonts w:ascii="Times New Roman;sans-serif" w:hAnsi="Times New Roman;sans-serif"/>
          <w:b w:val="false"/>
          <w:color w:val="242424"/>
          <w:sz w:val="22"/>
        </w:rPr>
        <w: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rPr>
        <w:t>Direct-to-Consumer—</w:t>
      </w:r>
      <w:r>
        <w:rPr>
          <w:rFonts w:ascii="Times New Roman;sans-serif" w:hAnsi="Times New Roman;sans-serif"/>
          <w:b w:val="false"/>
          <w:color w:val="000000"/>
          <w:sz w:val="22"/>
        </w:rPr>
        <w:t xml:space="preserve">Our </w:t>
      </w:r>
      <w:r>
        <w:rPr>
          <w:rFonts w:ascii="Times New Roman;sans-serif" w:hAnsi="Times New Roman;sans-serif"/>
          <w:b w:val="false"/>
          <w:i/>
          <w:color w:val="000000"/>
          <w:sz w:val="22"/>
        </w:rPr>
        <w:t>Direct-to-Consumer</w:t>
      </w:r>
      <w:r>
        <w:rPr>
          <w:color w:val="000000"/>
        </w:rPr>
        <w:t xml:space="preserve"> </w:t>
      </w:r>
      <w:r>
        <w:rPr>
          <w:rFonts w:ascii="Times New Roman;sans-serif" w:hAnsi="Times New Roman;sans-serif"/>
          <w:b w:val="false"/>
          <w:color w:val="000000"/>
          <w:sz w:val="22"/>
        </w:rPr>
        <w:t>segment includes our portfolio of domestic and international pay and free streaming services, including Paramount+, Pluto TV, and BET+. Effective July 6, 2023, Showtime Networks’ domestic premium subscription streaming service was no longer offered as a standalone streaming service for new subscribers and effective April 30, 2024 will no longer be available.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2"/>
          <w:shd w:fill="FFFFFF" w:val="clear"/>
        </w:rPr>
        <w:t>Filmed Entertainment</w:t>
      </w:r>
      <w:r>
        <w:rPr>
          <w:color w:val="000000"/>
        </w:rPr>
        <w:t>—</w:t>
      </w:r>
      <w:r>
        <w:rPr>
          <w:rFonts w:ascii="Times New Roman;sans-serif" w:hAnsi="Times New Roman;sans-serif"/>
          <w:b w:val="false"/>
          <w:color w:val="000000"/>
          <w:sz w:val="22"/>
          <w:shd w:fill="FFFFFF" w:val="clear"/>
        </w:rPr>
        <w:t xml:space="preserve">Our </w:t>
      </w:r>
      <w:r>
        <w:rPr>
          <w:rFonts w:ascii="Times New Roman;sans-serif" w:hAnsi="Times New Roman;sans-serif"/>
          <w:b w:val="false"/>
          <w:i/>
          <w:color w:val="000000"/>
          <w:sz w:val="22"/>
        </w:rPr>
        <w:t>Filmed Entertainment</w:t>
      </w:r>
      <w:r>
        <w:rPr>
          <w:color w:val="000000"/>
          <w:shd w:fill="FFFFFF" w:val="clear"/>
        </w:rPr>
        <w:t xml:space="preserve"> </w:t>
      </w:r>
      <w:r>
        <w:rPr>
          <w:rFonts w:ascii="Times New Roman;sans-serif" w:hAnsi="Times New Roman;sans-serif"/>
          <w:b w:val="false"/>
          <w:color w:val="000000"/>
          <w:sz w:val="22"/>
          <w:shd w:fill="FFFFFF" w:val="clear"/>
        </w:rPr>
        <w:t>segment consists of Paramount Pictures, Paramount Players, Paramount Animation, Nickelodeon Studio, Awesomeness, and Miramax</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2"/>
        </w:rPr>
        <w:t xml:space="preserve">We present operating income excluding depreciation and amortization, stock-based compensation, restructuring charges, and programming charges, each where applicable (“Adjusted OIBDA”), as the measure of profit and loss for our operating segments in accordance with Financial Accounting Standards Board guidance for segment reporting since it is the measure used by our management. Stock-based compensation is excluded from our segment measure of profit and loss because it is set and approved by our Board of Directors in consultation with corporate executive management. Stock-based compensation is included as a component of our consolidated Adjusted OIBDA. See </w:t>
      </w:r>
      <w:r>
        <w:rPr>
          <w:rFonts w:ascii="Times New Roman;sans-serif" w:hAnsi="Times New Roman;sans-serif"/>
          <w:b w:val="false"/>
          <w:i/>
          <w:color w:val="000000"/>
          <w:sz w:val="22"/>
        </w:rPr>
        <w:t>Reconciliation of Non-GAAP Measures</w:t>
      </w:r>
      <w:r>
        <w:rPr>
          <w:color w:val="000000"/>
        </w:rPr>
        <w:t xml:space="preserve"> </w:t>
      </w:r>
      <w:r>
        <w:rPr>
          <w:rFonts w:ascii="Times New Roman;sans-serif" w:hAnsi="Times New Roman;sans-serif"/>
          <w:b w:val="false"/>
          <w:color w:val="000000"/>
          <w:sz w:val="22"/>
        </w:rPr>
        <w:t>for a reconciliation of total Adjusted OIBDA to operating income (loss), the most directly comparable financial measure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Three Months Ended March 31, 2024 and 2023 </w:t>
      </w:r>
    </w:p>
    <w:tbl>
      <w:tblPr>
        <w:tblW w:w="9204" w:type="dxa"/>
        <w:jc w:val="center"/>
        <w:tblInd w:w="0" w:type="dxa"/>
        <w:tblLayout w:type="fixed"/>
        <w:tblCellMar>
          <w:top w:w="28" w:type="dxa"/>
          <w:left w:w="28" w:type="dxa"/>
          <w:bottom w:w="28" w:type="dxa"/>
          <w:right w:w="28" w:type="dxa"/>
        </w:tblCellMar>
      </w:tblPr>
      <w:tblGrid>
        <w:gridCol w:w="684"/>
        <w:gridCol w:w="600"/>
        <w:gridCol w:w="605"/>
        <w:gridCol w:w="211"/>
        <w:gridCol w:w="616"/>
        <w:gridCol w:w="109"/>
        <w:gridCol w:w="109"/>
        <w:gridCol w:w="109"/>
        <w:gridCol w:w="109"/>
        <w:gridCol w:w="231"/>
        <w:gridCol w:w="235"/>
        <w:gridCol w:w="271"/>
        <w:gridCol w:w="109"/>
        <w:gridCol w:w="109"/>
        <w:gridCol w:w="109"/>
        <w:gridCol w:w="109"/>
        <w:gridCol w:w="109"/>
        <w:gridCol w:w="109"/>
        <w:gridCol w:w="211"/>
        <w:gridCol w:w="616"/>
        <w:gridCol w:w="109"/>
        <w:gridCol w:w="109"/>
        <w:gridCol w:w="109"/>
        <w:gridCol w:w="109"/>
        <w:gridCol w:w="231"/>
        <w:gridCol w:w="235"/>
        <w:gridCol w:w="271"/>
        <w:gridCol w:w="109"/>
        <w:gridCol w:w="109"/>
        <w:gridCol w:w="109"/>
        <w:gridCol w:w="233"/>
        <w:gridCol w:w="515"/>
        <w:gridCol w:w="120"/>
        <w:gridCol w:w="120"/>
        <w:gridCol w:w="120"/>
        <w:gridCol w:w="120"/>
        <w:gridCol w:w="216"/>
        <w:gridCol w:w="219"/>
        <w:gridCol w:w="299"/>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3" w:type="dxa"/>
            <w:gridSpan w:val="3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Revenues</w:t>
            </w:r>
          </w:p>
        </w:tc>
        <w:tc>
          <w:tcPr>
            <w:tcW w:w="1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391"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TV Media</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Filmed Entertainment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Revenues</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tbl>
      <w:tblPr>
        <w:tblW w:w="7664" w:type="dxa"/>
        <w:jc w:val="center"/>
        <w:tblInd w:w="0" w:type="dxa"/>
        <w:tblLayout w:type="fixed"/>
        <w:tblCellMar>
          <w:top w:w="28" w:type="dxa"/>
          <w:left w:w="28" w:type="dxa"/>
          <w:bottom w:w="28" w:type="dxa"/>
          <w:right w:w="28" w:type="dxa"/>
        </w:tblCellMar>
      </w:tblPr>
      <w:tblGrid>
        <w:gridCol w:w="988"/>
        <w:gridCol w:w="867"/>
        <w:gridCol w:w="874"/>
        <w:gridCol w:w="211"/>
        <w:gridCol w:w="616"/>
        <w:gridCol w:w="109"/>
        <w:gridCol w:w="109"/>
        <w:gridCol w:w="109"/>
        <w:gridCol w:w="109"/>
        <w:gridCol w:w="211"/>
        <w:gridCol w:w="691"/>
        <w:gridCol w:w="109"/>
        <w:gridCol w:w="109"/>
        <w:gridCol w:w="109"/>
        <w:gridCol w:w="109"/>
        <w:gridCol w:w="233"/>
        <w:gridCol w:w="515"/>
        <w:gridCol w:w="120"/>
        <w:gridCol w:w="120"/>
        <w:gridCol w:w="120"/>
        <w:gridCol w:w="120"/>
        <w:gridCol w:w="216"/>
        <w:gridCol w:w="219"/>
        <w:gridCol w:w="299"/>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Adjusted OIBDA:</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TV Media</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Direct-to-Consumer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Filmed Entertainment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Corporate/Eliminations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Stock-based compensation</w:t>
            </w:r>
            <w:r>
              <w:rPr>
                <w:color w:val="000000"/>
              </w:rPr>
              <w:t xml:space="preserve"> </w:t>
            </w:r>
            <w:r>
              <w:rPr>
                <w:rFonts w:ascii="Times New Roman;sans-serif" w:hAnsi="Times New Roman;sans-serif"/>
                <w:b w:val="false"/>
                <w:color w:val="000000"/>
                <w:sz w:val="13"/>
              </w:rPr>
              <w:t>(a)</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Adjusted OIBDA</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Programming charges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Income (Loss)</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2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9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bidi w:val="0"/>
        <w:spacing w:lineRule="auto" w:line="288" w:before="0" w:after="2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For the three months ended March 31, 2024, stock-based compensation expense of $2 million is included in “Restructuring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pPr>
      <w:r>
        <w:rPr>
          <w:rFonts w:ascii="Times New Roman;sans-serif" w:hAnsi="Times New Roman;sans-serif"/>
          <w:b/>
          <w:i/>
          <w:color w:val="000000"/>
          <w:sz w:val="22"/>
        </w:rPr>
        <w:t>TV Media</w:t>
      </w:r>
      <w:r>
        <w:rPr>
          <w:color w:val="000000"/>
        </w:rPr>
        <w:t xml:space="preserve"> </w:t>
      </w:r>
    </w:p>
    <w:p>
      <w:pPr>
        <w:pStyle w:val="TextBody"/>
        <w:bidi w:val="0"/>
        <w:spacing w:lineRule="auto" w:line="288" w:before="16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March 31, 2024 and 2023</w:t>
      </w:r>
    </w:p>
    <w:tbl>
      <w:tblPr>
        <w:tblW w:w="7049" w:type="dxa"/>
        <w:jc w:val="center"/>
        <w:tblInd w:w="0" w:type="dxa"/>
        <w:tblLayout w:type="fixed"/>
        <w:tblCellMar>
          <w:top w:w="28" w:type="dxa"/>
          <w:left w:w="28" w:type="dxa"/>
          <w:bottom w:w="28" w:type="dxa"/>
          <w:right w:w="28" w:type="dxa"/>
        </w:tblCellMar>
      </w:tblPr>
      <w:tblGrid>
        <w:gridCol w:w="789"/>
        <w:gridCol w:w="695"/>
        <w:gridCol w:w="705"/>
        <w:gridCol w:w="211"/>
        <w:gridCol w:w="616"/>
        <w:gridCol w:w="109"/>
        <w:gridCol w:w="109"/>
        <w:gridCol w:w="109"/>
        <w:gridCol w:w="109"/>
        <w:gridCol w:w="211"/>
        <w:gridCol w:w="616"/>
        <w:gridCol w:w="109"/>
        <w:gridCol w:w="109"/>
        <w:gridCol w:w="109"/>
        <w:gridCol w:w="109"/>
        <w:gridCol w:w="233"/>
        <w:gridCol w:w="515"/>
        <w:gridCol w:w="120"/>
        <w:gridCol w:w="120"/>
        <w:gridCol w:w="120"/>
        <w:gridCol w:w="120"/>
        <w:gridCol w:w="216"/>
        <w:gridCol w:w="219"/>
        <w:gridCol w:w="299"/>
        <w:gridCol w:w="109"/>
        <w:gridCol w:w="109"/>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TV Media</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Advertising</w:t>
            </w:r>
            <w:r>
              <w:rPr>
                <w:color w:val="000000"/>
              </w:rPr>
              <w:t xml:space="preserve">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subscription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OIBDA</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9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Revenues</w:t>
      </w:r>
    </w:p>
    <w:p>
      <w:pPr>
        <w:pStyle w:val="TextBody"/>
        <w:bidi w:val="0"/>
        <w:spacing w:lineRule="auto" w:line="288" w:before="0" w:after="0"/>
        <w:jc w:val="left"/>
        <w:rPr/>
      </w:pPr>
      <w:r>
        <w:rPr>
          <w:rFonts w:ascii="Times New Roman;sans-serif" w:hAnsi="Times New Roman;sans-serif"/>
          <w:b w:val="false"/>
          <w:color w:val="000000"/>
          <w:sz w:val="22"/>
        </w:rPr>
        <w:t xml:space="preserve">For the three months ended March 31, 2024, revenues increased 1% as higher advertising revenues, driven by CBS’ broadcast of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 xml:space="preserve">were largely offset by lower licensing and affiliate revenues.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Advertising</w:t>
      </w:r>
    </w:p>
    <w:p>
      <w:pPr>
        <w:pStyle w:val="TextBody"/>
        <w:bidi w:val="0"/>
        <w:spacing w:lineRule="auto" w:line="288" w:before="0" w:after="0"/>
        <w:jc w:val="left"/>
        <w:rPr/>
      </w:pPr>
      <w:r>
        <w:rPr>
          <w:rFonts w:ascii="Times New Roman;sans-serif" w:hAnsi="Times New Roman;sans-serif"/>
          <w:b w:val="false"/>
          <w:color w:val="000000"/>
          <w:sz w:val="22"/>
        </w:rPr>
        <w:t xml:space="preserve">The 14% increase in advertising revenues reflects a 23-percentage point benefit from CBS’ broadcast of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 xml:space="preserve">We have the rights to broadcast the Super Bowl on a rotational basis with other networks, and therefore did not have a comparable broadcast in 2023. The increase was partially offset by the impact from continued weakness in the global linear advertising market. Domestic advertising revenues increased 18% to $2.34 billion, driven by the benefit of </w:t>
      </w:r>
      <w:r>
        <w:rPr>
          <w:rFonts w:ascii="Times New Roman;sans-serif" w:hAnsi="Times New Roman;sans-serif"/>
          <w:b w:val="false"/>
          <w:i/>
          <w:color w:val="000000"/>
          <w:sz w:val="22"/>
        </w:rPr>
        <w:t>Super Bowl LVIII</w:t>
      </w:r>
      <w:r>
        <w:rPr>
          <w:rFonts w:ascii="Times New Roman;sans-serif" w:hAnsi="Times New Roman;sans-serif"/>
          <w:b w:val="false"/>
          <w:color w:val="000000"/>
          <w:sz w:val="22"/>
        </w:rPr>
        <w:t xml:space="preserve">, and international advertising revenues decreased 10% to $242 million.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Affiliate and Subscription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Affiliate and subscription revenues decreased 3% for the three months ended March 31, 2024. Domestic affiliate and subscription revenues decreased 3% to $1.90 billion, reflecting linear subscriber declines, which were partially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offset by contractual pricing increases. International affiliate and subscription revenues decreased 6% to $101 million.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Licensing and Other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Licensing and other revenues decreased 25%, principally reflecting a lower volume of licensing in the secondary market. Content available for licensing was impacted by temporary production shutdowns due to labor strikes in 2023.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 xml:space="preserve">Adjusted OIBDA </w:t>
      </w:r>
    </w:p>
    <w:p>
      <w:pPr>
        <w:pStyle w:val="TextBody"/>
        <w:bidi w:val="0"/>
        <w:spacing w:lineRule="auto" w:line="288" w:before="0" w:after="240"/>
        <w:jc w:val="left"/>
        <w:rPr/>
      </w:pPr>
      <w:r>
        <w:rPr>
          <w:rFonts w:ascii="Times New Roman;sans-serif" w:hAnsi="Times New Roman;sans-serif"/>
          <w:b w:val="false"/>
          <w:color w:val="000000"/>
          <w:sz w:val="22"/>
        </w:rPr>
        <w:t>Adjusted OIBDA increased</w:t>
      </w:r>
      <w:r>
        <w:rPr>
          <w:color w:val="000000"/>
        </w:rPr>
        <w:t xml:space="preserve"> </w:t>
      </w:r>
      <w:r>
        <w:rPr>
          <w:rFonts w:ascii="Times New Roman;sans-serif" w:hAnsi="Times New Roman;sans-serif"/>
          <w:b w:val="false"/>
          <w:color w:val="000000"/>
          <w:sz w:val="22"/>
        </w:rPr>
        <w:t xml:space="preserve">11%, primarily reflecting the benefit from the broadcast of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 xml:space="preserve">and lower costs for other content exhibited on our networks, partially offset by the impact from weakness in the linear advertising market and lower affiliate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i/>
          <w:color w:val="000000"/>
          <w:sz w:val="22"/>
        </w:rPr>
      </w:pPr>
      <w:r>
        <w:rPr>
          <w:rFonts w:ascii="Times New Roman;sans-serif" w:hAnsi="Times New Roman;sans-serif"/>
          <w:b/>
          <w:i/>
          <w:color w:val="000000"/>
          <w:sz w:val="22"/>
        </w:rPr>
        <w:t>Direct-to-Consumer</w:t>
      </w:r>
    </w:p>
    <w:p>
      <w:pPr>
        <w:pStyle w:val="TextBody"/>
        <w:bidi w:val="0"/>
        <w:spacing w:lineRule="auto" w:line="288" w:before="160" w:after="160"/>
        <w:jc w:val="left"/>
        <w:rPr/>
      </w:pPr>
      <w:r>
        <w:rPr>
          <w:rFonts w:ascii="Times New Roman;sans-serif" w:hAnsi="Times New Roman;sans-serif"/>
          <w:b w:val="false"/>
          <w:i/>
          <w:color w:val="000000"/>
          <w:sz w:val="22"/>
        </w:rPr>
        <w:t>Three Months Ended March 31, 2024 and 2023</w:t>
      </w:r>
      <w:r>
        <w:rPr>
          <w:color w:val="000000"/>
        </w:rPr>
        <w:t xml:space="preserve"> </w:t>
      </w:r>
    </w:p>
    <w:tbl>
      <w:tblPr>
        <w:tblW w:w="6721" w:type="dxa"/>
        <w:jc w:val="center"/>
        <w:tblInd w:w="0" w:type="dxa"/>
        <w:tblLayout w:type="fixed"/>
        <w:tblCellMar>
          <w:top w:w="28" w:type="dxa"/>
          <w:left w:w="28" w:type="dxa"/>
          <w:bottom w:w="28" w:type="dxa"/>
          <w:right w:w="28" w:type="dxa"/>
        </w:tblCellMar>
      </w:tblPr>
      <w:tblGrid>
        <w:gridCol w:w="700"/>
        <w:gridCol w:w="617"/>
        <w:gridCol w:w="618"/>
        <w:gridCol w:w="211"/>
        <w:gridCol w:w="616"/>
        <w:gridCol w:w="109"/>
        <w:gridCol w:w="109"/>
        <w:gridCol w:w="109"/>
        <w:gridCol w:w="109"/>
        <w:gridCol w:w="211"/>
        <w:gridCol w:w="616"/>
        <w:gridCol w:w="109"/>
        <w:gridCol w:w="109"/>
        <w:gridCol w:w="109"/>
        <w:gridCol w:w="109"/>
        <w:gridCol w:w="233"/>
        <w:gridCol w:w="515"/>
        <w:gridCol w:w="120"/>
        <w:gridCol w:w="120"/>
        <w:gridCol w:w="120"/>
        <w:gridCol w:w="120"/>
        <w:gridCol w:w="180"/>
        <w:gridCol w:w="181"/>
        <w:gridCol w:w="299"/>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Direct-to-Consumer</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OIBDA</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850" w:type="dxa"/>
            <w:gridSpan w:val="21"/>
            <w:tcBorders/>
          </w:tcPr>
          <w:p>
            <w:pPr>
              <w:pStyle w:val="TableContents"/>
              <w:bidi w:val="0"/>
              <w:spacing w:before="0" w:after="283"/>
              <w:jc w:val="left"/>
              <w:rPr>
                <w:sz w:val="4"/>
                <w:szCs w:val="4"/>
              </w:rPr>
            </w:pPr>
            <w:r>
              <w:rPr>
                <w:sz w:val="4"/>
                <w:szCs w:val="4"/>
              </w:rPr>
            </w:r>
          </w:p>
        </w:tc>
      </w:tr>
      <w:tr>
        <w:trPr/>
        <w:tc>
          <w:tcPr>
            <w:tcW w:w="1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Paramount+ (Global)</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Subscribers</w:t>
            </w:r>
            <w:r>
              <w:rPr>
                <w:color w:val="000000"/>
              </w:rPr>
              <w:t xml:space="preserve"> </w:t>
            </w:r>
            <w:r>
              <w:rPr>
                <w:rFonts w:ascii="Times New Roman;sans-serif" w:hAnsi="Times New Roman;sans-serif"/>
                <w:b w:val="false"/>
                <w:color w:val="000000"/>
                <w:sz w:val="13"/>
              </w:rPr>
              <w:t>(a)</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20"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9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(a) Subscribers include customers who are registered for Paramount+, either directly through our owned and operated apps and websites, or through third-party distributors. Subscribers also include customers who are provided with access through a subscription bundle with a domestic linear video streaming service (vMVPD) or an international third-party distributor. Our subscribers include paid subscriptions and those customers registered in a free trial. For the periods above, subscriber counts reflect the number of subscribers as of the applicable period-end date.</w:t>
      </w:r>
    </w:p>
    <w:p>
      <w:pPr>
        <w:pStyle w:val="TextBody"/>
        <w:bidi w:val="0"/>
        <w:spacing w:lineRule="auto" w:line="288" w:before="60" w:after="200"/>
        <w:jc w:val="left"/>
        <w:rPr>
          <w:rFonts w:ascii="Times New Roman;sans-serif" w:hAnsi="Times New Roman;sans-serif"/>
          <w:b/>
          <w:i/>
          <w:color w:val="000000"/>
          <w:sz w:val="22"/>
        </w:rPr>
      </w:pPr>
      <w:r>
        <w:rPr>
          <w:rFonts w:ascii="Times New Roman;sans-serif" w:hAnsi="Times New Roman;sans-serif"/>
          <w:b/>
          <w:i/>
          <w:color w:val="000000"/>
          <w:sz w:val="22"/>
        </w:rPr>
        <w:t>Revenues</w:t>
      </w:r>
    </w:p>
    <w:p>
      <w:pPr>
        <w:pStyle w:val="TextBody"/>
        <w:bidi w:val="0"/>
        <w:spacing w:lineRule="auto" w:line="288" w:before="1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2024, the 24% increase in revenues was primarily driven by growth from Paramount+.</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Advertising</w:t>
      </w:r>
    </w:p>
    <w:p>
      <w:pPr>
        <w:pStyle w:val="TextBody"/>
        <w:bidi w:val="0"/>
        <w:spacing w:lineRule="auto" w:line="288" w:before="0" w:after="0"/>
        <w:jc w:val="left"/>
        <w:rPr/>
      </w:pPr>
      <w:r>
        <w:rPr>
          <w:rFonts w:ascii="Times New Roman;sans-serif" w:hAnsi="Times New Roman;sans-serif"/>
          <w:b w:val="false"/>
          <w:color w:val="000000"/>
          <w:sz w:val="22"/>
        </w:rPr>
        <w:t xml:space="preserve">The 31% increase in advertising revenues was driven by growth from Pluto TV and Paramount+. The increase for Paramount+ reflects the benefit of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and an increase in subscribers to the advertising-supported subscription plan.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Subscription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22% increase in subscription revenues was driven by growth in Paramount+ subscribers and pricing increases for each of our domestic Paramount+ subscription plans, which took effect in June 2023 when we launched the Paramount+ with Showtime subscription plan. Growth in Paramount+ subscribers includes the migration of certain subscribers from Showtime’s premium subscription streaming service, which was no longer offered as a standalone service to new subscribers effective July 6, 2023 and will no longer be available effective April 30, 2024. Paramount+ subscribers grew 11.2 million, or 19%, compared with March 31, 2023.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 xml:space="preserve">During the quarter, global Paramount+ subscribers increased 3.7 million, or 5%, to 71.2 million, compared with 67.5 million at December 31, 2023. The growth was driven by the NFL playoffs and </w:t>
      </w:r>
      <w:r>
        <w:rPr>
          <w:rFonts w:ascii="Times New Roman;sans-serif" w:hAnsi="Times New Roman;sans-serif"/>
          <w:b w:val="false"/>
          <w:i/>
          <w:color w:val="000000"/>
          <w:sz w:val="22"/>
        </w:rPr>
        <w:t>Super Bowl LVIII</w:t>
      </w:r>
      <w:r>
        <w:rPr>
          <w:rFonts w:ascii="Times New Roman;sans-serif" w:hAnsi="Times New Roman;sans-serif"/>
          <w:b w:val="false"/>
          <w:color w:val="000000"/>
          <w:sz w:val="22"/>
        </w:rPr>
        <w:t xml:space="preserve">, the premiere of season two of </w:t>
      </w:r>
      <w:r>
        <w:rPr>
          <w:rFonts w:ascii="Times New Roman;sans-serif" w:hAnsi="Times New Roman;sans-serif"/>
          <w:b w:val="false"/>
          <w:i/>
          <w:color w:val="000000"/>
          <w:sz w:val="22"/>
        </w:rPr>
        <w:t xml:space="preserve">Halo </w:t>
      </w:r>
      <w:r>
        <w:rPr>
          <w:rFonts w:ascii="Times New Roman;sans-serif" w:hAnsi="Times New Roman;sans-serif"/>
          <w:b w:val="false"/>
          <w:color w:val="000000"/>
          <w:sz w:val="22"/>
        </w:rPr>
        <w:t xml:space="preserve">and the migration of certain subscribers from Showtime’s premium subscription streaming service to the Paramount+ with Showtime plan.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Adjusted OIBDA</w:t>
      </w:r>
    </w:p>
    <w:p>
      <w:pPr>
        <w:pStyle w:val="TextBody"/>
        <w:bidi w:val="0"/>
        <w:spacing w:lineRule="auto" w:line="288" w:before="160" w:after="240"/>
        <w:jc w:val="left"/>
        <w:rPr/>
      </w:pPr>
      <w:r>
        <w:rPr>
          <w:rFonts w:ascii="Times New Roman;sans-serif" w:hAnsi="Times New Roman;sans-serif"/>
          <w:b w:val="false"/>
          <w:color w:val="000000"/>
          <w:sz w:val="22"/>
        </w:rPr>
        <w:t xml:space="preserve">Adjusted OIBDA improved by $225 million, reflecting revenue growth and lower marketing costs, partially offset by content costs associated with </w:t>
      </w:r>
      <w:r>
        <w:rPr>
          <w:rFonts w:ascii="Times New Roman;sans-serif" w:hAnsi="Times New Roman;sans-serif"/>
          <w:b w:val="false"/>
          <w:i/>
          <w:color w:val="000000"/>
          <w:sz w:val="22"/>
        </w:rPr>
        <w:t xml:space="preserve">Super Bowl LVIII </w:t>
      </w:r>
      <w:r>
        <w:rPr>
          <w:rFonts w:ascii="Times New Roman;sans-serif" w:hAnsi="Times New Roman;sans-serif"/>
          <w:b w:val="false"/>
          <w:color w:val="000000"/>
          <w:sz w:val="22"/>
        </w:rPr>
        <w:t>and higher revenue sharing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i/>
          <w:color w:val="000000"/>
          <w:sz w:val="22"/>
        </w:rPr>
      </w:pPr>
      <w:r>
        <w:rPr>
          <w:rFonts w:ascii="Times New Roman;sans-serif" w:hAnsi="Times New Roman;sans-serif"/>
          <w:b/>
          <w:i/>
          <w:color w:val="000000"/>
          <w:sz w:val="22"/>
        </w:rPr>
        <w:t>Filmed Entertainment</w:t>
      </w:r>
    </w:p>
    <w:p>
      <w:pPr>
        <w:pStyle w:val="TextBody"/>
        <w:bidi w:val="0"/>
        <w:spacing w:lineRule="auto" w:line="288" w:before="16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Three Months Ended March 31, 2024 and 2023</w:t>
      </w:r>
    </w:p>
    <w:tbl>
      <w:tblPr>
        <w:tblW w:w="6537" w:type="dxa"/>
        <w:jc w:val="center"/>
        <w:tblInd w:w="0" w:type="dxa"/>
        <w:tblLayout w:type="fixed"/>
        <w:tblCellMar>
          <w:top w:w="28" w:type="dxa"/>
          <w:left w:w="28" w:type="dxa"/>
          <w:bottom w:w="28" w:type="dxa"/>
          <w:right w:w="28" w:type="dxa"/>
        </w:tblCellMar>
      </w:tblPr>
      <w:tblGrid>
        <w:gridCol w:w="722"/>
        <w:gridCol w:w="635"/>
        <w:gridCol w:w="638"/>
        <w:gridCol w:w="211"/>
        <w:gridCol w:w="466"/>
        <w:gridCol w:w="109"/>
        <w:gridCol w:w="109"/>
        <w:gridCol w:w="109"/>
        <w:gridCol w:w="109"/>
        <w:gridCol w:w="211"/>
        <w:gridCol w:w="466"/>
        <w:gridCol w:w="109"/>
        <w:gridCol w:w="109"/>
        <w:gridCol w:w="109"/>
        <w:gridCol w:w="109"/>
        <w:gridCol w:w="249"/>
        <w:gridCol w:w="427"/>
        <w:gridCol w:w="128"/>
        <w:gridCol w:w="128"/>
        <w:gridCol w:w="128"/>
        <w:gridCol w:w="128"/>
        <w:gridCol w:w="218"/>
        <w:gridCol w:w="218"/>
        <w:gridCol w:w="320"/>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24"/>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Filmed Entertainment</w:t>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Advertising</w:t>
            </w:r>
            <w:r>
              <w:rPr>
                <w:color w:val="000000"/>
              </w:rPr>
              <w:t xml:space="preserve"> </w:t>
            </w:r>
            <w:r>
              <w:rPr>
                <w:rFonts w:ascii="Times New Roman;sans-serif" w:hAnsi="Times New Roman;sans-serif"/>
                <w:b w:val="false"/>
                <w:color w:val="000000"/>
                <w:sz w:val="13"/>
              </w:rPr>
              <w:t>(a)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Theatrical</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and other</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OIBDA</w:t>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8"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20"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left"/>
        <w:rPr/>
      </w:pPr>
      <w:r>
        <w:rPr>
          <w:rFonts w:ascii="Times New Roman;sans-serif" w:hAnsi="Times New Roman;sans-serif"/>
          <w:b w:val="false"/>
          <w:color w:val="000000"/>
          <w:sz w:val="18"/>
        </w:rPr>
        <w:t xml:space="preserve">(a) Primarily reflects advertising revenues earned from the use of </w:t>
      </w:r>
      <w:r>
        <w:rPr>
          <w:rFonts w:ascii="Times New Roman;sans-serif" w:hAnsi="Times New Roman;sans-serif"/>
          <w:b w:val="false"/>
          <w:i/>
          <w:color w:val="000000"/>
          <w:sz w:val="18"/>
        </w:rPr>
        <w:t xml:space="preserve">Filmed Entertainment </w:t>
      </w:r>
      <w:r>
        <w:rPr>
          <w:rFonts w:ascii="Times New Roman;sans-serif" w:hAnsi="Times New Roman;sans-serif"/>
          <w:b w:val="false"/>
          <w:color w:val="000000"/>
          <w:sz w:val="18"/>
        </w:rPr>
        <w:t>content on third party digital platforms.</w:t>
      </w:r>
    </w:p>
    <w:p>
      <w:pPr>
        <w:pStyle w:val="TextBody"/>
        <w:bidi w:val="0"/>
        <w:spacing w:lineRule="auto" w:line="288" w:before="60" w:after="160"/>
        <w:jc w:val="both"/>
        <w:rPr>
          <w:rFonts w:ascii="Times New Roman;sans-serif" w:hAnsi="Times New Roman;sans-serif"/>
          <w:b/>
          <w:i/>
          <w:color w:val="000000"/>
          <w:sz w:val="22"/>
        </w:rPr>
      </w:pPr>
      <w:r>
        <w:rPr>
          <w:rFonts w:ascii="Times New Roman;sans-serif" w:hAnsi="Times New Roman;sans-serif"/>
          <w:b/>
          <w:i/>
          <w:color w:val="000000"/>
          <w:sz w:val="22"/>
        </w:rPr>
        <w:t>Revenues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three months ended March 31, 2024, revenues increased 3%, driven by higher theatrical revenues.</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Theatrical</w:t>
      </w:r>
    </w:p>
    <w:p>
      <w:pPr>
        <w:pStyle w:val="TextBody"/>
        <w:bidi w:val="0"/>
        <w:spacing w:lineRule="auto" w:line="288" w:before="160" w:after="283"/>
        <w:jc w:val="left"/>
        <w:rPr/>
      </w:pPr>
      <w:r>
        <w:rPr>
          <w:rFonts w:ascii="Times New Roman;sans-serif" w:hAnsi="Times New Roman;sans-serif"/>
          <w:b w:val="false"/>
          <w:color w:val="000000"/>
          <w:sz w:val="22"/>
        </w:rPr>
        <w:t xml:space="preserve">For the three months ended March 31, 2024, theatrical revenues increased $26 million, reflecting the timing and mix of releases in each year. Releases in the first quarter of 2024 included </w:t>
      </w:r>
      <w:r>
        <w:rPr>
          <w:rFonts w:ascii="Times New Roman;sans-serif" w:hAnsi="Times New Roman;sans-serif"/>
          <w:b w:val="false"/>
          <w:i/>
          <w:color w:val="000000"/>
          <w:sz w:val="22"/>
        </w:rPr>
        <w:t>Bob Marley: One Love, Mean Girls</w:t>
      </w:r>
      <w:r>
        <w:rPr>
          <w:color w:val="000000"/>
        </w:rPr>
        <w:t xml:space="preserve"> </w:t>
      </w:r>
      <w:r>
        <w:rPr>
          <w:rFonts w:ascii="Times New Roman;sans-serif" w:hAnsi="Times New Roman;sans-serif"/>
          <w:b w:val="false"/>
          <w:color w:val="000000"/>
          <w:sz w:val="22"/>
        </w:rPr>
        <w:t xml:space="preserve">and Miramax’s release of </w:t>
      </w:r>
      <w:r>
        <w:rPr>
          <w:rFonts w:ascii="Times New Roman;sans-serif" w:hAnsi="Times New Roman;sans-serif"/>
          <w:b w:val="false"/>
          <w:i/>
          <w:color w:val="000000"/>
          <w:sz w:val="22"/>
        </w:rPr>
        <w:t>The Beekeeper</w:t>
      </w:r>
      <w:r>
        <w:rPr>
          <w:rFonts w:ascii="Times New Roman;sans-serif" w:hAnsi="Times New Roman;sans-serif"/>
          <w:b w:val="false"/>
          <w:color w:val="000000"/>
          <w:sz w:val="22"/>
        </w:rPr>
        <w:t xml:space="preserve">, while the first quarter of 2023 included </w:t>
      </w:r>
      <w:r>
        <w:rPr>
          <w:rFonts w:ascii="Times New Roman;sans-serif" w:hAnsi="Times New Roman;sans-serif"/>
          <w:b w:val="false"/>
          <w:i/>
          <w:color w:val="000000"/>
          <w:sz w:val="22"/>
        </w:rPr>
        <w:t>Scream VI</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i/>
          <w:color w:val="000000"/>
          <w:sz w:val="22"/>
        </w:rPr>
        <w:t>80 for Brady</w:t>
      </w:r>
      <w:r>
        <w:rPr>
          <w:rFonts w:ascii="Times New Roman;sans-serif" w:hAnsi="Times New Roman;sans-serif"/>
          <w:b w:val="false"/>
          <w:color w:val="000000"/>
          <w:sz w:val="22"/>
        </w:rPr>
        <w:t>, and</w:t>
      </w:r>
      <w:r>
        <w:rPr>
          <w:color w:val="000000"/>
        </w:rPr>
        <w:t xml:space="preserve"> </w:t>
      </w:r>
      <w:r>
        <w:rPr>
          <w:rFonts w:ascii="Times New Roman;sans-serif" w:hAnsi="Times New Roman;sans-serif"/>
          <w:b w:val="false"/>
          <w:i/>
          <w:color w:val="000000"/>
          <w:sz w:val="22"/>
        </w:rPr>
        <w:t>Dungeons &amp; Dragons: Honor Among Thieves</w:t>
      </w:r>
      <w:r>
        <w:rPr>
          <w:rFonts w:ascii="Times New Roman;sans-serif" w:hAnsi="Times New Roman;sans-serif"/>
          <w:b w:val="false"/>
          <w:color w:val="000000"/>
          <w:sz w:val="22"/>
        </w:rPr>
        <w:t xml:space="preserve">, which was released on the last day of the quarter. </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Licensing and Other</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Licensing and other revenues decreased 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both"/>
        <w:rPr>
          <w:rFonts w:ascii="Times New Roman;sans-serif" w:hAnsi="Times New Roman;sans-serif"/>
          <w:b/>
          <w:i/>
          <w:color w:val="000000"/>
          <w:sz w:val="22"/>
        </w:rPr>
      </w:pPr>
      <w:r>
        <w:rPr>
          <w:rFonts w:ascii="Times New Roman;sans-serif" w:hAnsi="Times New Roman;sans-serif"/>
          <w:b/>
          <w:i/>
          <w:color w:val="000000"/>
          <w:sz w:val="22"/>
        </w:rPr>
        <w:t>Adjusted OIBDA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OIBDA improved by $96 million, principally driven by lower marketing costs for theatrical releases in the first quarter of 2024, reflecting the timing and mix of releases in each year. </w: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2"/>
        </w:rPr>
        <w:t xml:space="preserve">Fluctuations in results for the </w:t>
      </w:r>
      <w:r>
        <w:rPr>
          <w:rFonts w:ascii="Times New Roman;sans-serif" w:hAnsi="Times New Roman;sans-serif"/>
          <w:b w:val="false"/>
          <w:i/>
          <w:color w:val="000000"/>
          <w:sz w:val="22"/>
        </w:rPr>
        <w:t xml:space="preserve">Filmed Entertainment </w:t>
      </w:r>
      <w:r>
        <w:rPr>
          <w:rFonts w:ascii="Times New Roman;sans-serif" w:hAnsi="Times New Roman;sans-serif"/>
          <w:b w:val="false"/>
          <w:color w:val="000000"/>
          <w:sz w:val="22"/>
        </w:rPr>
        <w:t>segment may occur as a result of the timing of the recognition of distribution costs, including marketing costs, which are generally incurred before and throughout the theatrical release of a film, while the revenues for the respective film are recognized as earned through the film’s theatrical exhibition and distribution to other platforms.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60"/>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Sources and Uses of Cash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Our investing and financing spending includes capital expenditures; acquisitions; funding relating to new and existing investments, including SkyShowtime, our streaming joint venture with Comcast Corporation, under which both parent companies have committed to support initial operations over a multiyear period; discretionary share repurchases; dividends; and principal payments on our outstanding indebtedness. Our long-term debt obligations due over the next five years were $2.14 billion as of March 31, 2024. We routinely assess our capital structure and opportunistically enter into transactions to manage our outstanding debt maturities, which could result in a charge from the early extinguishment of debt.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Funding for both our short-term and long-term operating, investing and financing needs will come primarily from cash flows from operating activities, cash and cash equivalents, which were $2.38 billion as of March 31, 2024, and our ability to refinance our debt. Any additional cash funding requirements are financed with short-term borrowings, including commercial paper, and long-term debt. To the extent that commercial paper is not available to us, the borrowing capacity under our $3.50 billion Credit Facility described below is sufficient to satisfy short-term borrowing needs. In addition, if necessary, we can increase our liquidity position by reducing non-committed spending.</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Our access to capital markets and the cost of any new borrowings are impacted by factors outside our control, including economic and market conditions, as well as by ratings assigned by independent rating agencies. As a result, there can be no assurance that we will be able to access capital markets on terms and conditions that will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Cash Flows</w:t>
      </w:r>
    </w:p>
    <w:p>
      <w:pPr>
        <w:pStyle w:val="TextBody"/>
        <w:bidi w:val="0"/>
        <w:spacing w:lineRule="auto" w:line="288" w:before="0" w:after="60"/>
        <w:jc w:val="left"/>
        <w:rPr>
          <w:rFonts w:ascii="Times New Roman;sans-serif" w:hAnsi="Times New Roman;sans-serif"/>
          <w:b w:val="false"/>
          <w:color w:val="000000"/>
          <w:sz w:val="22"/>
        </w:rPr>
      </w:pPr>
      <w:r>
        <w:rPr>
          <w:rFonts w:ascii="Times New Roman;sans-serif" w:hAnsi="Times New Roman;sans-serif"/>
          <w:b w:val="false"/>
          <w:color w:val="000000"/>
          <w:sz w:val="22"/>
        </w:rPr>
        <w:t>The changes in cash and cash equivalents were as follows:</w:t>
      </w:r>
    </w:p>
    <w:tbl>
      <w:tblPr>
        <w:tblW w:w="9453" w:type="dxa"/>
        <w:jc w:val="center"/>
        <w:tblInd w:w="0" w:type="dxa"/>
        <w:tblLayout w:type="fixed"/>
        <w:tblCellMar>
          <w:top w:w="28" w:type="dxa"/>
          <w:left w:w="28" w:type="dxa"/>
          <w:bottom w:w="28" w:type="dxa"/>
          <w:right w:w="28" w:type="dxa"/>
        </w:tblCellMar>
      </w:tblPr>
      <w:tblGrid>
        <w:gridCol w:w="1935"/>
        <w:gridCol w:w="1699"/>
        <w:gridCol w:w="1705"/>
        <w:gridCol w:w="211"/>
        <w:gridCol w:w="466"/>
        <w:gridCol w:w="109"/>
        <w:gridCol w:w="109"/>
        <w:gridCol w:w="109"/>
        <w:gridCol w:w="109"/>
        <w:gridCol w:w="211"/>
        <w:gridCol w:w="541"/>
        <w:gridCol w:w="109"/>
        <w:gridCol w:w="109"/>
        <w:gridCol w:w="109"/>
        <w:gridCol w:w="109"/>
        <w:gridCol w:w="133"/>
        <w:gridCol w:w="133"/>
        <w:gridCol w:w="133"/>
        <w:gridCol w:w="258"/>
        <w:gridCol w:w="569"/>
        <w:gridCol w:w="133"/>
        <w:gridCol w:w="133"/>
        <w:gridCol w:w="133"/>
        <w:gridCol w:w="188"/>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Increase/(Decrease)</w:t>
            </w:r>
          </w:p>
        </w:tc>
      </w:tr>
      <w:tr>
        <w:trPr/>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cash flow provided by (used for) operating activities from:</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provided by (used for) operating activities</w:t>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used for investing activities</w:t>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used for financing activities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and cash equivalents </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4"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Operating cash flow from continuing operations for the three months ended March 31, 2024 was a net source of cash of $260 million compared to a net use of cash of $483 million for the three months ended March 31, 2023. The increase in operating cash flow from continuing operations reflects higher collections and lower spending for content.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Net cash flow provided by operating activities includes payments of $46 million and $65 million for the three months ended March 31, 2024 and 2023, respectively, associated with restructuring, merger-related costs and transformation initiatives, net of insurance recoveries received related to merger-related litigation matters. Our transformation initiatives are related to future-state technology, including the unification and evolution of systems and platforms, and migration to the cloud. In addition, we have been investing in future-state workspaces, including adapting our facilities to accommodate our hybrid and agile work model. </w:t>
      </w:r>
    </w:p>
    <w:p>
      <w:pPr>
        <w:pStyle w:val="TextBody"/>
        <w:bidi w:val="0"/>
        <w:spacing w:lineRule="auto" w:line="288" w:before="240" w:after="60"/>
        <w:jc w:val="left"/>
        <w:rPr/>
      </w:pPr>
      <w:r>
        <w:rPr>
          <w:rFonts w:ascii="Times New Roman;sans-serif" w:hAnsi="Times New Roman;sans-serif"/>
          <w:b w:val="false"/>
          <w:color w:val="000000"/>
          <w:sz w:val="22"/>
        </w:rPr>
        <w:t xml:space="preserve">Cash flow provided by operating activities from discontinued operations for the three months ended March 31, 2023 reflected the operating activities of Simon &amp; Schuster, which was sold in October 2023 (see </w:t>
      </w:r>
      <w:r>
        <w:rPr>
          <w:rFonts w:ascii="Times New Roman;sans-serif" w:hAnsi="Times New Roman;sans-serif"/>
          <w:b w:val="false"/>
          <w:i/>
          <w:color w:val="000000"/>
          <w:sz w:val="22"/>
        </w:rPr>
        <w:t>Net Earnings from Discontinued Operations</w:t>
      </w:r>
      <w:r>
        <w:rPr>
          <w:rFonts w:ascii="Times New Roman;sans-serif" w:hAnsi="Times New Roman;sans-serif"/>
          <w:b w:val="false"/>
          <w:color w:val="000000"/>
          <w:sz w:val="22"/>
        </w:rPr>
        <w:t xml:space="preserve">). </w:t>
      </w:r>
    </w:p>
    <w:p>
      <w:pPr>
        <w:pStyle w:val="TextBody"/>
        <w:bidi w:val="0"/>
        <w:spacing w:lineRule="auto" w:line="288" w:before="240" w:after="160"/>
        <w:jc w:val="left"/>
        <w:rPr/>
      </w:pPr>
      <w:r>
        <w:rPr>
          <w:rFonts w:ascii="Times New Roman;sans-serif" w:hAnsi="Times New Roman;sans-serif"/>
          <w:b w:val="false"/>
          <w:i/>
          <w:color w:val="000000"/>
          <w:sz w:val="22"/>
        </w:rPr>
        <w:t>Investing Activities</w:t>
      </w:r>
      <w:r>
        <w:rPr>
          <w:color w:val="000000"/>
        </w:rPr>
        <w:t xml:space="preserve"> </w:t>
      </w:r>
    </w:p>
    <w:tbl>
      <w:tblPr>
        <w:tblW w:w="6806" w:type="dxa"/>
        <w:jc w:val="center"/>
        <w:tblInd w:w="0" w:type="dxa"/>
        <w:tblLayout w:type="fixed"/>
        <w:tblCellMar>
          <w:top w:w="28" w:type="dxa"/>
          <w:left w:w="28" w:type="dxa"/>
          <w:bottom w:w="28" w:type="dxa"/>
          <w:right w:w="28" w:type="dxa"/>
        </w:tblCellMar>
      </w:tblPr>
      <w:tblGrid>
        <w:gridCol w:w="1271"/>
        <w:gridCol w:w="1114"/>
        <w:gridCol w:w="1124"/>
        <w:gridCol w:w="109"/>
        <w:gridCol w:w="109"/>
        <w:gridCol w:w="109"/>
        <w:gridCol w:w="211"/>
        <w:gridCol w:w="541"/>
        <w:gridCol w:w="109"/>
        <w:gridCol w:w="109"/>
        <w:gridCol w:w="109"/>
        <w:gridCol w:w="109"/>
        <w:gridCol w:w="109"/>
        <w:gridCol w:w="109"/>
        <w:gridCol w:w="109"/>
        <w:gridCol w:w="109"/>
        <w:gridCol w:w="109"/>
        <w:gridCol w:w="109"/>
        <w:gridCol w:w="211"/>
        <w:gridCol w:w="436"/>
        <w:gridCol w:w="109"/>
        <w:gridCol w:w="109"/>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investing activities </w:t>
            </w:r>
            <w:r>
              <w:rPr>
                <w:rFonts w:ascii="Times New Roman;sans-serif" w:hAnsi="Times New Roman;sans-serif"/>
                <w:b w:val="false"/>
                <w:color w:val="000000"/>
                <w:sz w:val="13"/>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used for investing activities</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 Includes payments associated with the implementation of our transformation initiatives of $3 million and $4 million in 2024 and 2023, respectively. </w:t>
      </w:r>
    </w:p>
    <w:p>
      <w:pPr>
        <w:pStyle w:val="TextBody"/>
        <w:bidi w:val="0"/>
        <w:spacing w:lineRule="auto" w:line="288" w:before="0" w:after="16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 Both periods primarily reflect the collection of receivables associated with the sale of a 37.5% interest in The CW in 2022. 2023 also includes proceeds received from the disposition of certain channels in Latin America.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Financing Activities </w:t>
      </w:r>
    </w:p>
    <w:tbl>
      <w:tblPr>
        <w:tblW w:w="9942" w:type="dxa"/>
        <w:jc w:val="center"/>
        <w:tblInd w:w="0" w:type="dxa"/>
        <w:tblLayout w:type="fixed"/>
        <w:tblCellMar>
          <w:top w:w="28" w:type="dxa"/>
          <w:left w:w="28" w:type="dxa"/>
          <w:bottom w:w="28" w:type="dxa"/>
          <w:right w:w="28" w:type="dxa"/>
        </w:tblCellMar>
      </w:tblPr>
      <w:tblGrid>
        <w:gridCol w:w="2363"/>
        <w:gridCol w:w="2085"/>
        <w:gridCol w:w="2092"/>
        <w:gridCol w:w="109"/>
        <w:gridCol w:w="109"/>
        <w:gridCol w:w="109"/>
        <w:gridCol w:w="211"/>
        <w:gridCol w:w="541"/>
        <w:gridCol w:w="109"/>
        <w:gridCol w:w="109"/>
        <w:gridCol w:w="109"/>
        <w:gridCol w:w="109"/>
        <w:gridCol w:w="109"/>
        <w:gridCol w:w="109"/>
        <w:gridCol w:w="109"/>
        <w:gridCol w:w="109"/>
        <w:gridCol w:w="109"/>
        <w:gridCol w:w="109"/>
        <w:gridCol w:w="211"/>
        <w:gridCol w:w="541"/>
        <w:gridCol w:w="109"/>
        <w:gridCol w:w="109"/>
        <w:gridCol w:w="109"/>
        <w:gridCol w:w="154"/>
      </w:tblGrid>
      <w:tr>
        <w:trPr/>
        <w:tc>
          <w:tcPr>
            <w:tcW w:w="236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21"/>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payroll taxes in lieu of issuing shares for 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 used for financing activities</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Dividends</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dividends declared per share and total dividends for our Class A and Class B Common Stock and our 5.75% Series A Mandatory Convertible Preferred Stock (“Mandatory Convertible Preferred Stock”) for the three months ended March 31, 2024 and 2023. On April 1, 2024, each outstanding share of our Mandatory Convertible Preferred stock automatically and mandatorily converted into 1.1765 shares of our Class B Common Stock. The final dividend on the Mandatory Convertible Preferred Stock, which was declared during the three months ended March 31, 2024, was paid on April 1, 2024. </w:t>
      </w:r>
    </w:p>
    <w:tbl>
      <w:tblPr>
        <w:tblW w:w="7015" w:type="dxa"/>
        <w:jc w:val="center"/>
        <w:tblInd w:w="0" w:type="dxa"/>
        <w:tblLayout w:type="fixed"/>
        <w:tblCellMar>
          <w:top w:w="28" w:type="dxa"/>
          <w:left w:w="28" w:type="dxa"/>
          <w:bottom w:w="28" w:type="dxa"/>
          <w:right w:w="28" w:type="dxa"/>
        </w:tblCellMar>
      </w:tblPr>
      <w:tblGrid>
        <w:gridCol w:w="1270"/>
        <w:gridCol w:w="1118"/>
        <w:gridCol w:w="1122"/>
        <w:gridCol w:w="109"/>
        <w:gridCol w:w="109"/>
        <w:gridCol w:w="162"/>
        <w:gridCol w:w="162"/>
        <w:gridCol w:w="314"/>
        <w:gridCol w:w="1074"/>
        <w:gridCol w:w="162"/>
        <w:gridCol w:w="109"/>
        <w:gridCol w:w="109"/>
        <w:gridCol w:w="109"/>
        <w:gridCol w:w="211"/>
        <w:gridCol w:w="721"/>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Mandatory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preferred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preferred stock 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2"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bottom w:val="single" w:sz="1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Capital Structure</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our debt.</w:t>
      </w:r>
    </w:p>
    <w:tbl>
      <w:tblPr>
        <w:tblW w:w="7399" w:type="dxa"/>
        <w:jc w:val="center"/>
        <w:tblInd w:w="0" w:type="dxa"/>
        <w:tblLayout w:type="fixed"/>
        <w:tblCellMar>
          <w:top w:w="28" w:type="dxa"/>
          <w:left w:w="28" w:type="dxa"/>
          <w:bottom w:w="28" w:type="dxa"/>
          <w:right w:w="28" w:type="dxa"/>
        </w:tblCellMar>
      </w:tblPr>
      <w:tblGrid>
        <w:gridCol w:w="1307"/>
        <w:gridCol w:w="1147"/>
        <w:gridCol w:w="1160"/>
        <w:gridCol w:w="109"/>
        <w:gridCol w:w="109"/>
        <w:gridCol w:w="109"/>
        <w:gridCol w:w="211"/>
        <w:gridCol w:w="721"/>
        <w:gridCol w:w="109"/>
        <w:gridCol w:w="109"/>
        <w:gridCol w:w="109"/>
        <w:gridCol w:w="109"/>
        <w:gridCol w:w="109"/>
        <w:gridCol w:w="109"/>
        <w:gridCol w:w="109"/>
        <w:gridCol w:w="110"/>
        <w:gridCol w:w="110"/>
        <w:gridCol w:w="110"/>
        <w:gridCol w:w="214"/>
        <w:gridCol w:w="733"/>
        <w:gridCol w:w="110"/>
        <w:gridCol w:w="110"/>
        <w:gridCol w:w="110"/>
        <w:gridCol w:w="156"/>
      </w:tblGrid>
      <w:tr>
        <w:trPr/>
        <w:tc>
          <w:tcPr>
            <w:tcW w:w="130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At</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current portion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14,607 </w:t>
            </w:r>
          </w:p>
        </w:tc>
        <w:tc>
          <w:tcPr>
            <w:tcW w:w="109"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14,601 </w:t>
            </w:r>
          </w:p>
        </w:tc>
        <w:tc>
          <w:tcPr>
            <w:tcW w:w="110"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ans-serif" w:hAnsi="Times New Roman;sans-serif"/>
          <w:b w:val="false"/>
          <w:color w:val="000000"/>
          <w:sz w:val="18"/>
        </w:rPr>
        <w:t>(a) At March 31, 2024 and December 31, 2023, the senior and junior subordinated debt balances included (i) a net unamortized discount of $415 million and $419 million, respectively, and (ii) unamortized deferred financing costs of $79 million and $81 million, respectively. The face value of our total debt was $15.10 billion</w:t>
      </w:r>
      <w:r>
        <w:rPr>
          <w:color w:val="000000"/>
        </w:rPr>
        <w:t xml:space="preserve"> </w:t>
      </w:r>
      <w:r>
        <w:rPr>
          <w:rFonts w:ascii="Times New Roman;sans-serif" w:hAnsi="Times New Roman;sans-serif"/>
          <w:b w:val="false"/>
          <w:color w:val="000000"/>
          <w:sz w:val="18"/>
        </w:rPr>
        <w:t xml:space="preserve">at both March 31, 2024 and December 31, 2023. </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both"/>
        <w:rPr>
          <w:rFonts w:ascii="Times New Roman;sans-serif" w:hAnsi="Times New Roman;sans-serif"/>
          <w:b w:val="false"/>
          <w:i/>
          <w:color w:val="000000"/>
          <w:sz w:val="22"/>
        </w:rPr>
      </w:pPr>
      <w:r>
        <w:rPr>
          <w:rFonts w:ascii="Times New Roman;sans-serif" w:hAnsi="Times New Roman;sans-serif"/>
          <w:b w:val="false"/>
          <w:i/>
          <w:color w:val="000000"/>
          <w:sz w:val="22"/>
        </w:rPr>
        <w:t>Senior Debt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March 31, 2024, our senior debt was comprised of senior notes and debentures due between 2025 and 2050 with interest rates ranging from 2.90% to 7.875%.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i/>
          <w:color w:val="000000"/>
          <w:sz w:val="22"/>
        </w:rPr>
      </w:pPr>
      <w:r>
        <w:rPr>
          <w:rFonts w:ascii="Times New Roman;sans-serif" w:hAnsi="Times New Roman;sans-serif"/>
          <w:b w:val="false"/>
          <w:i/>
          <w:color w:val="000000"/>
          <w:sz w:val="22"/>
        </w:rPr>
        <w:t>Junior Debt</w:t>
      </w:r>
    </w:p>
    <w:p>
      <w:pPr>
        <w:pStyle w:val="TextBody"/>
        <w:bidi w:val="0"/>
        <w:spacing w:lineRule="auto" w:line="288" w:before="0" w:after="1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 March 31, 2024, our junior debt was comprised of $643 million 6.25% junior subordinated debentures due February 2057 and $989 million 6.375% junior subordinated debentures due 2062. Our 6.25% junior subordinated debentures accrue interest at the stated fixed rate until February 28, 2027, on which date the rate will switch to a floating rate. These debentures can be called by us at par at any time after the expiration of the fixed-rate period.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subordination and extended term, as well as an interest deferral option of the junior subordinated debentures provide significant credit protection measures for senior creditors and, as a result of these features, the debentures received a 50% equity credit by Standard &amp; Poor’s Rating Services, Fitch Ratings Inc., and Moody’s Investors Service, Inc.</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Commercial Paper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 both March 31, 2024 and December 31, 2023, we had no outstanding commercial paper borrowings.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Credit Facility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At March 31, 2024, we had a $3.50 billion revolving credit facility that matures in January 2027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into. The benchmark rate for loans denominated in U.S. dollars is Term SOFR, and for loans denominated in euros, sterling and yen is based on EURIBOR, SONIA and TIBOR, respectively. At March 31, 2024, we had no borrowings outstanding under the Credit Facility and the availability under the Credit Facility was $3.50 billion.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Credit Facility has one principal financial covenant which sets a maximum Consolidated Total Leverage Ratio (“Leverage Ratio”) at the end of each quarter. The maximum Leverage Ratio was 5.75x for the quarter ended March 31, 2024 and will remain at this level for each quarter through and including the quarter ending September 30, 2024, and will then decrease to 5.5x for the quarters ending December 31, 2024 and March 31, 2025, with decreases of 0.25x for each subsequent quarter until the quarter ending March 31, 2026 when it will be 4.5x, and will remain at this level until maturity. The Leverage Ratio reflects the ratio of our Consolidated Indebtedness, net of unrestricted cash and cash equivalents at the end of a quarter, to our Consolidated EBITDA (each as defined in the credit agreement) for the trailing twelve-month period. For quarters ending on or after September 30, 2024, the maximum amount of unrestricted cash and cash equivalents that can be netted against Consolidated Indebtedness in the calculation of the Leverage Ratio will be $1.50 billion. We met the covenant as of March 31, 2024.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Other Bank Borrowings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 both March 31, 2024 and December 31, 2023, we had no outstanding bank borrowings under Miramax’s $50 million credit facility that matures in November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Guarantees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Letters of Credit and Surety Bonds</w:t>
      </w:r>
    </w:p>
    <w:p>
      <w:pPr>
        <w:pStyle w:val="TextBody"/>
        <w:bidi w:val="0"/>
        <w:spacing w:lineRule="auto" w:line="288" w:before="0" w:after="0"/>
        <w:jc w:val="left"/>
        <w:rPr/>
      </w:pPr>
      <w:r>
        <w:rPr>
          <w:rFonts w:ascii="Times New Roman;sans-serif" w:hAnsi="Times New Roman;sans-serif"/>
          <w:b w:val="false"/>
          <w:color w:val="000000"/>
          <w:sz w:val="22"/>
        </w:rPr>
        <w:t xml:space="preserve">At March 31, 2024, we had outstanding letters of credit and surety bonds of $2.07 billion that were not recorded on the Consolidated Balance Sheet, including $1.86 billion that was issued under a $1.9 billion standby letter of credit facility in accordance with the contractual requirements of one of our commitments. The amount outstanding under the letter of credit facility will decrease throughout 2024 as we make payments under the related contractual commitment. Letters of credit and surety bonds are primarily used as security against non-performance in the normal course of business under contractual requirements of certain of our commitments. The standby letter of credit facility, which matures in May 2026, is subject to the same principal financial covenant as the Credit Facility (see </w:t>
      </w:r>
      <w:r>
        <w:rPr>
          <w:rFonts w:ascii="Times New Roman;sans-serif" w:hAnsi="Times New Roman;sans-serif"/>
          <w:b w:val="false"/>
          <w:i/>
          <w:color w:val="000000"/>
          <w:sz w:val="22"/>
        </w:rPr>
        <w:t>Capital Structure</w:t>
      </w:r>
      <w:r>
        <w:rPr>
          <w:color w:val="000000"/>
        </w:rPr>
        <w:t>—</w:t>
      </w:r>
      <w:r>
        <w:rPr>
          <w:rFonts w:ascii="Times New Roman;sans-serif" w:hAnsi="Times New Roman;sans-serif"/>
          <w:b w:val="false"/>
          <w:i/>
          <w:color w:val="000000"/>
          <w:sz w:val="22"/>
        </w:rPr>
        <w:t>Credit Facility</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Lease Guarantees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have certain indemnification obligations with respect to leases primarily associated with the previously discontinued operations of Famous Players Inc. Our guarantee liability relating to these lease commitments totaled $8 million at March 31, 2024, and is presented within “Other liabilities” on the Consolidated Balance Sheet. The amount of these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2"/>
        </w:rPr>
        <w:t>Other</w:t>
      </w:r>
      <w:r>
        <w:rPr>
          <w:color w:val="000000"/>
        </w:rPr>
        <w:t xml:space="preserve">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Legal Matters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General</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 </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Litigation Related to Stock Offerings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August 2021, Camelot Event Driven Fund filed a putative securities class action lawsuit in New York Supreme Court, County of New York, and in November 2021, an amended complaint was filed that, among other changes, added an additional named plaintiff (as used in this paragraph, the “Complaint”). The Complaint is on behalf of investors who purchased shares of the Company’s Class B Common Stock and 5.75% Series A Mandatory Convertible Preferred Stock pursuant to public securities offerings completed in March 2021, and was filed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In December 2021, the plaintiffs filed a stipulation seeking the voluntary dismissal without prejudice of the outside director defendants from the lawsuit, which the Court subsequently ordered. On the same date, the defendants filed motions to dismiss the lawsuit, which were heard in January 2023. In February 2023, the Court dismissed all claims against the Company while allowing the claims against the underwriters to proceed. The plaintiffs and underwriter defendants appealed the ruling, and in April 2024, the New York Supreme Court, Appellate Division, First Department, ruled in our favor and upheld the decision of the trial court dismissing the case against the Company and its officers.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i/>
          <w:color w:val="000000"/>
          <w:sz w:val="22"/>
        </w:rPr>
      </w:pPr>
      <w:r>
        <w:rPr>
          <w:rFonts w:ascii="Times New Roman;sans-serif" w:hAnsi="Times New Roman;sans-serif"/>
          <w:b/>
          <w:i/>
          <w:color w:val="000000"/>
          <w:sz w:val="22"/>
        </w:rPr>
        <w:t>Claims Related to Former Businesses</w:t>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Asbestos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March 31, 2024, we had pending approximately 19,510 asbestos claims, as compared with approximately 19,970 as of December 31, 2023. During the first quarter of 2024, we received approximately 810 new claims and closed or moved to an inactive docket approximately 1,270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2023 and 2022 for settlement and defense of asbestos claims after insurance recoveries and net of tax were approximately $54 million and $57 million, respectively. Our costs for settlement and defense of asbestos claims may vary year to year and insurance proceeds are not always recovered in the same period as the insured portion of the expenses.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A significant number of pending claims against us are non-cancer claims. It is difficult to predict long-term future asbestos liabilities, as events and circumstances may impact the estimate. We record an accrual for a loss contingency when it is both probable that a liability has been incurred and when the amount of the loss can be reasonably estimated. The reasonably estimable period for our long-term asbestos liability is 10 years, which we determined in consultation with a third-party firm with expertise in estimating asbestos liability and is due to the inherent uncertainties in the tort litigation system. Our estimated asbestos liability is based upon many factors, including the number of outstanding claims, estimated average cost per claim, the breakdown of claims by disease type, historic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claim filings, costs per claim of resolution and the filing of new claims, and is assessed in consultation with the third-party firm. Changes in circumstances in future periods could cause our actual liabilities to be higher or lower than our current accrual. We will continue to evaluate our estimates and update our accrual as needed.</w:t>
      </w:r>
    </w:p>
    <w:p>
      <w:pPr>
        <w:pStyle w:val="TextBody"/>
        <w:bidi w:val="0"/>
        <w:spacing w:before="0" w:after="0"/>
        <w:jc w:val="left"/>
        <w:rPr/>
      </w:pPr>
      <w:r>
        <w:rPr/>
      </w:r>
    </w:p>
    <w:p>
      <w:pPr>
        <w:pStyle w:val="TextBody"/>
        <w:bidi w:val="0"/>
        <w:spacing w:lineRule="auto" w:line="288" w:before="0" w:after="160"/>
        <w:jc w:val="left"/>
        <w:rPr/>
      </w:pPr>
      <w:r>
        <w:rPr>
          <w:rFonts w:ascii="Times New Roman;sans-serif" w:hAnsi="Times New Roman;sans-serif"/>
          <w:b w:val="false"/>
          <w:i/>
          <w:color w:val="000000"/>
          <w:sz w:val="22"/>
        </w:rPr>
        <w:t>Other</w:t>
      </w:r>
      <w:r>
        <w:rPr>
          <w:color w:val="000000"/>
        </w:rPr>
        <w:t>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 While we believe that our accruals for these matters are adequate, there can be no assurance that circumstances will not change in future periods and, as a result, our actual liabilities may be higher or lower than our accrual.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Related Parties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Note 4 to the consolidated financial statements.</w:t>
      </w: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Accounting Pronouncements Not Yet Adopted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See Note 1 to the consolidated financial statements.</w:t>
      </w: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Critical Accounting Policies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See Item 7, Management’s Discussion and Analysis of Results of Operations and Financial Condition in our Annual Report on Form 10-K for the year ended December 31, 2023, for a discussion of our critical accounting policies.</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 xml:space="preserve">Cautionary Note Concerning Forward-Looking Statements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contains both historical and forward</w:t>
        <w:noBreakHyphen/>
        <w:t xml:space="preserve">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include, among others: risks related to our streaming business; the adverse impact on our advertising revenues as a result of advertising market conditions, changes in consumer viewership and deficiencies in audience measurement; risks related to operating in highly competitive and dynamic industries, including cost increases; the unpredictable nature of consumer behavior, as well as evolving technologies and distribution models; risks related to our ongoing changes in business strategy, including investments in new businesses, products, services, technologies and other strategic activities; the potential for loss of carriage or other reduction in or the impact of negotiations for the distribution of our content; damage to our reputation or brands; losses due to asset impairment charges for goodwill, intangible assets, FCC licenses and content; liabilities related to discontinued operations and former businesses; risks related to environmental, social and governance (ESG) matters; evolving business continuity, cybersecurity, privacy and data protection and similar risks; content infringement; domestic and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Results of Operations and Financial Condition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(Tabular dollars in millions, except per share amounts)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political, economic and regulatory factors affecting our businesses generally; disruptions to our operations as a result of labor disputes; the inability to hire or retain key employees or secure creative talent; volatility in the prices of our common stock; potential conflicts of interest arising from our ownership structure with a controlling stockholder; and other factors described in our news releases and filings with the Securities and Exchange Commission, including but not limited to our most recent Annual Report on Form 10-K and reports on Form 10-Q and Form 8-K. There may be additional risks, uncertainties and factors that we do not currently view as material or that are not necessarily known. The forward</w:t>
        <w:noBreakHyphen/>
        <w:t>looking statements included in this Quarterly Report on Form 10-Q are made only as of the date of this report, and we do not undertake any obligation to publicly update any forward</w:t>
        <w:noBreakHyphen/>
        <w:t>looking statements to reflect subsequent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45" w:type="dxa"/>
        <w:jc w:val="center"/>
        <w:tblInd w:w="0" w:type="dxa"/>
        <w:tblLayout w:type="fixed"/>
        <w:tblCellMar>
          <w:top w:w="28" w:type="dxa"/>
          <w:left w:w="28" w:type="dxa"/>
          <w:bottom w:w="28" w:type="dxa"/>
          <w:right w:w="28" w:type="dxa"/>
        </w:tblCellMar>
      </w:tblPr>
      <w:tblGrid>
        <w:gridCol w:w="294"/>
        <w:gridCol w:w="257"/>
        <w:gridCol w:w="259"/>
        <w:gridCol w:w="1795"/>
        <w:gridCol w:w="1795"/>
        <w:gridCol w:w="2545"/>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Item 3.</w:t>
            </w:r>
          </w:p>
        </w:tc>
        <w:tc>
          <w:tcPr>
            <w:tcW w:w="613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Quantitative and Qualitative Disclosures About Market Risk.</w:t>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significant changes to market risk since reported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65" w:type="dxa"/>
        <w:jc w:val="center"/>
        <w:tblInd w:w="0" w:type="dxa"/>
        <w:tblLayout w:type="fixed"/>
        <w:tblCellMar>
          <w:top w:w="28" w:type="dxa"/>
          <w:left w:w="28" w:type="dxa"/>
          <w:bottom w:w="28" w:type="dxa"/>
          <w:right w:w="28" w:type="dxa"/>
        </w:tblCellMar>
      </w:tblPr>
      <w:tblGrid>
        <w:gridCol w:w="294"/>
        <w:gridCol w:w="257"/>
        <w:gridCol w:w="259"/>
        <w:gridCol w:w="778"/>
        <w:gridCol w:w="778"/>
        <w:gridCol w:w="1099"/>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Item 4.</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Controls and Procedures.</w:t>
            </w:r>
          </w:p>
        </w:tc>
      </w:tr>
    </w:tbl>
    <w:p>
      <w:pPr>
        <w:pStyle w:val="TextBody"/>
        <w:bidi w:val="0"/>
        <w:spacing w:lineRule="auto" w:line="288"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Our chief executive officer and chief financial officer have concluded that, as of the end of the period covered by this report, our disclosure controls and procedures (as defined in Rules 13a-15(e) or 15d-15(e) of the Securities Exchange Act of 1934, as amended) were effective, based on the evaluation of these controls and procedures required by Rule 13a-15(b) or 15d-15(b) of the Securities Exchange Act of 1934,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 change in our internal control over financial reporting occurred during our last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20" w:type="dxa"/>
        <w:jc w:val="center"/>
        <w:tblInd w:w="0" w:type="dxa"/>
        <w:tblLayout w:type="fixed"/>
        <w:tblCellMar>
          <w:top w:w="28" w:type="dxa"/>
          <w:left w:w="28" w:type="dxa"/>
          <w:bottom w:w="28" w:type="dxa"/>
          <w:right w:w="28" w:type="dxa"/>
        </w:tblCellMar>
      </w:tblPr>
      <w:tblGrid>
        <w:gridCol w:w="293"/>
        <w:gridCol w:w="258"/>
        <w:gridCol w:w="259"/>
        <w:gridCol w:w="589"/>
        <w:gridCol w:w="589"/>
        <w:gridCol w:w="832"/>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Item 1.</w:t>
            </w:r>
          </w:p>
        </w:tc>
        <w:tc>
          <w:tcPr>
            <w:tcW w:w="2010"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Legal Proceedings.</w:t>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set forth in Note 14 to the consolidated financial statements appearing in Item 1 of Part I of this Quarterly Report on Form 10-Q under the caption “Legal Matters”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30" w:type="dxa"/>
        <w:jc w:val="center"/>
        <w:tblInd w:w="0" w:type="dxa"/>
        <w:tblLayout w:type="fixed"/>
        <w:tblCellMar>
          <w:top w:w="28" w:type="dxa"/>
          <w:left w:w="28" w:type="dxa"/>
          <w:bottom w:w="28" w:type="dxa"/>
          <w:right w:w="28" w:type="dxa"/>
        </w:tblCellMar>
      </w:tblPr>
      <w:tblGrid>
        <w:gridCol w:w="353"/>
        <w:gridCol w:w="311"/>
        <w:gridCol w:w="312"/>
        <w:gridCol w:w="425"/>
        <w:gridCol w:w="425"/>
        <w:gridCol w:w="60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Item 1A.</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Risk Factors.</w:t>
            </w:r>
          </w:p>
        </w:tc>
      </w:tr>
    </w:tbl>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There have been no material changes to risk factors previously disclosed in Item 1A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55" w:type="dxa"/>
        <w:jc w:val="center"/>
        <w:tblInd w:w="0" w:type="dxa"/>
        <w:tblLayout w:type="fixed"/>
        <w:tblCellMar>
          <w:top w:w="28" w:type="dxa"/>
          <w:left w:w="28" w:type="dxa"/>
          <w:bottom w:w="28" w:type="dxa"/>
          <w:right w:w="28" w:type="dxa"/>
        </w:tblCellMar>
      </w:tblPr>
      <w:tblGrid>
        <w:gridCol w:w="293"/>
        <w:gridCol w:w="258"/>
        <w:gridCol w:w="259"/>
        <w:gridCol w:w="1768"/>
        <w:gridCol w:w="1768"/>
        <w:gridCol w:w="2509"/>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Item 2.</w:t>
            </w:r>
          </w:p>
        </w:tc>
        <w:tc>
          <w:tcPr>
            <w:tcW w:w="6045" w:type="dxa"/>
            <w:gridSpan w:val="3"/>
            <w:tcBorders/>
            <w:tcMar>
              <w:top w:w="0" w:type="dxa"/>
              <w:left w:w="0" w:type="dxa"/>
              <w:bottom w:w="0" w:type="dxa"/>
              <w:right w:w="0" w:type="dxa"/>
            </w:tcMar>
            <w:vAlign w:val="center"/>
          </w:tcPr>
          <w:p>
            <w:pPr>
              <w:pStyle w:val="TableContents"/>
              <w:bidi w:val="0"/>
              <w:spacing w:lineRule="auto" w:line="288" w:before="160" w:after="160"/>
              <w:jc w:val="left"/>
              <w:rPr>
                <w:rFonts w:ascii="Times New Roman;sans-serif" w:hAnsi="Times New Roman;sans-serif"/>
                <w:b/>
                <w:color w:val="000000"/>
                <w:sz w:val="22"/>
              </w:rPr>
            </w:pPr>
            <w:r>
              <w:rPr>
                <w:rFonts w:ascii="Times New Roman;sans-serif" w:hAnsi="Times New Roman;sans-serif"/>
                <w:b/>
                <w:color w:val="000000"/>
                <w:sz w:val="22"/>
              </w:rPr>
              <w:t>Unregistered Sales of Equity Securities and Use of Proceeds.</w:t>
            </w:r>
          </w:p>
        </w:tc>
      </w:tr>
    </w:tbl>
    <w:p>
      <w:pPr>
        <w:pStyle w:val="TextBody"/>
        <w:bidi w:val="0"/>
        <w:spacing w:lineRule="auto" w:line="288" w:before="0" w:after="160"/>
        <w:jc w:val="left"/>
        <w:rPr>
          <w:rFonts w:ascii="Times New Roman;sans-serif" w:hAnsi="Times New Roman;sans-serif"/>
          <w:b/>
          <w:color w:val="000000"/>
          <w:sz w:val="22"/>
        </w:rPr>
      </w:pPr>
      <w:r>
        <w:rPr>
          <w:rFonts w:ascii="Times New Roman;sans-serif" w:hAnsi="Times New Roman;sans-serif"/>
          <w:b/>
          <w:color w:val="000000"/>
          <w:sz w:val="22"/>
        </w:rPr>
        <w:t>Company Purchases of Equity Securities</w:t>
      </w:r>
    </w:p>
    <w:p>
      <w:pPr>
        <w:pStyle w:val="TextBody"/>
        <w:bidi w:val="0"/>
        <w:spacing w:lineRule="auto" w:line="288" w:before="0" w:after="16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In November 2010, we announced that our Board of Directors approved a program to repurchase $1.5 billion of our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During the first quarter of 2024, we did not purchase any shares under our publicly announced share repurchase program, which had remaining authorization of $2.36 billion at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tbl>
      <w:tblPr>
        <w:tblW w:w="1814" w:type="dxa"/>
        <w:jc w:val="left"/>
        <w:tblInd w:w="0" w:type="dxa"/>
        <w:tblLayout w:type="fixed"/>
        <w:tblCellMar>
          <w:top w:w="28" w:type="dxa"/>
          <w:left w:w="28" w:type="dxa"/>
          <w:bottom w:w="28" w:type="dxa"/>
          <w:right w:w="28" w:type="dxa"/>
        </w:tblCellMar>
      </w:tblPr>
      <w:tblGrid>
        <w:gridCol w:w="294"/>
        <w:gridCol w:w="258"/>
        <w:gridCol w:w="258"/>
        <w:gridCol w:w="294"/>
        <w:gridCol w:w="294"/>
        <w:gridCol w:w="4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160" w:after="160"/>
              <w:ind w:left="0" w:right="0" w:hanging="810"/>
              <w:jc w:val="left"/>
              <w:rPr>
                <w:rFonts w:ascii="Times New Roman;sans-serif" w:hAnsi="Times New Roman;sans-serif"/>
                <w:b/>
                <w:color w:val="000000"/>
                <w:sz w:val="22"/>
              </w:rPr>
            </w:pPr>
            <w:r>
              <w:rPr>
                <w:rFonts w:ascii="Times New Roman;sans-serif" w:hAnsi="Times New Roman;sans-serif"/>
                <w:b/>
                <w:color w:val="000000"/>
                <w:sz w:val="22"/>
              </w:rPr>
              <w:t>Item 6.</w:t>
            </w:r>
          </w:p>
        </w:tc>
        <w:tc>
          <w:tcPr>
            <w:tcW w:w="1004" w:type="dxa"/>
            <w:gridSpan w:val="3"/>
            <w:tcBorders/>
            <w:tcMar>
              <w:top w:w="0" w:type="dxa"/>
              <w:left w:w="0" w:type="dxa"/>
              <w:bottom w:w="0" w:type="dxa"/>
              <w:right w:w="0" w:type="dxa"/>
            </w:tcMar>
            <w:vAlign w:val="center"/>
          </w:tcPr>
          <w:p>
            <w:pPr>
              <w:pStyle w:val="TableContents"/>
              <w:bidi w:val="0"/>
              <w:spacing w:lineRule="auto" w:line="288" w:before="160" w:after="160"/>
              <w:ind w:left="0" w:right="0" w:hanging="810"/>
              <w:jc w:val="left"/>
              <w:rPr>
                <w:rFonts w:ascii="Times New Roman;sans-serif" w:hAnsi="Times New Roman;sans-serif"/>
                <w:b/>
                <w:color w:val="000000"/>
                <w:sz w:val="22"/>
              </w:rPr>
            </w:pPr>
            <w:r>
              <w:rPr>
                <w:rFonts w:ascii="Times New Roman;sans-serif" w:hAnsi="Times New Roman;sans-serif"/>
                <w:b/>
                <w:color w:val="000000"/>
                <w:sz w:val="22"/>
              </w:rPr>
              <w:t>Exhibits.</w:t>
            </w:r>
          </w:p>
        </w:tc>
      </w:tr>
    </w:tbl>
    <w:tbl>
      <w:tblPr>
        <w:tblW w:w="10205" w:type="dxa"/>
        <w:jc w:val="left"/>
        <w:tblInd w:w="0" w:type="dxa"/>
        <w:tblLayout w:type="fixed"/>
        <w:tblCellMar>
          <w:top w:w="28" w:type="dxa"/>
          <w:left w:w="28" w:type="dxa"/>
          <w:bottom w:w="28" w:type="dxa"/>
          <w:right w:w="28" w:type="dxa"/>
        </w:tblCellMar>
      </w:tblPr>
      <w:tblGrid>
        <w:gridCol w:w="311"/>
        <w:gridCol w:w="275"/>
        <w:gridCol w:w="161"/>
        <w:gridCol w:w="161"/>
        <w:gridCol w:w="161"/>
        <w:gridCol w:w="165"/>
        <w:gridCol w:w="2706"/>
        <w:gridCol w:w="2585"/>
        <w:gridCol w:w="3680"/>
      </w:tblGrid>
      <w:tr>
        <w:trPr/>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12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Exhibit No.</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 of Document</w:t>
            </w:r>
          </w:p>
        </w:tc>
      </w:tr>
      <w:tr>
        <w:trPr/>
        <w:tc>
          <w:tcPr>
            <w:tcW w:w="5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(10)</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Material Contracts</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Form of Terms and Conditions for Performance Share Units under ViacomCBS Inc. 2009 Long-Term Incentive Plan (</w:t>
            </w:r>
            <w:hyperlink w:anchor="para_ex10a-033124.htm">
              <w:r>
                <w:rPr>
                  <w:rStyle w:val="InternetLink"/>
                  <w:rFonts w:ascii="Times New Roman;sans-serif" w:hAnsi="Times New Roman;sans-serif"/>
                  <w:b w:val="false"/>
                  <w:color w:val="0000FF"/>
                  <w:sz w:val="22"/>
                  <w:u w:val="single"/>
                </w:rPr>
                <w:t>filed herewith</w:t>
              </w:r>
            </w:hyperlink>
            <w:r>
              <w:rPr>
                <w:rFonts w:ascii="Times New Roman;sans-serif" w:hAnsi="Times New Roman;sans-serif"/>
                <w:b w:val="false"/>
                <w:color w:val="000000"/>
                <w:sz w:val="22"/>
              </w:rPr>
              <w:t>).*</w:t>
            </w:r>
          </w:p>
        </w:tc>
      </w:tr>
      <w:tr>
        <w:trPr/>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(31)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Rule 13a-14(a)/15d-14(a) Certifications</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Certification of the Chief Executive Officer of Paramount Global pursuant to Rule 13a-14(a), or 15d-14(a), as adopted pursuant to Section 302 of the Sarbanes Oxley Act of 2002 (</w:t>
            </w:r>
            <w:hyperlink w:anchor="para_ex31a-033124.htm">
              <w:r>
                <w:rPr>
                  <w:rStyle w:val="InternetLink"/>
                  <w:rFonts w:ascii="Times New Roman;sans-serif" w:hAnsi="Times New Roman;sans-serif"/>
                  <w:b w:val="false"/>
                  <w:color w:val="0000FF"/>
                  <w:sz w:val="22"/>
                  <w:u w:val="single"/>
                </w:rPr>
                <w:t>filed herewith</w:t>
              </w:r>
            </w:hyperlink>
            <w:r>
              <w:rPr>
                <w:rFonts w:ascii="Times New Roman;sans-serif" w:hAnsi="Times New Roman;sans-serif"/>
                <w:b w:val="false"/>
                <w:color w:val="000000"/>
                <w:sz w:val="22"/>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Certification of the Chief Financial Officer of Paramount Global pursuant to Rule 13a-14(a), or 15d-14(a), as adopted pursuant to Section 302 of the Sarbanes Oxley Act of 2002 (</w:t>
            </w:r>
            <w:hyperlink w:anchor="para_ex31b-033124.htm">
              <w:r>
                <w:rPr>
                  <w:rStyle w:val="InternetLink"/>
                  <w:rFonts w:ascii="Times New Roman;sans-serif" w:hAnsi="Times New Roman;sans-serif"/>
                  <w:b w:val="false"/>
                  <w:color w:val="0000FF"/>
                  <w:sz w:val="22"/>
                  <w:u w:val="single"/>
                </w:rPr>
                <w:t>filed herewith</w:t>
              </w:r>
            </w:hyperlink>
            <w:r>
              <w:rPr>
                <w:rFonts w:ascii="Times New Roman;sans-serif" w:hAnsi="Times New Roman;sans-serif"/>
                <w:b w:val="false"/>
                <w:color w:val="000000"/>
                <w:sz w:val="22"/>
              </w:rPr>
              <w:t>).</w:t>
            </w:r>
          </w:p>
        </w:tc>
      </w:tr>
      <w:tr>
        <w:trPr/>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(32)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Section 1350 Certifications</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Certification of the Chief Executive Officer of Paramount Global furnished pursuant to 18 U.S.C. Section 1350, as adopted pursuant to Section 906 of the Sarbanes Oxley Act of 2002 (</w:t>
            </w:r>
            <w:hyperlink w:anchor="para_ex32a-033124.htm">
              <w:r>
                <w:rPr>
                  <w:rStyle w:val="InternetLink"/>
                  <w:rFonts w:ascii="Times New Roman;sans-serif" w:hAnsi="Times New Roman;sans-serif"/>
                  <w:b w:val="false"/>
                  <w:color w:val="0000FF"/>
                  <w:sz w:val="22"/>
                  <w:u w:val="single"/>
                </w:rPr>
                <w:t>furnished herewith</w:t>
              </w:r>
            </w:hyperlink>
            <w:r>
              <w:rPr>
                <w:rFonts w:ascii="Times New Roman;sans-serif" w:hAnsi="Times New Roman;sans-serif"/>
                <w:b w:val="false"/>
                <w:color w:val="000000"/>
                <w:sz w:val="22"/>
              </w:rPr>
              <w: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(b)</w:t>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Certification of the Chief Financial Officer of Paramount Global furnished pursuant to 18 U.S.C. Section 1350, as adopted pursuant to Section 906 of the Sarbanes Oxley Act of 2002 (</w:t>
            </w:r>
            <w:hyperlink w:anchor="para_ex32b-033124.htm">
              <w:r>
                <w:rPr>
                  <w:rStyle w:val="InternetLink"/>
                  <w:rFonts w:ascii="Times New Roman;sans-serif" w:hAnsi="Times New Roman;sans-serif"/>
                  <w:b w:val="false"/>
                  <w:color w:val="0000FF"/>
                  <w:sz w:val="22"/>
                  <w:u w:val="single"/>
                </w:rPr>
                <w:t>furnished herewith</w:t>
              </w:r>
            </w:hyperlink>
            <w:r>
              <w:rPr>
                <w:rFonts w:ascii="Times New Roman;sans-serif" w:hAnsi="Times New Roman;sans-serif"/>
                <w:b w:val="false"/>
                <w:color w:val="000000"/>
                <w:sz w:val="22"/>
              </w:rPr>
              <w:t>).</w:t>
            </w:r>
          </w:p>
        </w:tc>
      </w:tr>
      <w:tr>
        <w:trPr/>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(101)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2"/>
              </w:rPr>
            </w:pPr>
            <w:r>
              <w:rPr>
                <w:rFonts w:ascii="Times New Roman;sans-serif" w:hAnsi="Times New Roman;sans-serif"/>
                <w:b/>
                <w:color w:val="000000"/>
                <w:sz w:val="22"/>
              </w:rPr>
              <w:t>Interactive Data File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INS XBRL Instance Document - the instance document does not appear in the Interactive Data File because its XBRL tags are embedded within the Inline XBRL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SCH Inline XBRL Taxonomy Extension Schema.</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CAL Inline XBRL Taxonomy Extension Calculation Linkbase.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DEF Inline XBRL Taxonomy Extension Definition Linkbase.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LAB Inline XBRL Taxonomy Extension Label Linkbase.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101. PRE Inline XBRL Taxonomy Extension Presentation Linkbase.</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2"/>
              </w:rPr>
            </w:pPr>
            <w:r>
              <w:rPr>
                <w:rFonts w:ascii="Times New Roman;sans-serif" w:hAnsi="Times New Roman;sans-serif"/>
                <w:b/>
                <w:color w:val="000000"/>
                <w:sz w:val="22"/>
              </w:rPr>
              <w:t>(104)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2"/>
              </w:rPr>
              <w:t xml:space="preserve">Cover Page Interactive Data File </w:t>
            </w:r>
            <w:r>
              <w:rPr>
                <w:rFonts w:ascii="Times New Roman;sans-serif" w:hAnsi="Times New Roman;sans-serif"/>
                <w:b w:val="false"/>
                <w:color w:val="000000"/>
                <w:sz w:val="22"/>
              </w:rPr>
              <w:t>(formatted as Inline XBRL and contained in 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4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160" w:after="160"/>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160" w:after="160"/>
        <w:jc w:val="left"/>
        <w:rPr/>
      </w:pPr>
      <w:r>
        <w:rPr/>
      </w:r>
    </w:p>
    <w:tbl>
      <w:tblPr>
        <w:tblW w:w="6029" w:type="dxa"/>
        <w:jc w:val="left"/>
        <w:tblInd w:w="0" w:type="dxa"/>
        <w:tblLayout w:type="fixed"/>
        <w:tblCellMar>
          <w:top w:w="28" w:type="dxa"/>
          <w:left w:w="28" w:type="dxa"/>
          <w:bottom w:w="28" w:type="dxa"/>
          <w:right w:w="28" w:type="dxa"/>
        </w:tblCellMar>
      </w:tblPr>
      <w:tblGrid>
        <w:gridCol w:w="744"/>
        <w:gridCol w:w="654"/>
        <w:gridCol w:w="657"/>
        <w:gridCol w:w="1162"/>
        <w:gridCol w:w="1162"/>
        <w:gridCol w:w="1650"/>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PARAMOUNT GLOBAL</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(Registrant)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April 29, 2024</w:t>
            </w:r>
          </w:p>
        </w:tc>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Naveen Chopra</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Naveen Chopra</w:t>
            </w:r>
          </w:p>
          <w:p>
            <w:pPr>
              <w:pStyle w:val="TableContents"/>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Executive Vice President,</w:t>
            </w:r>
          </w:p>
          <w:p>
            <w:pPr>
              <w:pStyle w:val="TableContents"/>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April 29, 2024</w:t>
            </w:r>
          </w:p>
        </w:tc>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Katherine Gill-Charest</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Katherine Gill-Charest</w:t>
            </w:r>
          </w:p>
          <w:p>
            <w:pPr>
              <w:pStyle w:val="TableContents"/>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Executive Vice President, Controller and</w:t>
            </w:r>
          </w:p>
          <w:p>
            <w:pPr>
              <w:pStyle w:val="TableContents"/>
              <w:bidi w:val="0"/>
              <w:spacing w:lineRule="auto" w:line="288"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10(a)</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Paramount Global</w:t>
      </w:r>
    </w:p>
    <w:p>
      <w:pPr>
        <w:pStyle w:val="TextBody"/>
        <w:bidi w:val="0"/>
        <w:spacing w:before="0" w:after="0"/>
        <w:jc w:val="center"/>
        <w:rPr/>
      </w:pPr>
      <w:r>
        <w:rPr/>
      </w:r>
    </w:p>
    <w:p>
      <w:pPr>
        <w:pStyle w:val="TextBody"/>
        <w:bidi w:val="0"/>
        <w:spacing w:lineRule="auto" w:line="288" w:before="0" w:after="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[_] Terms and Conditions to the Performance Share Units </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Granted under the ViacomCBS Inc. 2009 Long-Term Incentive Plan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I</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TERMS OF PERFORMANCE SHARE UNITS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u w:val="single"/>
        </w:rPr>
        <w:t>Grant of Performance Share Units</w:t>
      </w:r>
      <w:r>
        <w:rPr>
          <w:rFonts w:ascii="Times New Roman;sans-serif" w:hAnsi="Times New Roman;sans-serif"/>
          <w:b w:val="false"/>
          <w:color w:val="000000"/>
          <w:sz w:val="24"/>
        </w:rPr>
        <w:t>. Paramount Global, a Delaware corporation (f/k/a ViacomCBS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has awarded the Participant Performance Share Units (the “</w:t>
      </w:r>
      <w:r>
        <w:rPr>
          <w:rFonts w:ascii="Times New Roman;sans-serif" w:hAnsi="Times New Roman;sans-serif"/>
          <w:b w:val="false"/>
          <w:color w:val="000000"/>
          <w:sz w:val="24"/>
          <w:u w:val="single"/>
        </w:rPr>
        <w:t>Performance Share Units</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PSUs</w:t>
      </w:r>
      <w:r>
        <w:rPr>
          <w:color w:val="000000"/>
        </w:rPr>
        <w:t>”</w:t>
      </w:r>
      <w:r>
        <w:rPr>
          <w:rFonts w:ascii="Times New Roman;sans-serif" w:hAnsi="Times New Roman;sans-serif"/>
          <w:b w:val="false"/>
          <w:color w:val="000000"/>
          <w:sz w:val="24"/>
        </w:rPr>
        <w:t>) under the ViacomCBS Inc. 2009 Long-Term Incentive Plan, as amended from time to time (the “</w:t>
      </w:r>
      <w:r>
        <w:rPr>
          <w:rFonts w:ascii="Times New Roman;sans-serif" w:hAnsi="Times New Roman;sans-serif"/>
          <w:b w:val="false"/>
          <w:color w:val="000000"/>
          <w:sz w:val="24"/>
          <w:u w:val="single"/>
        </w:rPr>
        <w:t>Plan</w:t>
      </w:r>
      <w:r>
        <w:rPr>
          <w:color w:val="000000"/>
        </w:rPr>
        <w:t>”</w:t>
      </w:r>
      <w:r>
        <w:rPr>
          <w:rFonts w:ascii="Times New Roman;sans-serif" w:hAnsi="Times New Roman;sans-serif"/>
          <w:b w:val="false"/>
          <w:color w:val="000000"/>
          <w:sz w:val="24"/>
        </w:rPr>
        <w:t>). The PSUs have been awarded to the Participant subject to the terms and conditions contained in (A) the certificate for the grant of PSUs, dated [__], that was previously delivered to the Participant (the “</w:t>
      </w:r>
      <w:r>
        <w:rPr>
          <w:rFonts w:ascii="Times New Roman;sans-serif" w:hAnsi="Times New Roman;sans-serif"/>
          <w:b w:val="false"/>
          <w:color w:val="000000"/>
          <w:sz w:val="24"/>
          <w:u w:val="single"/>
        </w:rPr>
        <w:t>Performance Share Units Certificate</w:t>
      </w:r>
      <w:r>
        <w:rPr>
          <w:color w:val="000000"/>
        </w:rPr>
        <w:t xml:space="preserve">” </w:t>
      </w:r>
      <w:r>
        <w:rPr>
          <w:rFonts w:ascii="Times New Roman;sans-serif" w:hAnsi="Times New Roman;sans-serif"/>
          <w:b w:val="false"/>
          <w:color w:val="000000"/>
          <w:sz w:val="24"/>
        </w:rPr>
        <w:t>or the “</w:t>
      </w:r>
      <w:r>
        <w:rPr>
          <w:rFonts w:ascii="Times New Roman;sans-serif" w:hAnsi="Times New Roman;sans-serif"/>
          <w:b w:val="false"/>
          <w:color w:val="000000"/>
          <w:sz w:val="24"/>
          <w:u w:val="single"/>
        </w:rPr>
        <w:t>Certificate</w:t>
      </w:r>
      <w:r>
        <w:rPr>
          <w:color w:val="000000"/>
        </w:rPr>
        <w:t>”</w:t>
      </w:r>
      <w:r>
        <w:rPr>
          <w:rFonts w:ascii="Times New Roman;sans-serif" w:hAnsi="Times New Roman;sans-serif"/>
          <w:b w:val="false"/>
          <w:color w:val="000000"/>
          <w:sz w:val="24"/>
        </w:rPr>
        <w:t>), (B) the terms and conditions contained herein and (C) the Plan, the terms of which are hereby incorporated by reference (the items listed in (A), (B), and (C), collectively, the “</w:t>
      </w:r>
      <w:r>
        <w:rPr>
          <w:rFonts w:ascii="Times New Roman;sans-serif" w:hAnsi="Times New Roman;sans-serif"/>
          <w:b w:val="false"/>
          <w:color w:val="000000"/>
          <w:sz w:val="24"/>
          <w:u w:val="single"/>
        </w:rPr>
        <w:t>Terms and Conditions</w:t>
      </w:r>
      <w:r>
        <w:rPr>
          <w:color w:val="000000"/>
        </w:rPr>
        <w:t>”</w:t>
      </w:r>
      <w:r>
        <w:rPr>
          <w:rFonts w:ascii="Times New Roman;sans-serif" w:hAnsi="Times New Roman;sans-serif"/>
          <w:b w:val="false"/>
          <w:color w:val="000000"/>
          <w:sz w:val="24"/>
        </w:rPr>
        <w:t xml:space="preserve">). A copy of the Plan and the Prospectus dated [__] has been or will be made available to the Participant on the Morgan Stanley (or its successor’s) website or has been attached hereto.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Capitalized terms that are not otherwise defined herein have the meanings assigned to them in the Terms and Conditions. Performance Share Units are notional units of measurement and represent the right to receive a number of shares of the Class B Common Stock based on the Company’s performance against specific pre-determined goals.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Section 1.2</w:t>
      </w:r>
      <w:r>
        <w:rPr>
          <w:rFonts w:ascii="Times New Roman;sans-serif" w:hAnsi="Times New Roman;sans-serif"/>
          <w:b w:val="false"/>
          <w:color w:val="000000"/>
          <w:sz w:val="24"/>
          <w:u w:val="single"/>
        </w:rPr>
        <w:t>Terms of Performance Share Units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    PSUs shall be tied to the achievement of relative total shareholder return or “</w:t>
      </w:r>
      <w:r>
        <w:rPr>
          <w:rFonts w:ascii="Times New Roman;sans-serif" w:hAnsi="Times New Roman;sans-serif"/>
          <w:b w:val="false"/>
          <w:color w:val="000000"/>
          <w:sz w:val="24"/>
          <w:u w:val="single"/>
        </w:rPr>
        <w:t>Relative TSR</w:t>
      </w:r>
      <w:r>
        <w:rPr>
          <w:color w:val="000000"/>
        </w:rPr>
        <w:t>”</w:t>
      </w:r>
      <w:r>
        <w:rPr>
          <w:rFonts w:ascii="Times New Roman;sans-serif" w:hAnsi="Times New Roman;sans-serif"/>
          <w:b w:val="false"/>
          <w:color w:val="000000"/>
          <w:sz w:val="24"/>
        </w:rPr>
        <w:t>, as defined herein, measured over a three-year Performance Period commencing on [__] and ending [__], with the number of PSUs earned and underlying Shares delivered following the Determination Date based on the percentile rank of the Company’s TSR relative to the TSR of each other entity in the Reference Group, and determined according to the following schedule: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tbl>
      <w:tblPr>
        <w:tblW w:w="10205" w:type="dxa"/>
        <w:jc w:val="left"/>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Award Schedule</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360"/>
              <w:jc w:val="both"/>
              <w:rPr/>
            </w:pPr>
            <w:r>
              <w:rPr>
                <w:color w:val="000000"/>
              </w:rPr>
              <w:t>•</w:t>
            </w:r>
            <w:r>
              <w:rPr>
                <w:rFonts w:ascii="Times New Roman;sans-serif" w:hAnsi="Times New Roman;sans-serif"/>
                <w:b/>
                <w:color w:val="000000"/>
                <w:sz w:val="24"/>
              </w:rPr>
              <w:t>If the Company achieves less than the 25th percentile Relative TSR, the PSUs will be forfeited</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360"/>
              <w:jc w:val="both"/>
              <w:rPr/>
            </w:pPr>
            <w:r>
              <w:rPr>
                <w:color w:val="000000"/>
              </w:rPr>
              <w:t>•</w:t>
            </w:r>
            <w:r>
              <w:rPr>
                <w:rFonts w:ascii="Times New Roman;sans-serif" w:hAnsi="Times New Roman;sans-serif"/>
                <w:b/>
                <w:color w:val="000000"/>
                <w:sz w:val="24"/>
              </w:rPr>
              <w:t>If the Company achieves the 25th percentile Relative TSR, the number of Shares to be delivered under the award will be 80% of the Target Award</w:t>
            </w:r>
          </w:p>
        </w:tc>
      </w:tr>
      <w:tr>
        <w:trPr/>
        <w:tc>
          <w:tcPr>
            <w:tcW w:w="102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ind w:left="0" w:right="0" w:hanging="360"/>
              <w:jc w:val="both"/>
              <w:rPr/>
            </w:pPr>
            <w:r>
              <w:rPr>
                <w:color w:val="000000"/>
              </w:rPr>
              <w:t>•</w:t>
            </w:r>
            <w:r>
              <w:rPr>
                <w:rFonts w:ascii="Times New Roman;sans-serif" w:hAnsi="Times New Roman;sans-serif"/>
                <w:b/>
                <w:color w:val="000000"/>
                <w:sz w:val="24"/>
              </w:rPr>
              <w:t>If the Company achieves the 50th percentile Relative TSR, the number of Shares to be delivered under the award will be 100% of the Target Award</w:t>
            </w:r>
          </w:p>
        </w:tc>
      </w:tr>
      <w:tr>
        <w:trPr/>
        <w:tc>
          <w:tcPr>
            <w:tcW w:w="102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ind w:left="0" w:right="0" w:hanging="360"/>
              <w:jc w:val="both"/>
              <w:rPr/>
            </w:pPr>
            <w:r>
              <w:rPr>
                <w:color w:val="000000"/>
              </w:rPr>
              <w:t>•</w:t>
            </w:r>
            <w:r>
              <w:rPr>
                <w:rFonts w:ascii="Times New Roman;sans-serif" w:hAnsi="Times New Roman;sans-serif"/>
                <w:b/>
                <w:color w:val="000000"/>
                <w:sz w:val="24"/>
              </w:rPr>
              <w:t>If Company achieves the 75th percentile Relative TSR or greater, the number of Shares to be delivered under the award will be 120% of the Target Award</w:t>
            </w:r>
          </w:p>
        </w:tc>
      </w:tr>
    </w:tbl>
    <w:p>
      <w:pPr>
        <w:pStyle w:val="TextBody"/>
        <w:bidi w:val="0"/>
        <w:spacing w:before="0" w:after="24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For Paramount Global Relative TSR achievement at an intermediate point between the 25th and 50th percentile, or between the 50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percentile and the 75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percentile, the number of Shares to be delivered will be interpolated between the respective percentages of Target Award at each of the percentiles. For example, if the Company were to achieve the 60th percentile Relative TSR, 108% of the Target Award would be delivered pursuant to this Section 1.2(a). Fractional Shares shall be rounded up to the nearest whole share.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determining the Company’s percentile rank, (i) any entity that filed for bankruptcy protection under the United States Bankruptcy Code during the Performance Period shall be assigned the lowest order of any entity in the Reference Group, and (ii) any entity that is acquired during the Performance Period, or otherwise no longer listed on a national securities exchange at the end of the Performance Period, shall be excluded from the Reference Group.</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provided herein, the PSUs earned shall vest on the Determination Date, subject to the Participant’s continuous Service with the Company from the Date of Grant through the Determination Date. Any PSUs applicable to the Performance Target(s) and Performance Period that are no longer eligible to vest (due to the failure to achieve the applicable Performance Target achievement level(s)) shall immediately be forfeited and cancelled on the Determination Date, and the Participant shall not be entitled to any compensation or other amount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Settlement and Delivery of Shares</w:t>
      </w:r>
      <w:r>
        <w:rPr>
          <w:rFonts w:ascii="Times New Roman;sans-serif" w:hAnsi="Times New Roman;sans-serif"/>
          <w:b w:val="false"/>
          <w:color w:val="000000"/>
          <w:sz w:val="24"/>
        </w:rPr>
        <w:t xml:space="preserve">. Shares delivered in settlement of the Performance Share Units will be delivered to the Participant (or, in the case of the Participant’s death, to the person or persons who acquired the right to receive such shares by will, the laws of descent and distribution, or beneficiary designation), net of any shares withheld for Tax-Related Items pursuant to Section 4.2, as soon as administratively practicable following the Determination Date and the Committee’s certification as to the Company’s Relative TSR performance for the Performance Period;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no event shall settlement occur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calendar year following the Determination Date. The Company will settle vested PSUs by delivering the corresponding number of shares of Class B Common Stock (subject to withholding to satisfy Tax-Related Items) to the Participant's stock plan account maintained with Morgan Stanley (or its successor as service provider to the Company's equity compensation plans). Following settlement, the Participant may direct Morgan Stanley (or its successor) to sell some or all of such shares, may leave such shares in such stock plan account or may transfer them to an account that the Participant maintains with a bank or broker by following the instructions made available to the Participant by the Company or on behalf of the Company by Morgan Stanley or its successor, as applicable. To the extent such shares are automatically swept from the Participant’s Morgan Stanley stock plan account to a companion brokerage account maintained by an affiliate of Morgan Stanley, references to Morgan Stanley in the immediately preceding sentence shall include such Morgan Stanley affiliate that maintains the companion brokerage account.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Dividend Equivalents</w:t>
      </w:r>
      <w:r>
        <w:rPr>
          <w:rFonts w:ascii="Times New Roman;sans-serif" w:hAnsi="Times New Roman;sans-serif"/>
          <w:b w:val="false"/>
          <w:color w:val="000000"/>
          <w:sz w:val="24"/>
        </w:rPr>
        <w:t xml:space="preserve">. If the Company pays regular cash dividends on Class B Common Stock, Dividend Equivalents shall accrue on the PSUs until the PSUs are settled. The Company will credit such Dividend Equivalents when it pays the corresponding dividend on the Class B Common Stock. Accrued Dividend Equivalents will be subject to the same earning and forfeiture conditions as the underlying PSUs on which the Dividend Equivalents were accrued. Accrued Dividend Equivalents that have been credited to the Participant’s account shall be paid in cash (reduced by amounts necessary to satisfy the Tax Related Items) through payroll in a lump sum as soon as administratively practicable after the date the PSUs on which the Dividend Equivalents accrued are settled;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if PSUs are scheduled to be settled between a dividend record date and a dividend payment date, the Dividend Equivalents payable with respect to the PSUs on account of such dividend will be paid in a lump sum based on the dividend payment date. Notwithstanding the foregoing, in no event shall Dividend Equivalents be paid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calendar year following the calendar year in which the PSUs are earned.</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decision to pay a dividend and, if so, the amount of any such dividend, is determined by the Company in its sole discretion.  Accrued Dividend Equivalents will not be paid with respect to any PSUs that are cancelled. Dividend Equivalents will not be credited with any interest or other return between the date they accrue and the date they are paid to the Participant.</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Termination of Employment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If, at the time of a Participant’s Termination of Employment, the Participant is a party to an employment agreement with the Company or one of its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Subsidiaries or is covered by a written severance arrangement for the benefit of Company employees, in either case that contains provisions different from those set forth in Section 1.2(d)(2) below, then such different provisions will control so long as they are in effect and applicable to the Participant at the time of the Participant’s Termination of Employment. Further, if any such written arrangement should provide for accelerated vesting of outstanding PSUs, then unless otherwise provided in the terms of such arrangement, such PSUs shall be deemed earned at the Target Award and settled as soon as administratively practicable following the Participant’s termination date (without requirement by the Committee to certify performance), but in no event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calendar year following the Participant’s termination date. In the event that any such provision would cause the PSUs to be subject to the requirements of Section 409A, the vesting and settlement of the PSUs shall also comply with Section 4.6 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2A2A2A"/>
          <w:sz w:val="24"/>
        </w:rPr>
        <w:t xml:space="preserve">Otherwise, in the event that the Participant incurs a Termination of Employment: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(A)due to the Participant’s death or Permanent Disability: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1)prior to the Determination Date, then the Target Award (and all unvested Dividend Equivalents accrued thereon) will be deemed earned, certification by the Committee with respect to such PSUs shall not be required, and such PSUs will be settled as soon as administratively practicable following the Participant’s termination date, but in no event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of the calendar year following the Participant’s termination date. Any PSUs in excess of the Target Award will be cancelled immediately; and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2)after the Determination Date and prior to settlement of the PSUs, the number of shares of Class B Common Stock that the Participant will receive will be the Shares determined in accordance with Section 1.2(a) and such Shares and any Dividend Equivalents accrued on the underlying PSUs will be delivered in accordance with Section 1.2(b) and Section 1.2(c), respectively.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(B)for any reason other than due to the Participant’s death or Permanent Disability, then, unless otherwise determined by the Committee, the Participant shall forfeit all unearned PSUs (and all unearned Dividend Equivalents accrued thereon) as of the date of such Termination of Employment. Any PSUs that have been earned as of the date of Termination of Employment will be settled in accordance with Section 1.2(b).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II</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EFFECT OF CERTAIN CORPORATE CHANGES</w:t>
      </w:r>
    </w:p>
    <w:p>
      <w:pPr>
        <w:pStyle w:val="TextBody"/>
        <w:bidi w:val="0"/>
        <w:spacing w:lineRule="auto" w:line="288" w:before="0" w:after="2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of a merger, consolidation, stock split, reverse stock split, dividend, distribution, combination, reclassification, reorganization, split-up, spin-off, split-off, or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4"/>
        </w:rPr>
      </w:pPr>
      <w:r>
        <w:rPr>
          <w:rFonts w:ascii="Times New Roman;sans-serif" w:hAnsi="Times New Roman;sans-serif"/>
          <w:b w:val="false"/>
          <w:color w:val="000000"/>
          <w:sz w:val="24"/>
        </w:rPr>
        <w:t>recapitalization that changes the character, value, or amount of the Class B Common Stock or any other changes in the corporate structure, equity securities or capital structure of the Company, the Committee shall make such adjustments, if any, to the number and kind of securities subject to the Performance Share Units, as it deems appropriate. The Committee may, in its sole discretion, also make such other adjustments as it deems appropriate in order to preserve the benefits or potential benefits intended to be made available hereunder. Such determinations by the Committee shall be conclusive and binding on all persons for all purposes.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III</w:t>
      </w:r>
    </w:p>
    <w:p>
      <w:pPr>
        <w:pStyle w:val="TextBody"/>
        <w:bidi w:val="0"/>
        <w:spacing w:lineRule="auto" w:line="288" w:before="0" w:after="220"/>
        <w:jc w:val="center"/>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used herein, the following terms shall have the following meanings:</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 xml:space="preserve">shall mean the Board of Directors of the Company.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Certificate</w:t>
      </w:r>
      <w:r>
        <w:rPr>
          <w:color w:val="000000"/>
        </w:rPr>
        <w:t xml:space="preserve">” </w:t>
      </w:r>
      <w:r>
        <w:rPr>
          <w:rFonts w:ascii="Times New Roman;sans-serif" w:hAnsi="Times New Roman;sans-serif"/>
          <w:b w:val="false"/>
          <w:color w:val="000000"/>
          <w:sz w:val="24"/>
        </w:rPr>
        <w:t xml:space="preserve">shall have the meaning set forth in Section 1.1 hereof.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(c)</w:t>
      </w:r>
      <w:r>
        <w:rPr>
          <w:color w:val="000000"/>
          <w:u w:val="single"/>
        </w:rPr>
        <w:t>“</w:t>
      </w:r>
      <w:r>
        <w:rPr>
          <w:rFonts w:ascii="Times New Roman;sans-serif" w:hAnsi="Times New Roman;sans-serif"/>
          <w:b w:val="false"/>
          <w:color w:val="000000"/>
          <w:sz w:val="24"/>
          <w:u w:val="single"/>
        </w:rPr>
        <w:t>Class B Common Stock</w:t>
      </w:r>
      <w:r>
        <w:rPr>
          <w:color w:val="000000"/>
        </w:rPr>
        <w:t xml:space="preserve">” </w:t>
      </w:r>
      <w:r>
        <w:rPr>
          <w:rFonts w:ascii="Times New Roman;sans-serif" w:hAnsi="Times New Roman;sans-serif"/>
          <w:b w:val="false"/>
          <w:color w:val="000000"/>
          <w:sz w:val="24"/>
        </w:rPr>
        <w:t xml:space="preserve">shall mean shares of Class B Common Stock, par value $0.001 per share, of the Company.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 xml:space="preserve">shall mean the U.S. Internal Revenue Code of 1986, as amended, including any successor law thereto and the rules, regulations and guidance promulgated thereunder.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Committee</w:t>
      </w:r>
      <w:r>
        <w:rPr>
          <w:color w:val="000000"/>
        </w:rPr>
        <w:t xml:space="preserve">” </w:t>
      </w:r>
      <w:r>
        <w:rPr>
          <w:rFonts w:ascii="Times New Roman;sans-serif" w:hAnsi="Times New Roman;sans-serif"/>
          <w:b w:val="false"/>
          <w:color w:val="000000"/>
          <w:sz w:val="24"/>
        </w:rPr>
        <w:t xml:space="preserve">shall mean the Compensation Committee of the Board (or such other committee(s) as may be appointed or designated by the Board to administer the Plan).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Company</w:t>
      </w:r>
      <w:r>
        <w:rPr>
          <w:color w:val="000000"/>
        </w:rPr>
        <w:t xml:space="preserve">” </w:t>
      </w:r>
      <w:r>
        <w:rPr>
          <w:rFonts w:ascii="Times New Roman;sans-serif" w:hAnsi="Times New Roman;sans-serif"/>
          <w:b w:val="false"/>
          <w:color w:val="000000"/>
          <w:sz w:val="24"/>
        </w:rPr>
        <w:t xml:space="preserve">shall mean Paramount Global, a Delaware corporation, or any successor.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Date of Grant</w:t>
      </w:r>
      <w:r>
        <w:rPr>
          <w:color w:val="000000"/>
        </w:rPr>
        <w:t xml:space="preserve">” </w:t>
      </w:r>
      <w:r>
        <w:rPr>
          <w:rFonts w:ascii="Times New Roman;sans-serif" w:hAnsi="Times New Roman;sans-serif"/>
          <w:b w:val="false"/>
          <w:color w:val="000000"/>
          <w:sz w:val="24"/>
        </w:rPr>
        <w:t xml:space="preserve">shall mean the grant date set forth on the Certificate.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Determination Date</w:t>
      </w:r>
      <w:r>
        <w:rPr>
          <w:color w:val="000000"/>
        </w:rPr>
        <w:t xml:space="preserve">” </w:t>
      </w:r>
      <w:r>
        <w:rPr>
          <w:rFonts w:ascii="Times New Roman;sans-serif" w:hAnsi="Times New Roman;sans-serif"/>
          <w:b w:val="false"/>
          <w:color w:val="000000"/>
          <w:sz w:val="24"/>
        </w:rPr>
        <w:t>means the last calendar day of the Performance Period.</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Dividend Equivalent</w:t>
      </w:r>
      <w:r>
        <w:rPr>
          <w:color w:val="000000"/>
        </w:rPr>
        <w:t xml:space="preserve">” </w:t>
      </w:r>
      <w:r>
        <w:rPr>
          <w:rFonts w:ascii="Times New Roman;sans-serif" w:hAnsi="Times New Roman;sans-serif"/>
          <w:b w:val="false"/>
          <w:color w:val="000000"/>
          <w:sz w:val="24"/>
        </w:rPr>
        <w:t>shall mean an amount in cash equal to the regular cash dividend, if any, that would have been paid on the number of shares of Class B Common Stock underlying the PSUs.</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val="false"/>
          <w:color w:val="000000"/>
          <w:sz w:val="24"/>
          <w:u w:val="single"/>
        </w:rPr>
        <w:t>Fair Market Value</w:t>
      </w:r>
      <w:r>
        <w:rPr>
          <w:color w:val="000000"/>
        </w:rPr>
        <w:t xml:space="preserve">” </w:t>
      </w:r>
      <w:r>
        <w:rPr>
          <w:rFonts w:ascii="Times New Roman;sans-serif" w:hAnsi="Times New Roman;sans-serif"/>
          <w:b w:val="false"/>
          <w:color w:val="000000"/>
          <w:sz w:val="24"/>
        </w:rPr>
        <w:t>of a share of Class B Common Stock on a given date shall be, unless otherwise determined by the Committee, the closing price on such date on the NASDAQ Global Select Market or, if different, the principal stock exchange on which the Class B Common Stock is then listed, as reported by any authoritative source selected by the Company in its discretion. If such date is not a business day on which the Fair Market Value can be determined, then the Fair Market Value shall be determined as of the last preceding business day on which the Fair Market Value can be determined.</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 xml:space="preserve">has the meaning assigned to such term in the Participant’s employment agreement with the Company or a Subsidiary as then in effect, if any.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shall mean the employee named in the Certificate.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(m)</w:t>
      </w:r>
      <w:r>
        <w:rPr>
          <w:color w:val="000000"/>
        </w:rPr>
        <w:t>“</w:t>
      </w:r>
      <w:r>
        <w:rPr>
          <w:rFonts w:ascii="Times New Roman;sans-serif" w:hAnsi="Times New Roman;sans-serif"/>
          <w:b w:val="false"/>
          <w:color w:val="000000"/>
          <w:sz w:val="24"/>
          <w:u w:val="single"/>
        </w:rPr>
        <w:t>Performance Share Units</w:t>
      </w:r>
      <w:r>
        <w:rPr>
          <w:color w:val="000000"/>
        </w:rPr>
        <w:t xml:space="preserve">” </w:t>
      </w:r>
      <w:r>
        <w:rPr>
          <w:rFonts w:ascii="Times New Roman;sans-serif" w:hAnsi="Times New Roman;sans-serif"/>
          <w:b w:val="false"/>
          <w:color w:val="000000"/>
          <w:sz w:val="24"/>
        </w:rPr>
        <w:t>shall mean notional units of measurement representing the contractual right granted to the Participant to receive shares of Class B Common Stock pursuant to this Award, subject to these Terms and Conditions.</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(n)</w:t>
      </w:r>
      <w:r>
        <w:rPr>
          <w:color w:val="000000"/>
        </w:rPr>
        <w:t>“</w:t>
      </w:r>
      <w:r>
        <w:rPr>
          <w:rFonts w:ascii="Times New Roman;sans-serif" w:hAnsi="Times New Roman;sans-serif"/>
          <w:b w:val="false"/>
          <w:color w:val="000000"/>
          <w:sz w:val="24"/>
          <w:u w:val="single"/>
        </w:rPr>
        <w:t>Permanent Disability</w:t>
      </w:r>
      <w:r>
        <w:rPr>
          <w:color w:val="000000"/>
        </w:rPr>
        <w:t xml:space="preserve">” </w:t>
      </w:r>
      <w:r>
        <w:rPr>
          <w:rFonts w:ascii="Times New Roman;sans-serif" w:hAnsi="Times New Roman;sans-serif"/>
          <w:b w:val="false"/>
          <w:color w:val="000000"/>
          <w:sz w:val="24"/>
        </w:rPr>
        <w:t xml:space="preserve">shall have the same meaning as such term or a similar term has under the long-term disability plan or policy maintained by the Company or a Subsidiary under which the Participant has coverage and which is in effect on the date of the onset of the Participant's disability;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if the Participant is not covered by a long-term disability plan or policy, then "Permanent Disability" shall have the meaning set forth in Section 22(e) of the Code.</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(o)</w:t>
      </w:r>
      <w:r>
        <w:rPr>
          <w:color w:val="000000"/>
        </w:rPr>
        <w:t>“</w:t>
      </w:r>
      <w:r>
        <w:rPr>
          <w:rFonts w:ascii="Times New Roman;sans-serif" w:hAnsi="Times New Roman;sans-serif"/>
          <w:b w:val="false"/>
          <w:color w:val="000000"/>
          <w:sz w:val="24"/>
          <w:u w:val="single"/>
        </w:rPr>
        <w:t>Plan</w:t>
      </w:r>
      <w:r>
        <w:rPr>
          <w:color w:val="000000"/>
        </w:rPr>
        <w:t xml:space="preserve">” </w:t>
      </w:r>
      <w:r>
        <w:rPr>
          <w:rFonts w:ascii="Times New Roman;sans-serif" w:hAnsi="Times New Roman;sans-serif"/>
          <w:b w:val="false"/>
          <w:color w:val="000000"/>
          <w:sz w:val="24"/>
        </w:rPr>
        <w:t xml:space="preserve">shall mean the ViacomCBS Inc. 2009 Long-Term Incentive Plan, as may be amended from time to time.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(p)</w:t>
      </w:r>
      <w:r>
        <w:rPr>
          <w:color w:val="000000"/>
        </w:rPr>
        <w:t>“</w:t>
      </w:r>
      <w:r>
        <w:rPr>
          <w:rFonts w:ascii="Times New Roman;sans-serif" w:hAnsi="Times New Roman;sans-serif"/>
          <w:b w:val="false"/>
          <w:color w:val="000000"/>
          <w:sz w:val="24"/>
          <w:u w:val="single"/>
        </w:rPr>
        <w:t>Reference Group</w:t>
      </w:r>
      <w:r>
        <w:rPr>
          <w:color w:val="000000"/>
        </w:rPr>
        <w:t xml:space="preserve">” </w:t>
      </w:r>
      <w:r>
        <w:rPr>
          <w:rFonts w:ascii="Times New Roman;sans-serif" w:hAnsi="Times New Roman;sans-serif"/>
          <w:b w:val="false"/>
          <w:color w:val="000000"/>
          <w:sz w:val="24"/>
        </w:rPr>
        <w:t>means, in addition to the Company, the following companies:</w:t>
      </w:r>
    </w:p>
    <w:tbl>
      <w:tblPr>
        <w:tblW w:w="9089" w:type="dxa"/>
        <w:jc w:val="left"/>
        <w:tblInd w:w="0" w:type="dxa"/>
        <w:tblLayout w:type="fixed"/>
        <w:tblCellMar>
          <w:top w:w="28" w:type="dxa"/>
          <w:left w:w="28" w:type="dxa"/>
          <w:bottom w:w="28" w:type="dxa"/>
          <w:right w:w="28" w:type="dxa"/>
        </w:tblCellMar>
      </w:tblPr>
      <w:tblGrid>
        <w:gridCol w:w="1735"/>
        <w:gridCol w:w="1529"/>
        <w:gridCol w:w="1536"/>
        <w:gridCol w:w="1251"/>
        <w:gridCol w:w="1251"/>
        <w:gridCol w:w="1787"/>
      </w:tblGrid>
      <w:tr>
        <w:trPr/>
        <w:tc>
          <w:tcPr>
            <w:tcW w:w="173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[Alphabet Inc. </w:t>
            </w:r>
            <w:r>
              <w:rPr>
                <w:rFonts w:ascii="Times New Roman;sans-serif" w:hAnsi="Times New Roman;sans-serif"/>
                <w:b w:val="false"/>
                <w:color w:val="000000"/>
                <w:sz w:val="22"/>
              </w:rPr>
              <w:t>(NASDAQ: GOOGL)</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Netflix,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Altice USA,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Nextstar Media Group,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AMC Networks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Omincom Group Inc. </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Cable One,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Pinterest,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Charter Communications,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Roku,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CineMark Holdings,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Sinclair Broadcast Group,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Clear Channel Outdoor Holdings, Inc. </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Sirius XM Holdings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Comcast Corporation</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Snap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EchoStar Corporation</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Spotify Technology S.A.</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Fox Corporation </w:t>
            </w:r>
            <w:r>
              <w:rPr>
                <w:rFonts w:ascii="Times New Roman;sans-serif" w:hAnsi="Times New Roman;sans-serif"/>
                <w:b w:val="false"/>
                <w:color w:val="000000"/>
                <w:sz w:val="22"/>
              </w:rPr>
              <w:t>(NASDAQ: FOXA)</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TEGNA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Gray Television, Inc. </w:t>
            </w:r>
            <w:r>
              <w:rPr>
                <w:rFonts w:ascii="Times New Roman;sans-serif" w:hAnsi="Times New Roman;sans-serif"/>
                <w:b w:val="false"/>
                <w:color w:val="000000"/>
                <w:sz w:val="22"/>
              </w:rPr>
              <w:t>(NYSE: GTN)</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E.W. Scripps Company</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iHeartMedia,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The Interpublic Group of Companies, Inc. </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IMAX Corporation</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Trade Desk,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Liberty Global plc (NASDAQ: LBTY.K)</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The Walt Disney Company</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Lions Gate Entertainment Corp. </w:t>
            </w:r>
            <w:r>
              <w:rPr>
                <w:rFonts w:ascii="Times New Roman;sans-serif" w:hAnsi="Times New Roman;sans-serif"/>
                <w:b w:val="false"/>
                <w:color w:val="000000"/>
                <w:sz w:val="22"/>
              </w:rPr>
              <w:t>(NYSE: LGF.A)</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TKO Group Holdings, Inc.</w:t>
            </w:r>
          </w:p>
        </w:tc>
      </w:tr>
      <w:tr>
        <w:trPr/>
        <w:tc>
          <w:tcPr>
            <w:tcW w:w="48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Meta Platforms, Inc.</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Warner Bros. Discovery, Inc.]</w:t>
            </w:r>
          </w:p>
        </w:tc>
      </w:tr>
    </w:tbl>
    <w:p>
      <w:pPr>
        <w:pStyle w:val="TextBody"/>
        <w:bidi w:val="0"/>
        <w:spacing w:lineRule="auto" w:line="288" w:before="0" w:after="140"/>
        <w:ind w:left="0" w:right="0" w:firstLine="720"/>
        <w:jc w:val="both"/>
        <w:rPr/>
      </w:pPr>
      <w:r>
        <w:rPr>
          <w:rFonts w:ascii="Times New Roman;sans-serif" w:hAnsi="Times New Roman;sans-serif"/>
          <w:b w:val="false"/>
          <w:color w:val="000000"/>
          <w:sz w:val="24"/>
        </w:rPr>
        <w:t>(q)</w:t>
      </w:r>
      <w:r>
        <w:rPr>
          <w:color w:val="000000"/>
        </w:rPr>
        <w:t>“</w:t>
      </w:r>
      <w:r>
        <w:rPr>
          <w:rFonts w:ascii="Times New Roman;sans-serif" w:hAnsi="Times New Roman;sans-serif"/>
          <w:b w:val="false"/>
          <w:color w:val="000000"/>
          <w:sz w:val="24"/>
          <w:u w:val="single"/>
        </w:rPr>
        <w:t>Relative TSR</w:t>
      </w:r>
      <w:r>
        <w:rPr>
          <w:color w:val="000000"/>
        </w:rPr>
        <w:t xml:space="preserve">” </w:t>
      </w:r>
      <w:r>
        <w:rPr>
          <w:rFonts w:ascii="Times New Roman;sans-serif" w:hAnsi="Times New Roman;sans-serif"/>
          <w:b w:val="false"/>
          <w:color w:val="000000"/>
          <w:sz w:val="24"/>
        </w:rPr>
        <w:t xml:space="preserve">means for the Class B Common Stock and for the common stock of each company in the Reference Group, the percentage change in value (positive or negative) over the Performance Period as measured by dividing (i) the sum of (A) each company’s cumulative value of dividends and other distributions in respect of its common stock for the Performance Period, assuming dividend reinvestment, and (B) the difference (positive or negative) between each company’s common stock price on the first and last day of the Performance Period (calculated on the basis of the average closing prices over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140"/>
        <w:jc w:val="both"/>
        <w:rPr>
          <w:rFonts w:ascii="Times New Roman;sans-serif" w:hAnsi="Times New Roman;sans-serif"/>
          <w:b w:val="false"/>
          <w:color w:val="000000"/>
          <w:sz w:val="24"/>
        </w:rPr>
      </w:pPr>
      <w:r>
        <w:rPr>
          <w:rFonts w:ascii="Times New Roman;sans-serif" w:hAnsi="Times New Roman;sans-serif"/>
          <w:b w:val="false"/>
          <w:color w:val="000000"/>
          <w:sz w:val="24"/>
        </w:rPr>
        <w:t>the 20-day trading period starting on the first day of the Performance Period and the average closing prices over the 20-day trading period immediately prior to and including the Determination Date, in each case, as reported by Bloomberg L.P. (or such other reporting service that the Committee may designate from time to time)); by (ii) the common stock price on the first day of the Performance Period, calculated on the basis described above. Appropriate and equitable adjustments will be made to account for stock splits and reverse stock splits. Relative TSR will be determined by the Committee in a manner consistent with this definition. For purposes of computing Relative TSR, if a company has more than one class of common stock outstanding, then only the class for which the ticker symbol is set forth in the Reference Group definition herein shall be taken into account.</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(r)</w:t>
      </w:r>
      <w:r>
        <w:rPr>
          <w:color w:val="000000"/>
        </w:rPr>
        <w:t>“</w:t>
      </w:r>
      <w:r>
        <w:rPr>
          <w:rFonts w:ascii="Times New Roman;sans-serif" w:hAnsi="Times New Roman;sans-serif"/>
          <w:b w:val="false"/>
          <w:color w:val="000000"/>
          <w:sz w:val="24"/>
          <w:u w:val="single"/>
        </w:rPr>
        <w:t>Shares</w:t>
      </w:r>
      <w:r>
        <w:rPr>
          <w:color w:val="000000"/>
        </w:rPr>
        <w:t xml:space="preserve">” </w:t>
      </w:r>
      <w:r>
        <w:rPr>
          <w:rFonts w:ascii="Times New Roman;sans-serif" w:hAnsi="Times New Roman;sans-serif"/>
          <w:b w:val="false"/>
          <w:color w:val="000000"/>
          <w:sz w:val="24"/>
        </w:rPr>
        <w:t>means the number of shares of Class B Common Stock delivered following the Determination Date based on the Award Schedule and other provisions set forth in Section 1.2 hereof.</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(s)</w:t>
      </w:r>
      <w:r>
        <w:rPr>
          <w:color w:val="000000"/>
        </w:rPr>
        <w:t>“</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 xml:space="preserve">shall mean Section 409A of the Code and the rules, regulations and guidance promulgated thereunder from time to time. </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(t)</w:t>
      </w: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 xml:space="preserve">shall mean a corporation or other entity with respect to which the Company owns or controls, directly or indirectly, 50% or more of the outstanding shares of stock normally entitled to vote for the election of directors (or comparable voting power), provided that the Committee may also designate any other corporation or other entity in which the Company, directly or indirectly, has an equity or similar interest corresponding to less than 50% of such voting power as a Subsidiary for purposes of the Plan. </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(u)</w:t>
      </w:r>
      <w:r>
        <w:rPr>
          <w:color w:val="000000"/>
        </w:rPr>
        <w:t>“</w:t>
      </w:r>
      <w:r>
        <w:rPr>
          <w:rFonts w:ascii="Times New Roman;sans-serif" w:hAnsi="Times New Roman;sans-serif"/>
          <w:b w:val="false"/>
          <w:color w:val="000000"/>
          <w:sz w:val="24"/>
          <w:u w:val="single"/>
        </w:rPr>
        <w:t>Target Award</w:t>
      </w:r>
      <w:r>
        <w:rPr>
          <w:color w:val="000000"/>
        </w:rPr>
        <w:t xml:space="preserve">” </w:t>
      </w:r>
      <w:r>
        <w:rPr>
          <w:rFonts w:ascii="Times New Roman;sans-serif" w:hAnsi="Times New Roman;sans-serif"/>
          <w:b w:val="false"/>
          <w:color w:val="000000"/>
          <w:sz w:val="24"/>
        </w:rPr>
        <w:t>means the target number of shares, subject to the Company’s Relative TSR performance, reflected in the Certificate.</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val="false"/>
          <w:color w:val="000000"/>
          <w:sz w:val="24"/>
          <w:u w:val="single"/>
        </w:rPr>
        <w:t>Tax-Related Items</w:t>
      </w:r>
      <w:r>
        <w:rPr>
          <w:color w:val="000000"/>
        </w:rPr>
        <w:t xml:space="preserve">” </w:t>
      </w:r>
      <w:r>
        <w:rPr>
          <w:rFonts w:ascii="Times New Roman;sans-serif" w:hAnsi="Times New Roman;sans-serif"/>
          <w:b w:val="false"/>
          <w:color w:val="000000"/>
          <w:sz w:val="24"/>
        </w:rPr>
        <w:t>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(w)</w:t>
      </w:r>
      <w:r>
        <w:rPr>
          <w:color w:val="000000"/>
        </w:rPr>
        <w:t>“</w:t>
      </w:r>
      <w:r>
        <w:rPr>
          <w:rFonts w:ascii="Times New Roman;sans-serif" w:hAnsi="Times New Roman;sans-serif"/>
          <w:b w:val="false"/>
          <w:color w:val="000000"/>
          <w:sz w:val="24"/>
          <w:u w:val="single"/>
        </w:rPr>
        <w:t>Termination of Employment</w:t>
      </w:r>
      <w:r>
        <w:rPr>
          <w:color w:val="000000"/>
        </w:rPr>
        <w:t xml:space="preserve">” </w:t>
      </w:r>
      <w:r>
        <w:rPr>
          <w:rFonts w:ascii="Times New Roman;sans-serif" w:hAnsi="Times New Roman;sans-serif"/>
          <w:b w:val="false"/>
          <w:color w:val="000000"/>
          <w:sz w:val="24"/>
        </w:rPr>
        <w:t xml:space="preserve">shall mean, for purposes of the PSUs, when a Participant is no longer an employee of the Company or any of its Subsidiaries for any reason, including, without limitation, a reduction in force, a sale or divestiture or shut-down of the business for which the Participant works, the Participant's voluntary resignation; the Participant’s resignation with Good Reason (provided such right to resign for Good Reason applies to the Participant through their employment agreement); the Participant's termination with or without cause; or the Participant's retirement, death or Permanent Disability. Also, unless the Committee determines otherwise, the employment of a Participant who works for a Subsidiary shall terminate, for purposes of the PSUs, on the date on which the Participant's employing company ceases to be a Subsidiary. Further, unless the Committee determines or a Participant’s employment agreement provides otherwise, a Participant’s resignation in connection with the Participant’s acceptance of an offer of employment with the purchaser in a sale of the Participant’s employing company’s assets will be a “voluntary resignation.”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ARTICLE IV</w:t>
      </w:r>
    </w:p>
    <w:p>
      <w:pPr>
        <w:pStyle w:val="TextBody"/>
        <w:bidi w:val="0"/>
        <w:spacing w:lineRule="auto" w:line="288" w:before="0" w:after="80"/>
        <w:jc w:val="center"/>
        <w:rPr>
          <w:rFonts w:ascii="Times New Roman;sans-serif" w:hAnsi="Times New Roman;sans-serif"/>
          <w:b/>
          <w:color w:val="000000"/>
          <w:sz w:val="24"/>
        </w:rPr>
      </w:pPr>
      <w:r>
        <w:rPr>
          <w:rFonts w:ascii="Times New Roman;sans-serif" w:hAnsi="Times New Roman;sans-serif"/>
          <w:b/>
          <w:color w:val="000000"/>
          <w:sz w:val="24"/>
        </w:rPr>
        <w:t>MISCELLANEOUS</w:t>
      </w:r>
    </w:p>
    <w:p>
      <w:pPr>
        <w:pStyle w:val="TextBody"/>
        <w:bidi w:val="0"/>
        <w:spacing w:lineRule="auto" w:line="288" w:before="0" w:after="80"/>
        <w:ind w:left="0" w:right="0" w:firstLine="720"/>
        <w:jc w:val="both"/>
        <w:rPr/>
      </w:pPr>
      <w:r>
        <w:rPr>
          <w:rFonts w:ascii="Times New Roman;sans-serif" w:hAnsi="Times New Roman;sans-serif"/>
          <w:b w:val="false"/>
          <w:color w:val="000000"/>
          <w:sz w:val="24"/>
        </w:rPr>
        <w:t>Section 4.1</w:t>
      </w:r>
      <w:r>
        <w:rPr>
          <w:rFonts w:ascii="Times New Roman;sans-serif" w:hAnsi="Times New Roman;sans-serif"/>
          <w:b w:val="false"/>
          <w:color w:val="000000"/>
          <w:sz w:val="24"/>
          <w:u w:val="single"/>
        </w:rPr>
        <w:t>No Rights to Awards or Continued Employment</w:t>
      </w:r>
      <w:r>
        <w:rPr>
          <w:rFonts w:ascii="Times New Roman;sans-serif" w:hAnsi="Times New Roman;sans-serif"/>
          <w:b w:val="false"/>
          <w:color w:val="000000"/>
          <w:sz w:val="24"/>
        </w:rPr>
        <w:t>. None of the Certificate, the Plan, these terms and conditions, or any action taken in accordance with such documents shall confer upon the Participant any right to be employed by or to continue in the employment of the Company or any Subsidiary, or to be entitled to any remuneration or benefits not set forth in the Plan or the Terms and Conditions, including the right to receive any future awards under the Plan or any other plan of the Company or any Subsidiary or interfere with or limit the right of the Company or any Subsidiary to modify the terms of or terminate the Participant’s employment at any time for any reason. This Award is conditioned on the Participant remaining, on the Grant Date, (i) a paid employee or (ii) an employee on unpaid leave under the Family Medical Leave Act (or its local law equivalent in the Participant’s state and/or country of residence and/or employment, if different, in each case, “Protected Leave”). Subject to applicable law, the Company reserves the right to cancel or otherwise nullify an Award to a Participant who was on unpaid leave on the Grant Date that was not Protected Leave or otherwise related to the Participant’s status as a member of a protected class or person with a protected characteristic, in each case, under applicable law in the Participant’s country of residence and/or employment, if different.</w:t>
      </w:r>
    </w:p>
    <w:p>
      <w:pPr>
        <w:pStyle w:val="TextBody"/>
        <w:bidi w:val="0"/>
        <w:spacing w:lineRule="auto" w:line="288" w:before="0" w:after="80"/>
        <w:ind w:left="0" w:right="0" w:firstLine="720"/>
        <w:jc w:val="both"/>
        <w:rPr/>
      </w:pPr>
      <w:r>
        <w:rPr>
          <w:rFonts w:ascii="Times New Roman;sans-serif" w:hAnsi="Times New Roman;sans-serif"/>
          <w:b w:val="false"/>
          <w:color w:val="000000"/>
          <w:sz w:val="24"/>
        </w:rPr>
        <w:t>Section 4.2</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The Company or a Subsidiary, as appropriate, shall be entitled to deduct and withhold from any PSUs that vest and from any payment (including payment of accrued Dividend Equivalents) made with respect to the PSUs or otherwise under the Plan to the Participant, a Participant’s estate or any permitted transferee or beneficiary an amount sufficient to satisfy any Tax-Related Items. The amount sufficient to satisfy the Tax-Related Items with respect to the vesting of PSUs shall be calculated by valuing the shares of Class B Common Stock on the date of vesting or such other date as determined by the Committee, in its sole discretion. Further, any shares of Class B Common Stock that are retained to satisfy the Tax-Related Items shall be valued based on the Fair Market Value on the date that the amount sufficient to satisfy the Tax-Related Items is to be determined in accordance with the foregoing sentence. </w:t>
      </w:r>
    </w:p>
    <w:p>
      <w:pPr>
        <w:pStyle w:val="TextBody"/>
        <w:bidi w:val="0"/>
        <w:spacing w:lineRule="auto" w:line="288" w:before="0" w:after="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order to satisfy such Tax-Related Items, the Company may, in its discretion and subject to such conditions as it may determine, direct or permit, as a condition of the settlement of the PSUs, payment of the Dividend Equivalents, or delivery of any shares of Class B Common Stock, that such Tax-Related Items be satisfied by (i) withholding shares of Class B Common Stock (or in the case of Dividend Equivalents, cash) subject to the applicable PSUs; (ii) selling a portion of the shares of Class B Common Stock subject to the applicable PSUs and using the proceeds of such sale to satisfy the applicable Tax-Related Items; (iii) payment by the Participant of an additional cash amount equal to the amount of such Tax-Related Items; (iv) delivery of Class B Common Stock already owned by the Participant having a Fair Market Value equal to the amount of such Tax-Related Items; or (v) any other means available under applicable law and the Plan that the Company, in its sole discretion, determines to be appropriate in order to satisfy the Tax-Related Items. </w:t>
      </w:r>
    </w:p>
    <w:p>
      <w:pPr>
        <w:pStyle w:val="TextBody"/>
        <w:bidi w:val="0"/>
        <w:spacing w:lineRule="auto" w:line="288" w:before="0" w:after="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condition to receiving this grant of PSUs, the Participant has agreed to take, or to allow the Company to take, in its discretion, the foregoing actions to satisfy such Tax Related Items.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100"/>
        <w:ind w:left="0" w:right="0" w:firstLine="720"/>
        <w:jc w:val="both"/>
        <w:rPr/>
      </w:pPr>
      <w:r>
        <w:rPr>
          <w:rFonts w:ascii="Times New Roman;sans-serif" w:hAnsi="Times New Roman;sans-serif"/>
          <w:b w:val="false"/>
          <w:color w:val="000000"/>
          <w:sz w:val="24"/>
        </w:rPr>
        <w:t>Section 4.3.</w:t>
      </w:r>
      <w:r>
        <w:rPr>
          <w:rFonts w:ascii="Times New Roman;sans-serif" w:hAnsi="Times New Roman;sans-serif"/>
          <w:b w:val="false"/>
          <w:color w:val="000000"/>
          <w:sz w:val="24"/>
          <w:u w:val="single"/>
        </w:rPr>
        <w:t>Stockholder Rights: Unsecured Creditor Status</w:t>
      </w:r>
      <w:r>
        <w:rPr>
          <w:rFonts w:ascii="Times New Roman;sans-serif" w:hAnsi="Times New Roman;sans-serif"/>
          <w:b w:val="false"/>
          <w:color w:val="000000"/>
          <w:sz w:val="24"/>
        </w:rPr>
        <w:t>. The grant of PSUs under the Terms and Conditions shall not entitle the Participant, the Participant’s estate, or any permitted transferee or beneficiary to any rights of a holder of shares of Class B Common Stock, unless, and only when, the Participant, the Participant's estate, or any permitted transferee or beneficiary, as applicable, is registered on the books and records of the Company as a stockholder with respect to the shares of Class B Common Stock underlying the PSUs (or where the shares are permitted to be held in “street” name by a broker designated by the Participant (or the Participant’s estate, permitted transferee or beneficiary, as applicable) until such broker has been so registered), and shares are delivered to such party upon settlement of the PSUs or payment of the Dividend Equivalents. Unless otherwise determined by the Committee in its discretion or as specified herein, no adjustment shall be made for dividends or distributions or other rights in respect of any shares of Class B Common Stock for which the record date is prior to the date on which the Participant, a Participant’s estate, or any permitted transferee or beneficiary (or broker of any of the foregoing, if applicable) shall become the registered or beneficial holder of such shares of Class B Common Stock. PSUs constitute unsecured and unfunded obligations of the Company. As a holder of PSUs, the Participant shall have only the rights of a general unsecured creditor of the Company.</w:t>
      </w:r>
    </w:p>
    <w:p>
      <w:pPr>
        <w:pStyle w:val="TextBody"/>
        <w:bidi w:val="0"/>
        <w:spacing w:lineRule="auto" w:line="288" w:before="0" w:after="100"/>
        <w:ind w:left="0" w:right="0" w:firstLine="720"/>
        <w:jc w:val="both"/>
        <w:rPr/>
      </w:pPr>
      <w:r>
        <w:rPr>
          <w:rFonts w:ascii="Times New Roman;sans-serif" w:hAnsi="Times New Roman;sans-serif"/>
          <w:b w:val="false"/>
          <w:color w:val="000000"/>
          <w:sz w:val="24"/>
        </w:rPr>
        <w:t>Section 4.4</w:t>
      </w:r>
      <w:r>
        <w:rPr>
          <w:rFonts w:ascii="Times New Roman;sans-serif" w:hAnsi="Times New Roman;sans-serif"/>
          <w:b w:val="false"/>
          <w:color w:val="000000"/>
          <w:sz w:val="24"/>
          <w:u w:val="single"/>
        </w:rPr>
        <w:t>No Restriction on Right of Company to Effect Corporate Changes</w:t>
      </w:r>
      <w:r>
        <w:rPr>
          <w:rFonts w:ascii="Times New Roman;sans-serif" w:hAnsi="Times New Roman;sans-serif"/>
          <w:b w:val="false"/>
          <w:color w:val="000000"/>
          <w:sz w:val="24"/>
        </w:rPr>
        <w:t>. Neither the Plan, the Certificate (nor the terms set forth herein)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pStyle w:val="TextBody"/>
        <w:bidi w:val="0"/>
        <w:spacing w:lineRule="auto" w:line="288" w:before="0" w:after="100"/>
        <w:ind w:left="0" w:right="0" w:firstLine="720"/>
        <w:jc w:val="both"/>
        <w:rPr/>
      </w:pPr>
      <w:r>
        <w:rPr>
          <w:rFonts w:ascii="Times New Roman;sans-serif" w:hAnsi="Times New Roman;sans-serif"/>
          <w:b w:val="false"/>
          <w:color w:val="000000"/>
          <w:sz w:val="24"/>
        </w:rPr>
        <w:t>Section 4.5</w:t>
      </w:r>
      <w:r>
        <w:rPr>
          <w:rFonts w:ascii="Times New Roman;sans-serif" w:hAnsi="Times New Roman;sans-serif"/>
          <w:b w:val="false"/>
          <w:color w:val="000000"/>
          <w:sz w:val="24"/>
          <w:u w:val="single"/>
        </w:rPr>
        <w:t>No Advice Regarding Award</w:t>
      </w:r>
      <w:r>
        <w:rPr>
          <w:rFonts w:ascii="Times New Roman;sans-serif" w:hAnsi="Times New Roman;sans-serif"/>
          <w:b w:val="false"/>
          <w:color w:val="000000"/>
          <w:sz w:val="24"/>
        </w:rPr>
        <w:t>. The Company is not providing any tax, legal or financial advice, nor is the Company making any recommendations regarding the Participant's participation in the Plan, or his or her acquisition or sale of the shares of Class B Common Stock underlying the PSUs. The Participant should consult with his or her own personal tax, legal and financial advisors regarding his or her participation in the Plan before taking any action in relation thereto.</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4.6</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The intent of the Company is that payments and distributions under these Terms and Conditions comply with Section 409A of the Code and, accordingly, to the maximum extent permitted, these Terms and Conditions shall be interpreted to be in compliance therewith. If any provision of the Certificate (or set forth herein) contravenes any regulations or Treasury guidance promulgated under Section 409A or could cause the Participant to be required to recognize income for United States federal income tax purposes with respect to any PSUs before such PSUs are settled or to be subject to any additional tax or interest under Section 409A, such provision may be modified to maintain, to the maximum extent practicable, the original intent of the applicable provision without the imposition of any additional tax or interest under Section 409A. Moreover, any discretionary authority that the Board or the Committee may have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Certificate shall not be applicable to PSUs that are subject to Section 409A to the extent such discretionary authority will contravene Section 409A.</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Notwithstanding anything herein to the contrary, if the Participant is deemed on the date of his or her "separation from service" (as determined by the Company pursuant to Section 409A) to be one of the Company's "specified employees" (as determined by the Company pursuant to Section 409A), then any portion of any of the Participant's PSUs that constitutes deferred compensation within the meaning of Section 409A and is payable or distributable upon the Participant's separation from service shall not be made or provided prior to the earlier of (i) the six-month anniversary of the date of the Participant's separation from service or (ii) the date of Participant's death (the "</w:t>
      </w:r>
      <w:r>
        <w:rPr>
          <w:rFonts w:ascii="Times New Roman;sans-serif" w:hAnsi="Times New Roman;sans-serif"/>
          <w:b w:val="false"/>
          <w:color w:val="000000"/>
          <w:sz w:val="24"/>
          <w:u w:val="single"/>
        </w:rPr>
        <w:t>Delay Period</w:t>
      </w:r>
      <w:r>
        <w:rPr>
          <w:rFonts w:ascii="Times New Roman;sans-serif" w:hAnsi="Times New Roman;sans-serif"/>
          <w:b w:val="false"/>
          <w:color w:val="000000"/>
          <w:sz w:val="24"/>
        </w:rPr>
        <w:t>"). All payments and distributions delayed pursuant to this Section 4.6 shall be paid or distributed to the Participant within thirty days following the end of the Delay Period, subject to the satisfaction of any Tax-Related Items, and any remaining payments and distributions due thereafter under these Terms and Conditions shall be paid or distributed in accordance with the dates specified for them herein. In no event shall the Company or any of its Subsidiaries be liable for any tax, interest or penalties that may be imposed on the Participant with respect to Section 409A.</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4.7</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The Committee shall have broad authority to amend the Terms and Conditions without approval of the Participant to the extent necessary or desirable (a) to comply with, or take into account changes in, applicable tax laws, securities laws, accounting rules and other applicable laws, rules and regulations or (b) to ensure that the Participant is not required to recognize income for United States federal income tax purposes with respect to any PSUs before such PSUs are settled and is not subject to additional tax or interest under Section 409A with respect to any PSUs. The Committee shall not be obligated to make any such amendment, however, and neither the Committee nor the Company makes any representation or guarantee that the PSUs will not be subject to additional tax or interest under Section 409A.</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In the event of any conflict between the provisions of the Certificate or these terms and conditions (including the definitions set forth herein) and those of the Plan, the provisions of the Plan will control. Additionally, in the event of a conflict or ambiguity between the provisions of the Terms and Conditions and the provisions of any employment agreement that is in effect and applicable to the Participant with respect to the PSUs, the provisions of such employment agreement shall be deemed controlling to the extent such provisions are consistent with the provisions of the Plan and are more favorable to the Participant than the provisions of the Certificate and these terms and conditions.</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4.9</w:t>
      </w:r>
      <w:r>
        <w:rPr>
          <w:rFonts w:ascii="Times New Roman;sans-serif" w:hAnsi="Times New Roman;sans-serif"/>
          <w:b w:val="false"/>
          <w:color w:val="000000"/>
          <w:sz w:val="24"/>
          <w:u w:val="single"/>
        </w:rPr>
        <w:t>Breach of Covenants</w:t>
      </w:r>
      <w:r>
        <w:rPr>
          <w:rFonts w:ascii="Times New Roman;sans-serif" w:hAnsi="Times New Roman;sans-serif"/>
          <w:b w:val="false"/>
          <w:color w:val="000000"/>
          <w:sz w:val="24"/>
        </w:rPr>
        <w:t xml:space="preserve">. In the event that (i) the Participant is party to an employment agreement or other agreement with the Company or one of its Subsidiaries containing restrictive covenants relating to non-competition, no solicitation of employees, confidential information or proprietary property, and (ii) the Committee makes a good faith determination at any time that the Participant committed a material breach of any such restrictive covenants during the Participant’s employment or the one-year period after termination of the Participant’s employment with the Company or a Subsidiary for any reason, then </w:t>
      </w:r>
      <w:r>
        <w:rPr>
          <w:rFonts w:ascii="Times New Roman;sans-serif" w:hAnsi="Times New Roman;sans-serif"/>
          <w:b w:val="false"/>
          <w:i/>
          <w:color w:val="000000"/>
          <w:sz w:val="24"/>
        </w:rPr>
        <w:t xml:space="preserve">(x) </w:t>
      </w:r>
      <w:r>
        <w:rPr>
          <w:rFonts w:ascii="Times New Roman;sans-serif" w:hAnsi="Times New Roman;sans-serif"/>
          <w:b w:val="false"/>
          <w:color w:val="000000"/>
          <w:sz w:val="24"/>
        </w:rPr>
        <w:t xml:space="preserve">the Participant shall be required to return to the Company all Shares received by him or her as a result of the vesting of the PSUs during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the one year period prior to such breach or any time after such breach occurs, and the cash payment of related accrued Dividend Equivalents;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to the extent that any such Shares within the one-year period prior to such breach were sold by the Participant, the Participant shall remit to the Company any proceeds realized on the sale of such Shares, whether such sale occurred during the one year period prior to such breach or any time after such breach occurs, and (y) notwithstanding any provision of the Terms and Conditions or any other agreement between the Company and the Participant, including any agreement referenced in Section 1.2(d) hereof, under no circumstances will any unvested PSUs vest following the Committee's determination that Participant has committed a material breach.</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4.10</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Except to the extent provided in a valid and binding employment agreement or severance agreement, the Terms and Conditions constitute the entire understanding and agreement between the Company and the Participant with respect to the subject matter hereof and supersede all prior and contemporaneous agreements or understandings, inducements or conditions, express or implied, written or oral, between the Company and the Participant with respect hereto. The express terms of the Terms and Conditions control and supersede any course of performance or usage of the trade inconsistent with any of the terms hereof.</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4.11</w:t>
      </w:r>
      <w:r>
        <w:rPr>
          <w:rFonts w:ascii="Times New Roman;sans-serif" w:hAnsi="Times New Roman;sans-serif"/>
          <w:b w:val="false"/>
          <w:color w:val="000000"/>
          <w:sz w:val="24"/>
          <w:u w:val="single"/>
        </w:rPr>
        <w:t>Governmental Regulations</w:t>
      </w:r>
      <w:r>
        <w:rPr>
          <w:rFonts w:ascii="Times New Roman;sans-serif" w:hAnsi="Times New Roman;sans-serif"/>
          <w:b w:val="false"/>
          <w:color w:val="000000"/>
          <w:sz w:val="24"/>
        </w:rPr>
        <w:t>. The PSUs shall be subject to all applicable rules and regulations of governmental or other authorities.</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4.12</w:t>
      </w:r>
      <w:r>
        <w:rPr>
          <w:rFonts w:ascii="Times New Roman;sans-serif" w:hAnsi="Times New Roman;sans-serif"/>
          <w:b w:val="false"/>
          <w:color w:val="000000"/>
          <w:sz w:val="24"/>
          <w:u w:val="single"/>
        </w:rPr>
        <w:t>Repayment / Forfeiture</w:t>
      </w:r>
      <w:r>
        <w:rPr>
          <w:rFonts w:ascii="Times New Roman;sans-serif" w:hAnsi="Times New Roman;sans-serif"/>
          <w:b w:val="false"/>
          <w:color w:val="000000"/>
          <w:sz w:val="24"/>
        </w:rPr>
        <w:t>. Any benefits the Participant may receive hereunder shall be subject to repayment or forfeiture as may be required to comply with (i) Section 954 of the Dodd-Frank Wall Street Reform and Consumer Protection Act (regarding recovery of erroneously awarded compensation) and any implementing rules, regulations and/or listing standards of the U.S. Securities and Exchange Commission and of the national securities exchange on which the Company is then listed adopted in accordance therewith, (ii) similar rules under the laws of any other jurisdiction and (iii) the Paramount Global Clawback Policy and any policies adopted by the Company to implement such requirements, all to the extent determined by the Company in its discretion to be applicable to the Participant.</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4.13</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The headings of articles and sections herein are included solely for convenience of reference and shall not affect the meaning of any of the provisions of this document.</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Section 4.14</w:t>
      </w:r>
      <w:r>
        <w:rPr>
          <w:rFonts w:ascii="Times New Roman;sans-serif" w:hAnsi="Times New Roman;sans-serif"/>
          <w:b w:val="false"/>
          <w:color w:val="000000"/>
          <w:sz w:val="24"/>
          <w:u w:val="single"/>
        </w:rPr>
        <w:t>Electronic Delivery and Acceptance</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The Company may, in its sole discretion, deliver any documents related to Awards granted under the Plan and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electronic and/or voice activated system established and maintained by the Company or a third party designated by the Company. Further, unless the Participant declines an Award by written notice to the Company no later than 30 days following the grant date or such other date that may be communicated by the Company, the Company will automatically accept the Award, subject to all terms and conditions set forth in these Terms and Conditions, the Certificate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Plan, on the Participant’s behalf.  If the Participant properly declines the Award, the Award will be cancelled and the Participant will not be entitled to any benefits from the Award nor any compensation or benefits in lieu of the cancelled Award.</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4.15</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document are severable, and, if any one or more provisions are determined to be illegal or otherwise unenforceable, in whole or in part, the remaining provisions nevertheless shall be binding and enforceable.</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4.16</w:t>
      </w:r>
      <w:r>
        <w:rPr>
          <w:rFonts w:ascii="Times New Roman;sans-serif" w:hAnsi="Times New Roman;sans-serif"/>
          <w:b w:val="false"/>
          <w:color w:val="000000"/>
          <w:sz w:val="24"/>
          <w:u w:val="single"/>
        </w:rPr>
        <w:t>Governing Law and Venue</w:t>
      </w:r>
      <w:r>
        <w:rPr>
          <w:rFonts w:ascii="Times New Roman;sans-serif" w:hAnsi="Times New Roman;sans-serif"/>
          <w:b w:val="false"/>
          <w:color w:val="000000"/>
          <w:sz w:val="24"/>
        </w:rPr>
        <w:t>. These terms and conditions and all rights hereunder shall be construed in accordance with and governed by the laws of the State of Delaware, without regard to the conflict of law provisions. For purposes of litigating any dispute that arises under this PSU grant or these Terms and Conditions, the parties hereby submit and consent to the exclusive jurisdiction of the State of New York, agree that such litigation shall be conducted exclusively in the courts of New York, New York, or the federal courts for the United States for the Southern District of New York, where this grant is made and/or to be performed.</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4.17</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The Participant acknowledges that a waiver by the Company of breach of the Terms and Conditions shall not operate or be construed as a waiver of any other provision of the Terms and Conditions, or of any subsequent breach by the Participant or any other Participant.</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4.18</w:t>
      </w:r>
      <w:r>
        <w:rPr>
          <w:rFonts w:ascii="Times New Roman;sans-serif" w:hAnsi="Times New Roman;sans-serif"/>
          <w:b w:val="false"/>
          <w:color w:val="000000"/>
          <w:sz w:val="24"/>
          <w:u w:val="single"/>
        </w:rPr>
        <w:t>Stock Plan Accounts</w:t>
      </w:r>
      <w:r>
        <w:rPr>
          <w:rFonts w:ascii="Times New Roman;sans-serif" w:hAnsi="Times New Roman;sans-serif"/>
          <w:b w:val="false"/>
          <w:color w:val="000000"/>
          <w:sz w:val="24"/>
        </w:rPr>
        <w:t xml:space="preserve">. If the Participant is a Plan participant in the United States, the Company shall be entitled to access the information contained in the Participant’s individual stock plan account maintained by the applicable plan administrator;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Company may not disclose individual account information to third parties (other than the plan administrator), unless required by applicable law.</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4.19</w:t>
      </w:r>
      <w:r>
        <w:rPr>
          <w:rFonts w:ascii="Times New Roman;sans-serif" w:hAnsi="Times New Roman;sans-serif"/>
          <w:b w:val="false"/>
          <w:color w:val="000000"/>
          <w:sz w:val="24"/>
          <w:u w:val="single"/>
        </w:rPr>
        <w:t>Restriction on Transfer</w:t>
      </w:r>
      <w:r>
        <w:rPr>
          <w:rFonts w:ascii="Times New Roman;sans-serif" w:hAnsi="Times New Roman;sans-serif"/>
          <w:b w:val="false"/>
          <w:color w:val="000000"/>
          <w:sz w:val="24"/>
        </w:rPr>
        <w:t xml:space="preserve">. The rights of the Participant with respect to the PSUs (including any Dividend Equivalents associated with such PSUs) shall not be transferable, except by will, the laws of descent and distribution, or beneficiary designation (if permitted);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Committee may permit other transferability, subject to any conditions and limitations that it may, in its sole discretion, impose. </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Section 4.20     </w:t>
      </w:r>
      <w:r>
        <w:rPr>
          <w:rFonts w:ascii="Times New Roman;sans-serif" w:hAnsi="Times New Roman;sans-serif"/>
          <w:b w:val="false"/>
          <w:color w:val="000000"/>
          <w:sz w:val="24"/>
          <w:u w:val="single"/>
        </w:rPr>
        <w:t>Appendix</w:t>
      </w:r>
      <w:r>
        <w:rPr>
          <w:rFonts w:ascii="Times New Roman;sans-serif" w:hAnsi="Times New Roman;sans-serif"/>
          <w:b w:val="false"/>
          <w:color w:val="000000"/>
          <w:sz w:val="24"/>
        </w:rPr>
        <w:t>. Notwithstanding any provisions of the Terms and Conditions to the contrary, the PSUs and any shares of Class B Common Stock acquired at vesting shall be subject to any special terms and conditions for the Participant's country of residence (and/or country of employment, if different) set forth in an appendix to the Terms and Conditions (the “</w:t>
      </w:r>
      <w:r>
        <w:rPr>
          <w:rFonts w:ascii="Times New Roman;sans-serif" w:hAnsi="Times New Roman;sans-serif"/>
          <w:b w:val="false"/>
          <w:color w:val="000000"/>
          <w:sz w:val="24"/>
          <w:u w:val="single"/>
        </w:rPr>
        <w:t>Appendix</w:t>
      </w:r>
      <w:r>
        <w:rPr>
          <w:color w:val="000000"/>
        </w:rPr>
        <w:t>”</w:t>
      </w:r>
      <w:r>
        <w:rPr>
          <w:rFonts w:ascii="Times New Roman;sans-serif" w:hAnsi="Times New Roman;sans-serif"/>
          <w:b w:val="false"/>
          <w:color w:val="000000"/>
          <w:sz w:val="24"/>
        </w:rPr>
        <w:t>). Further, if the Participant transfers residence and/or employment to another country reflected in the Appendix, then, at the time of transfer, the special terms and conditions for such country will apply to the Participant to the extent the Company determines, in its sole discretion, that the application of such special terms and conditions is necessary or advisable in order to comply with local law, rules and regulations or to facilitate the operation and administration of the PSUs and the Plan (or the Company may establish alternative terms and conditions as may be necessary or advisable to accommodate the Participant’s transfer). In all circumstances, any applicable Appendix provisions shall constitute part of the 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w:t>
      </w:r>
    </w:p>
    <w:p>
      <w:pPr>
        <w:pStyle w:val="TextBody"/>
        <w:bidi w:val="0"/>
        <w:spacing w:lineRule="auto" w:line="288" w:before="0" w:after="240"/>
        <w:jc w:val="both"/>
        <w:rPr/>
      </w:pPr>
      <w:r>
        <w:rPr>
          <w:rFonts w:ascii="Times New Roman;sans-serif" w:hAnsi="Times New Roman;sans-serif"/>
          <w:b/>
          <w:color w:val="343434"/>
          <w:sz w:val="24"/>
        </w:rPr>
        <w:t xml:space="preserve">The Participant will be deemed to have agreed to all Terms and Conditions (as set forth in the Certificate, this document, and the Plan), unless the Participant provides the Company with a written notice of rejection within 30 days of receipt of the Terms and Conditions. Any such notice may be addressed to the Company at the following email address: </w:t>
      </w:r>
      <w:r>
        <w:rPr>
          <w:rFonts w:ascii="Times New Roman;sans-serif" w:hAnsi="Times New Roman;sans-serif"/>
          <w:b/>
          <w:color w:val="000000"/>
          <w:sz w:val="24"/>
        </w:rPr>
        <w:t>stockplanadministrator@paramount.com.</w:t>
      </w:r>
      <w:r>
        <w:rPr>
          <w:color w:val="343434"/>
        </w:rPr>
        <w:t xml:space="preserve"> </w:t>
      </w:r>
      <w:r>
        <w:rPr>
          <w:rFonts w:ascii="Times New Roman;sans-serif" w:hAnsi="Times New Roman;sans-serif"/>
          <w:b/>
          <w:color w:val="343434"/>
          <w:sz w:val="24"/>
        </w:rPr>
        <w:t>If a Participant properly declines the Award, the Award will be cancelled and such Participant will not be entitled to any benefits from the Award or any compensation or benefits in lieu of the cancelled Award.</w:t>
      </w:r>
    </w:p>
    <w:p>
      <w:pPr>
        <w:pStyle w:val="TextBody"/>
        <w:bidi w:val="0"/>
        <w:spacing w:lineRule="auto" w:line="288" w:before="0" w:after="240"/>
        <w:jc w:val="both"/>
        <w:rPr/>
      </w:pPr>
      <w:r>
        <w:rPr>
          <w:rFonts w:ascii="Times New Roman;sans-serif" w:hAnsi="Times New Roman;sans-serif"/>
          <w:b/>
          <w:color w:val="000000"/>
          <w:sz w:val="24"/>
        </w:rPr>
        <w:t>If there is a discrepancy between any information set forth on the Paramount Stock Plans webpage and the official records maintained by the Company, the official records will prevail</w:t>
      </w:r>
      <w:r>
        <w:rPr>
          <w:rFonts w:ascii="Times New Roman;sans-serif" w:hAnsi="Times New Roman;sans-serif"/>
          <w:b w:val="false"/>
          <w:color w:val="000000"/>
          <w:sz w:val="24"/>
        </w:rPr>
        <w:t>.</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31(a)</w:t>
      </w:r>
    </w:p>
    <w:p>
      <w:pPr>
        <w:pStyle w:val="TextBody"/>
        <w:bidi w:val="0"/>
        <w:spacing w:lineRule="auto" w:line="288" w:before="0" w:after="30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lineRule="auto" w:line="288" w:before="0" w:after="400"/>
        <w:jc w:val="left"/>
        <w:rPr>
          <w:rFonts w:ascii="Times New Roman;sans-serif" w:hAnsi="Times New Roman;sans-serif"/>
          <w:b w:val="false"/>
          <w:color w:val="000000"/>
          <w:sz w:val="22"/>
        </w:rPr>
      </w:pPr>
      <w:r>
        <w:rPr>
          <w:rFonts w:ascii="Times New Roman;sans-serif" w:hAnsi="Times New Roman;sans-serif"/>
          <w:b w:val="false"/>
          <w:color w:val="000000"/>
          <w:sz w:val="22"/>
        </w:rPr>
        <w:t>I, Robert M. Bakish, certify that:</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Paramount Global;</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400" w:after="300"/>
        <w:jc w:val="left"/>
        <w:rPr>
          <w:rFonts w:ascii="Times New Roman;sans-serif" w:hAnsi="Times New Roman;sans-serif"/>
          <w:b w:val="false"/>
          <w:color w:val="000000"/>
          <w:sz w:val="22"/>
        </w:rPr>
      </w:pPr>
      <w:r>
        <w:rPr>
          <w:rFonts w:ascii="Times New Roman;sans-serif" w:hAnsi="Times New Roman;sans-serif"/>
          <w:b w:val="false"/>
          <w:color w:val="000000"/>
          <w:sz w:val="22"/>
        </w:rPr>
        <w:t>Date: April 29, 2024</w:t>
      </w:r>
    </w:p>
    <w:tbl>
      <w:tblPr>
        <w:tblW w:w="4031" w:type="dxa"/>
        <w:jc w:val="left"/>
        <w:tblInd w:w="0" w:type="dxa"/>
        <w:tblLayout w:type="fixed"/>
        <w:tblCellMar>
          <w:top w:w="28" w:type="dxa"/>
          <w:left w:w="28" w:type="dxa"/>
          <w:bottom w:w="28" w:type="dxa"/>
          <w:right w:w="28" w:type="dxa"/>
        </w:tblCellMar>
      </w:tblPr>
      <w:tblGrid>
        <w:gridCol w:w="124"/>
        <w:gridCol w:w="109"/>
        <w:gridCol w:w="109"/>
        <w:gridCol w:w="1080"/>
        <w:gridCol w:w="1080"/>
        <w:gridCol w:w="15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M. Bakish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M. Bakish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31(b)</w:t>
      </w:r>
    </w:p>
    <w:p>
      <w:pPr>
        <w:pStyle w:val="TextBody"/>
        <w:bidi w:val="0"/>
        <w:spacing w:lineRule="auto" w:line="288" w:before="0" w:after="30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lineRule="auto" w:line="288" w:before="0" w:after="400"/>
        <w:jc w:val="left"/>
        <w:rPr>
          <w:rFonts w:ascii="Times New Roman;sans-serif" w:hAnsi="Times New Roman;sans-serif"/>
          <w:b w:val="false"/>
          <w:color w:val="000000"/>
          <w:sz w:val="22"/>
        </w:rPr>
      </w:pPr>
      <w:r>
        <w:rPr>
          <w:rFonts w:ascii="Times New Roman;sans-serif" w:hAnsi="Times New Roman;sans-serif"/>
          <w:b w:val="false"/>
          <w:color w:val="000000"/>
          <w:sz w:val="22"/>
        </w:rPr>
        <w:t>I, Naveen Chopra, certify that:</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Paramount Global;</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45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lineRule="auto" w:line="288" w:before="400" w:after="300"/>
        <w:jc w:val="left"/>
        <w:rPr>
          <w:rFonts w:ascii="Times New Roman;sans-serif" w:hAnsi="Times New Roman;sans-serif"/>
          <w:b w:val="false"/>
          <w:color w:val="000000"/>
          <w:sz w:val="22"/>
        </w:rPr>
      </w:pPr>
      <w:r>
        <w:rPr>
          <w:rFonts w:ascii="Times New Roman;sans-serif" w:hAnsi="Times New Roman;sans-serif"/>
          <w:b w:val="false"/>
          <w:color w:val="000000"/>
          <w:sz w:val="22"/>
        </w:rPr>
        <w:t>Date: April 29, 2024</w:t>
      </w:r>
    </w:p>
    <w:tbl>
      <w:tblPr>
        <w:tblW w:w="5096" w:type="dxa"/>
        <w:jc w:val="left"/>
        <w:tblInd w:w="0" w:type="dxa"/>
        <w:tblLayout w:type="fixed"/>
        <w:tblCellMar>
          <w:top w:w="28" w:type="dxa"/>
          <w:left w:w="28" w:type="dxa"/>
          <w:bottom w:w="28" w:type="dxa"/>
          <w:right w:w="28" w:type="dxa"/>
        </w:tblCellMar>
      </w:tblPr>
      <w:tblGrid>
        <w:gridCol w:w="124"/>
        <w:gridCol w:w="109"/>
        <w:gridCol w:w="109"/>
        <w:gridCol w:w="1391"/>
        <w:gridCol w:w="1391"/>
        <w:gridCol w:w="1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Naveen Chopra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Naveen Chopra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 18 U.S.C.  Section 1350,</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288" w:before="0" w:after="60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lineRule="auto" w:line="288" w:before="0" w:after="480"/>
        <w:ind w:left="0" w:right="0" w:firstLine="54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Paramount Global (the “Company”) on Form 10-Q for the period ended March 31, 2024 as filed with the Securities and Exchange Commission (the “Report”), I, Robert M. Bakish, President and Chief Executive Officer of the Company, certify that to my knowledge: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15(d) of the Securities Exchange Act of 1934; and</w:t>
      </w:r>
    </w:p>
    <w:p>
      <w:pPr>
        <w:pStyle w:val="TextBody"/>
        <w:bidi w:val="0"/>
        <w:spacing w:lineRule="auto" w:line="288" w:before="0" w:after="80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tbl>
      <w:tblPr>
        <w:tblW w:w="2412" w:type="dxa"/>
        <w:jc w:val="left"/>
        <w:tblInd w:w="0" w:type="dxa"/>
        <w:tblLayout w:type="fixed"/>
        <w:tblCellMar>
          <w:top w:w="28" w:type="dxa"/>
          <w:left w:w="28" w:type="dxa"/>
          <w:bottom w:w="28" w:type="dxa"/>
          <w:right w:w="28" w:type="dxa"/>
        </w:tblCellMar>
      </w:tblPr>
      <w:tblGrid>
        <w:gridCol w:w="738"/>
        <w:gridCol w:w="650"/>
        <w:gridCol w:w="652"/>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M. Bakish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M. Bakish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500" w:after="300"/>
              <w:jc w:val="left"/>
              <w:rPr>
                <w:rFonts w:ascii="Times New Roman;sans-serif" w:hAnsi="Times New Roman;sans-serif"/>
                <w:b w:val="false"/>
                <w:color w:val="000000"/>
                <w:sz w:val="22"/>
              </w:rPr>
            </w:pPr>
            <w:r>
              <w:rPr>
                <w:rFonts w:ascii="Times New Roman;sans-serif" w:hAnsi="Times New Roman;sans-serif"/>
                <w:b w:val="false"/>
                <w:color w:val="000000"/>
                <w:sz w:val="22"/>
              </w:rPr>
              <w:t>April 29,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32(b)</w: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Certification Pursuant to 18 U.S.C.  Section 1350,</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as adopted pursuant to</w:t>
      </w:r>
    </w:p>
    <w:p>
      <w:pPr>
        <w:pStyle w:val="TextBody"/>
        <w:bidi w:val="0"/>
        <w:spacing w:lineRule="auto" w:line="288" w:before="0" w:after="600"/>
        <w:jc w:val="center"/>
        <w:rPr>
          <w:rFonts w:ascii="Times New Roman;sans-serif" w:hAnsi="Times New Roman;sans-serif"/>
          <w:b/>
          <w:color w:val="000000"/>
          <w:sz w:val="24"/>
        </w:rPr>
      </w:pPr>
      <w:r>
        <w:rPr>
          <w:rFonts w:ascii="Times New Roman;sans-serif" w:hAnsi="Times New Roman;sans-serif"/>
          <w:b/>
          <w:color w:val="000000"/>
          <w:sz w:val="24"/>
        </w:rPr>
        <w:t>Section 906 of the Sarbanes-Oxley Act of 2002</w:t>
      </w:r>
    </w:p>
    <w:p>
      <w:pPr>
        <w:pStyle w:val="TextBody"/>
        <w:bidi w:val="0"/>
        <w:spacing w:lineRule="auto" w:line="288" w:before="0" w:after="480"/>
        <w:ind w:left="0" w:right="0" w:firstLine="540"/>
        <w:jc w:val="left"/>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Paramount Global (the “Company”) on Form 10-Q for the period ended March 31, 2024 as filed with the Securities and Exchange Commission (the ”Report”), I, Naveen Chopra, Executive Vice President, Chief Financial Officer of the Company, certify that to my knowledge: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1.    the Report fully complies with the requirements of section 13(a) or 15(d) of the Securities Exchange Act of 1934; and</w:t>
      </w:r>
    </w:p>
    <w:p>
      <w:pPr>
        <w:pStyle w:val="TextBody"/>
        <w:bidi w:val="0"/>
        <w:spacing w:lineRule="auto" w:line="288" w:before="0" w:after="800"/>
        <w:jc w:val="left"/>
        <w:rPr>
          <w:rFonts w:ascii="Times New Roman;sans-serif" w:hAnsi="Times New Roman;sans-serif"/>
          <w:b w:val="false"/>
          <w:color w:val="000000"/>
          <w:sz w:val="22"/>
        </w:rPr>
      </w:pPr>
      <w:r>
        <w:rPr>
          <w:rFonts w:ascii="Times New Roman;sans-serif" w:hAnsi="Times New Roman;sans-serif"/>
          <w:b w:val="false"/>
          <w:color w:val="000000"/>
          <w:sz w:val="22"/>
        </w:rPr>
        <w:t>2.    the information contained in the Report fairly presents, in all material respects, the financial condition and results of operations of the Company.</w:t>
      </w:r>
    </w:p>
    <w:tbl>
      <w:tblPr>
        <w:tblW w:w="2232" w:type="dxa"/>
        <w:jc w:val="left"/>
        <w:tblInd w:w="0" w:type="dxa"/>
        <w:tblLayout w:type="fixed"/>
        <w:tblCellMar>
          <w:top w:w="28" w:type="dxa"/>
          <w:left w:w="28" w:type="dxa"/>
          <w:bottom w:w="28" w:type="dxa"/>
          <w:right w:w="28" w:type="dxa"/>
        </w:tblCellMar>
      </w:tblPr>
      <w:tblGrid>
        <w:gridCol w:w="674"/>
        <w:gridCol w:w="592"/>
        <w:gridCol w:w="594"/>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Naveen Chopra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Naveen Chopra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500" w:after="300"/>
              <w:jc w:val="left"/>
              <w:rPr>
                <w:rFonts w:ascii="Times New Roman;sans-serif" w:hAnsi="Times New Roman;sans-serif"/>
                <w:b w:val="false"/>
                <w:color w:val="000000"/>
                <w:sz w:val="22"/>
              </w:rPr>
            </w:pPr>
            <w:r>
              <w:rPr>
                <w:rFonts w:ascii="Times New Roman;sans-serif" w:hAnsi="Times New Roman;sans-serif"/>
                <w:b w:val="false"/>
                <w:color w:val="000000"/>
                <w:sz w:val="22"/>
              </w:rPr>
              <w:t>April 29,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27154</Words>
  <Characters>149739</Characters>
  <CharactersWithSpaces>174986</CharactersWithSpaces>
  <Paragraphs>3116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