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3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3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30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300" w:after="283"/>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 xml:space="preserve">June 16, 2024 </w:t>
      </w:r>
    </w:p>
    <w:p>
      <w:pPr>
        <w:pStyle w:val="TextBody"/>
        <w:bidi w:val="0"/>
        <w:spacing w:lineRule="auto" w:line="288" w:before="300" w:after="283"/>
        <w:jc w:val="center"/>
        <w:rPr/>
      </w:pPr>
      <w:r>
        <w:rPr>
          <w:rFonts w:ascii="Times New Roman;sans-serif" w:hAnsi="Times New Roman;sans-serif"/>
          <w:b/>
          <w:color w:val="00497F"/>
          <w:sz w:val="48"/>
        </w:rPr>
        <w:t>Paramount Global</w:t>
      </w:r>
      <w:r>
        <w:rPr>
          <w:color w:val="000000"/>
        </w:rPr>
        <w:t xml:space="preserve"> </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its charter)</w:t>
      </w:r>
    </w:p>
    <w:tbl>
      <w:tblPr>
        <w:tblW w:w="7258" w:type="dxa"/>
        <w:jc w:val="center"/>
        <w:tblInd w:w="0" w:type="dxa"/>
        <w:tblLayout w:type="fixed"/>
        <w:tblCellMar>
          <w:top w:w="28" w:type="dxa"/>
          <w:left w:w="28" w:type="dxa"/>
          <w:bottom w:w="28" w:type="dxa"/>
          <w:right w:w="28" w:type="dxa"/>
        </w:tblCellMar>
      </w:tblPr>
      <w:tblGrid>
        <w:gridCol w:w="889"/>
        <w:gridCol w:w="781"/>
        <w:gridCol w:w="789"/>
        <w:gridCol w:w="762"/>
        <w:gridCol w:w="762"/>
        <w:gridCol w:w="770"/>
        <w:gridCol w:w="731"/>
        <w:gridCol w:w="731"/>
        <w:gridCol w:w="1043"/>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001-09553</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04-2949533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br/>
              <w:t>Number)</w:t>
            </w:r>
          </w:p>
        </w:tc>
      </w:tr>
    </w:tbl>
    <w:tbl>
      <w:tblPr>
        <w:tblW w:w="4659" w:type="dxa"/>
        <w:jc w:val="center"/>
        <w:tblInd w:w="0" w:type="dxa"/>
        <w:tblLayout w:type="fixed"/>
        <w:tblCellMar>
          <w:top w:w="28" w:type="dxa"/>
          <w:left w:w="28" w:type="dxa"/>
          <w:bottom w:w="28" w:type="dxa"/>
          <w:right w:w="28" w:type="dxa"/>
        </w:tblCellMar>
      </w:tblPr>
      <w:tblGrid>
        <w:gridCol w:w="616"/>
        <w:gridCol w:w="541"/>
        <w:gridCol w:w="541"/>
        <w:gridCol w:w="528"/>
        <w:gridCol w:w="528"/>
        <w:gridCol w:w="543"/>
        <w:gridCol w:w="109"/>
        <w:gridCol w:w="109"/>
        <w:gridCol w:w="109"/>
        <w:gridCol w:w="303"/>
        <w:gridCol w:w="303"/>
        <w:gridCol w:w="429"/>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1515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160"/>
        <w:jc w:val="center"/>
        <w:rPr/>
      </w:pPr>
      <w:r>
        <w:rPr>
          <w:rFonts w:ascii="Times New Roman;sans-serif" w:hAnsi="Times New Roman;sans-serif"/>
          <w:b w:val="false"/>
          <w:color w:val="000000"/>
          <w:sz w:val="22"/>
        </w:rPr>
        <w:t xml:space="preserve">Registrant’s telephone number, including area code: </w:t>
      </w:r>
      <w:r>
        <w:rPr>
          <w:rFonts w:ascii="Times New Roman;sans-serif" w:hAnsi="Times New Roman;sans-serif"/>
          <w:b/>
          <w:color w:val="000000"/>
          <w:sz w:val="22"/>
        </w:rPr>
        <w:t xml:space="preserve">(212) 258-6000 </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registered pursuant to Section 12(b) of the Act:</w:t>
      </w:r>
    </w:p>
    <w:tbl>
      <w:tblPr>
        <w:tblW w:w="9755" w:type="dxa"/>
        <w:jc w:val="center"/>
        <w:tblInd w:w="0" w:type="dxa"/>
        <w:tblLayout w:type="fixed"/>
        <w:tblCellMar>
          <w:top w:w="28" w:type="dxa"/>
          <w:left w:w="28" w:type="dxa"/>
          <w:bottom w:w="28" w:type="dxa"/>
          <w:right w:w="28" w:type="dxa"/>
        </w:tblCellMar>
      </w:tblPr>
      <w:tblGrid>
        <w:gridCol w:w="1095"/>
        <w:gridCol w:w="961"/>
        <w:gridCol w:w="974"/>
        <w:gridCol w:w="109"/>
        <w:gridCol w:w="109"/>
        <w:gridCol w:w="109"/>
        <w:gridCol w:w="148"/>
        <w:gridCol w:w="148"/>
        <w:gridCol w:w="148"/>
        <w:gridCol w:w="220"/>
        <w:gridCol w:w="220"/>
        <w:gridCol w:w="221"/>
        <w:gridCol w:w="148"/>
        <w:gridCol w:w="148"/>
        <w:gridCol w:w="148"/>
        <w:gridCol w:w="109"/>
        <w:gridCol w:w="109"/>
        <w:gridCol w:w="109"/>
        <w:gridCol w:w="352"/>
        <w:gridCol w:w="352"/>
        <w:gridCol w:w="352"/>
        <w:gridCol w:w="755"/>
        <w:gridCol w:w="755"/>
        <w:gridCol w:w="755"/>
        <w:gridCol w:w="352"/>
        <w:gridCol w:w="352"/>
        <w:gridCol w:w="497"/>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PARAA</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60" w:after="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
        <w:gridCol w:w="242"/>
        <w:gridCol w:w="242"/>
        <w:gridCol w:w="2764"/>
        <w:gridCol w:w="2764"/>
        <w:gridCol w:w="3917"/>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Item 5.02</w:t>
            </w:r>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Departure of Directors or Certain Officers; Election of Directors; Appointment of Certain Officers; Compensatory Arrangements of Certain Officers.</w:t>
            </w:r>
          </w:p>
        </w:tc>
      </w:tr>
    </w:tbl>
    <w:p>
      <w:pPr>
        <w:pStyle w:val="TextBody"/>
        <w:bidi w:val="0"/>
        <w:spacing w:lineRule="auto" w:line="288" w:before="0" w:after="240"/>
        <w:jc w:val="left"/>
        <w:rPr/>
      </w:pPr>
      <w:r>
        <w:rPr>
          <w:rFonts w:ascii="Times New Roman;sans-serif" w:hAnsi="Times New Roman;sans-serif"/>
          <w:b w:val="false"/>
          <w:color w:val="000000"/>
          <w:sz w:val="22"/>
        </w:rPr>
        <w:t>On June 28, 2024, Christa A. D’Alimonte, Executive Vice President, General Counsel and Secretary, will be leaving Paramount Global (the “Company”).</w:t>
      </w:r>
      <w:r>
        <w:rPr>
          <w:color w:val="000000"/>
        </w:rPr>
        <w:t xml:space="preserve"> </w:t>
      </w:r>
      <w:r>
        <w:rPr>
          <w:rFonts w:ascii="Times New Roman;sans-serif" w:hAnsi="Times New Roman;sans-serif"/>
          <w:b w:val="false"/>
          <w:color w:val="000000"/>
          <w:sz w:val="22"/>
        </w:rPr>
        <w:t>Her separation from the Company will be considered a termination without cause and she will be entitled to receive the post-employment payments and benefits associated with an involuntary termination without cause under her employment agreement dated as of March 15, 2022. Caryn K. Groce, Paramount’s Executive Vice President, Deputy General Counsel and Assistant Secretary, will serve as the Company’s acting General Counsel.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as amended, the registrant has duly caused this report to be signed on its behalf by the undersigned hereunto duly authorized.</w:t>
      </w:r>
    </w:p>
    <w:tbl>
      <w:tblPr>
        <w:tblW w:w="5073" w:type="dxa"/>
        <w:jc w:val="right"/>
        <w:tblInd w:w="0" w:type="dxa"/>
        <w:tblLayout w:type="fixed"/>
        <w:tblCellMar>
          <w:top w:w="28" w:type="dxa"/>
          <w:left w:w="28" w:type="dxa"/>
          <w:bottom w:w="28" w:type="dxa"/>
          <w:right w:w="28" w:type="dxa"/>
        </w:tblCellMar>
      </w:tblPr>
      <w:tblGrid>
        <w:gridCol w:w="304"/>
        <w:gridCol w:w="267"/>
        <w:gridCol w:w="267"/>
        <w:gridCol w:w="397"/>
        <w:gridCol w:w="397"/>
        <w:gridCol w:w="397"/>
        <w:gridCol w:w="882"/>
        <w:gridCol w:w="882"/>
        <w:gridCol w:w="1280"/>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PARAMOUNT GLOBAL</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2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 Christa A. D'Alimonte</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Christa A. D’Alimonte</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June 21, 2024</w:t>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474</Words>
  <Characters>2659</Characters>
  <CharactersWithSpaces>3081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