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May 4, 2026</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093C"/>
        </w:rPr>
        <w:t>Paramount Skydance Corporation</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001-42791</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46"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4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PSKY</w:t>
            </w:r>
          </w:p>
        </w:tc>
        <w:tc>
          <w:tcPr>
            <w:tcW w:w="100" w:type="dxa"/>
            <w:vAlign w:val="bottom"/>
          </w:tcPr>
          <w:p>
            <w:pPr>
              <w:spacing w:after="0"/>
              <w:rPr>
                <w:sz w:val="17"/>
                <w:szCs w:val="17"/>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3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368"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9"/>
          <w:szCs w:val="19"/>
          <w:color w:val="231F20"/>
        </w:rPr>
        <w:t>On May 4, 2026, Paramount Skydance Corporation issued a Shareholder Letter announcing its financial results for the first quarter ended March 31, 2026. A copy of the Shareholder Letter is furnished herewith as Exhibit 99 and is incorporated by reference herein in its entirety.</w:t>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231F20"/>
        </w:rPr>
        <w:t>The information furnished pursuant to this Item 2.02, including Exhibit 99,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990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581"/>
        </w:trPr>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Number</w:t>
            </w:r>
          </w:p>
        </w:tc>
        <w:tc>
          <w:tcPr>
            <w:tcW w:w="620" w:type="dxa"/>
            <w:vAlign w:val="bottom"/>
          </w:tcPr>
          <w:p>
            <w:pPr>
              <w:spacing w:after="0"/>
              <w:rPr>
                <w:sz w:val="14"/>
                <w:szCs w:val="14"/>
                <w:color w:val="auto"/>
              </w:rPr>
            </w:pPr>
          </w:p>
        </w:tc>
        <w:tc>
          <w:tcPr>
            <w:tcW w:w="9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3"/>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620" w:type="dxa"/>
            <w:vAlign w:val="bottom"/>
          </w:tcPr>
          <w:p>
            <w:pPr>
              <w:spacing w:after="0"/>
              <w:rPr>
                <w:sz w:val="24"/>
                <w:szCs w:val="24"/>
                <w:color w:val="auto"/>
              </w:rPr>
            </w:pPr>
          </w:p>
        </w:tc>
        <w:tc>
          <w:tcPr>
            <w:tcW w:w="3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Shareholder Letter, dated May 4, 2026.</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865"/>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PARAMOUNT SKYDANCE CORPORATION</w:t>
      </w:r>
    </w:p>
    <w:p>
      <w:pPr>
        <w:spacing w:after="0" w:line="297" w:lineRule="exact"/>
        <w:rPr>
          <w:sz w:val="20"/>
          <w:szCs w:val="20"/>
          <w:color w:val="auto"/>
        </w:rPr>
      </w:pPr>
    </w:p>
    <w:p>
      <w:pPr>
        <w:ind w:left="6080"/>
        <w:spacing w:after="0"/>
        <w:tabs>
          <w:tab w:leader="none" w:pos="6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Makan Delrahim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 w:lineRule="exact"/>
        <w:rPr>
          <w:sz w:val="20"/>
          <w:szCs w:val="20"/>
          <w:color w:val="auto"/>
        </w:rPr>
      </w:pPr>
    </w:p>
    <w:p>
      <w:pPr>
        <w:ind w:left="6540"/>
        <w:spacing w:after="0"/>
        <w:tabs>
          <w:tab w:leader="none" w:pos="7360" w:val="left"/>
        </w:tabs>
        <w:rPr>
          <w:sz w:val="20"/>
          <w:szCs w:val="20"/>
          <w:color w:val="auto"/>
        </w:rPr>
      </w:pPr>
      <w:r>
        <w:rPr>
          <w:rFonts w:ascii="Times New Roman" w:cs="Times New Roman" w:eastAsia="Times New Roman" w:hAnsi="Times New Roman"/>
          <w:sz w:val="20"/>
          <w:szCs w:val="20"/>
          <w:color w:val="auto"/>
        </w:rPr>
        <w:t>Name:</w:t>
        <w:tab/>
        <w:t>Makan Delrahim</w:t>
      </w:r>
    </w:p>
    <w:p>
      <w:pPr>
        <w:spacing w:after="0" w:line="28" w:lineRule="exact"/>
        <w:rPr>
          <w:sz w:val="20"/>
          <w:szCs w:val="20"/>
          <w:color w:val="auto"/>
        </w:rPr>
      </w:pPr>
    </w:p>
    <w:p>
      <w:pPr>
        <w:ind w:left="6540"/>
        <w:spacing w:after="0"/>
        <w:tabs>
          <w:tab w:leader="none" w:pos="7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Legal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4, 2026</w:t>
      </w:r>
    </w:p>
    <w:p>
      <w:pPr>
        <w:sectPr>
          <w:pgSz w:w="11900" w:h="16838" w:orient="portrait"/>
          <w:cols w:equalWidth="0" w:num="1">
            <w:col w:w="11020"/>
          </w:cols>
          <w:pgMar w:left="320" w:top="7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5760720" cy="1543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May 4, 2026</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Points</w:t>
      </w:r>
      <w:r>
        <w:rPr>
          <w:rFonts w:ascii="Arial" w:cs="Arial" w:eastAsia="Arial" w:hAnsi="Arial"/>
          <w:sz w:val="22"/>
          <w:szCs w:val="22"/>
          <w:color w:val="auto"/>
        </w:rPr>
        <w:t>:</w:t>
      </w:r>
    </w:p>
    <w:p>
      <w:pPr>
        <w:spacing w:after="0" w:line="154" w:lineRule="exact"/>
        <w:rPr>
          <w:sz w:val="20"/>
          <w:szCs w:val="20"/>
          <w:color w:val="auto"/>
        </w:rPr>
      </w:pPr>
    </w:p>
    <w:p>
      <w:pPr>
        <w:ind w:left="620" w:right="320" w:hanging="323"/>
        <w:spacing w:after="0" w:line="239" w:lineRule="auto"/>
        <w:tabs>
          <w:tab w:leader="none" w:pos="600" w:val="left"/>
        </w:tabs>
        <w:rPr>
          <w:sz w:val="20"/>
          <w:szCs w:val="20"/>
          <w:color w:val="auto"/>
        </w:rPr>
      </w:pPr>
      <w:r>
        <w:rPr>
          <w:rFonts w:ascii="Arial" w:cs="Arial" w:eastAsia="Arial" w:hAnsi="Arial"/>
          <w:sz w:val="22"/>
          <w:szCs w:val="22"/>
          <w:color w:val="auto"/>
        </w:rPr>
        <w:t>•</w:t>
        <w:tab/>
        <w:t>Q1 revenue of $7.3 billion grew 2% year-over-year, with profitability exceeding our estimates for the quarter; we are reaffirming our full-year outlook of $30 billion in revenue and $3.8 billion in adj. EBITDA</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2" w:lineRule="exact"/>
        <w:rPr>
          <w:sz w:val="20"/>
          <w:szCs w:val="20"/>
          <w:color w:val="auto"/>
        </w:rPr>
      </w:pPr>
    </w:p>
    <w:p>
      <w:pPr>
        <w:ind w:left="620" w:right="60" w:hanging="323"/>
        <w:spacing w:after="0" w:line="238" w:lineRule="auto"/>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DTC revenue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grew 11% year-over-year to $2.4 billion, led by 17% growth at Paramount+, which added 0.7 million subscribers (+1.9 million, excluding the exit of international hard bundle subscribers); DTC adj. EBITDA improved to $251 million (10% margin); we continue to expect accelerating DTC revenue and profit in 2026.</w:t>
      </w:r>
    </w:p>
    <w:p>
      <w:pPr>
        <w:spacing w:after="0" w:line="43" w:lineRule="exact"/>
        <w:rPr>
          <w:sz w:val="20"/>
          <w:szCs w:val="20"/>
          <w:color w:val="auto"/>
        </w:rPr>
      </w:pPr>
    </w:p>
    <w:p>
      <w:pPr>
        <w:ind w:left="620" w:right="260" w:hanging="323"/>
        <w:spacing w:after="0" w:line="253" w:lineRule="auto"/>
        <w:tabs>
          <w:tab w:leader="none" w:pos="600" w:val="left"/>
        </w:tabs>
        <w:rPr>
          <w:sz w:val="20"/>
          <w:szCs w:val="20"/>
          <w:color w:val="auto"/>
        </w:rPr>
      </w:pPr>
      <w:r>
        <w:rPr>
          <w:rFonts w:ascii="Arial" w:cs="Arial" w:eastAsia="Arial" w:hAnsi="Arial"/>
          <w:sz w:val="22"/>
          <w:szCs w:val="22"/>
          <w:color w:val="auto"/>
        </w:rPr>
        <w:t>•</w:t>
        <w:tab/>
        <w:t xml:space="preserve">Our content slate is delivering: </w:t>
      </w:r>
      <w:r>
        <w:rPr>
          <w:rFonts w:ascii="Arial" w:cs="Arial" w:eastAsia="Arial" w:hAnsi="Arial"/>
          <w:sz w:val="22"/>
          <w:szCs w:val="22"/>
          <w:i w:val="1"/>
          <w:iCs w:val="1"/>
          <w:color w:val="auto"/>
        </w:rPr>
        <w:t>Landman</w:t>
      </w:r>
      <w:r>
        <w:rPr>
          <w:rFonts w:ascii="Arial" w:cs="Arial" w:eastAsia="Arial" w:hAnsi="Arial"/>
          <w:sz w:val="22"/>
          <w:szCs w:val="22"/>
          <w:color w:val="auto"/>
        </w:rPr>
        <w:t xml:space="preserve"> is now Paramount+’s most-watched series ever; </w:t>
      </w:r>
      <w:r>
        <w:rPr>
          <w:rFonts w:ascii="Arial" w:cs="Arial" w:eastAsia="Arial" w:hAnsi="Arial"/>
          <w:sz w:val="22"/>
          <w:szCs w:val="22"/>
          <w:i w:val="1"/>
          <w:iCs w:val="1"/>
          <w:color w:val="auto"/>
        </w:rPr>
        <w:t>The Madison</w:t>
      </w:r>
      <w:r>
        <w:rPr>
          <w:rFonts w:ascii="Arial" w:cs="Arial" w:eastAsia="Arial" w:hAnsi="Arial"/>
          <w:sz w:val="22"/>
          <w:szCs w:val="22"/>
          <w:color w:val="auto"/>
        </w:rPr>
        <w:t xml:space="preserve"> is Taylor Sheridan's strongest and most female-skewing series debut to date with 12.5 million global viewers in its first month; </w:t>
      </w:r>
      <w:r>
        <w:rPr>
          <w:rFonts w:ascii="Arial" w:cs="Arial" w:eastAsia="Arial" w:hAnsi="Arial"/>
          <w:sz w:val="22"/>
          <w:szCs w:val="22"/>
          <w:i w:val="1"/>
          <w:iCs w:val="1"/>
          <w:color w:val="auto"/>
        </w:rPr>
        <w:t>Marshals</w:t>
      </w:r>
      <w:r>
        <w:rPr>
          <w:rFonts w:ascii="Arial" w:cs="Arial" w:eastAsia="Arial" w:hAnsi="Arial"/>
          <w:sz w:val="22"/>
          <w:szCs w:val="22"/>
          <w:color w:val="auto"/>
        </w:rPr>
        <w:t xml:space="preserve"> has reached over 18.5 million global viewers; and </w:t>
      </w:r>
      <w:r>
        <w:rPr>
          <w:rFonts w:ascii="Arial" w:cs="Arial" w:eastAsia="Arial" w:hAnsi="Arial"/>
          <w:sz w:val="22"/>
          <w:szCs w:val="22"/>
          <w:i w:val="1"/>
          <w:iCs w:val="1"/>
          <w:color w:val="auto"/>
        </w:rPr>
        <w:t>Scream 7</w:t>
      </w:r>
      <w:r>
        <w:rPr>
          <w:rFonts w:ascii="Arial" w:cs="Arial" w:eastAsia="Arial" w:hAnsi="Arial"/>
          <w:sz w:val="22"/>
          <w:szCs w:val="22"/>
          <w:color w:val="auto"/>
        </w:rPr>
        <w:t xml:space="preserve"> is the highest-grossing installment in the franchise's 30-year history.</w:t>
      </w:r>
    </w:p>
    <w:p>
      <w:pPr>
        <w:spacing w:after="0" w:line="13" w:lineRule="exact"/>
        <w:rPr>
          <w:sz w:val="20"/>
          <w:szCs w:val="20"/>
          <w:color w:val="auto"/>
        </w:rPr>
      </w:pPr>
    </w:p>
    <w:p>
      <w:pPr>
        <w:ind w:left="620" w:right="40" w:hanging="323"/>
        <w:spacing w:after="0" w:line="275" w:lineRule="auto"/>
        <w:tabs>
          <w:tab w:leader="none" w:pos="600" w:val="left"/>
        </w:tabs>
        <w:rPr>
          <w:sz w:val="20"/>
          <w:szCs w:val="20"/>
          <w:color w:val="auto"/>
        </w:rPr>
      </w:pPr>
      <w:r>
        <w:rPr>
          <w:rFonts w:ascii="Arial" w:cs="Arial" w:eastAsia="Arial" w:hAnsi="Arial"/>
          <w:sz w:val="22"/>
          <w:szCs w:val="22"/>
          <w:color w:val="auto"/>
        </w:rPr>
        <w:t>•</w:t>
        <w:tab/>
        <w:t xml:space="preserve">CBS holds 13 of the top 20 primetime series, including all four of the top new series, </w:t>
      </w:r>
      <w:r>
        <w:rPr>
          <w:rFonts w:ascii="Arial" w:cs="Arial" w:eastAsia="Arial" w:hAnsi="Arial"/>
          <w:sz w:val="22"/>
          <w:szCs w:val="22"/>
          <w:i w:val="1"/>
          <w:iCs w:val="1"/>
          <w:color w:val="auto"/>
        </w:rPr>
        <w:t>Marshals</w:t>
      </w:r>
      <w:r>
        <w:rPr>
          <w:rFonts w:ascii="Arial" w:cs="Arial" w:eastAsia="Arial" w:hAnsi="Arial"/>
          <w:sz w:val="22"/>
          <w:szCs w:val="22"/>
          <w:color w:val="auto"/>
        </w:rPr>
        <w:t xml:space="preserve">, </w:t>
      </w:r>
      <w:r>
        <w:rPr>
          <w:rFonts w:ascii="Arial" w:cs="Arial" w:eastAsia="Arial" w:hAnsi="Arial"/>
          <w:sz w:val="22"/>
          <w:szCs w:val="22"/>
          <w:i w:val="1"/>
          <w:iCs w:val="1"/>
          <w:color w:val="auto"/>
        </w:rPr>
        <w:t>Sheriff Country</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CIA </w:t>
      </w:r>
      <w:r>
        <w:rPr>
          <w:rFonts w:ascii="Arial" w:cs="Arial" w:eastAsia="Arial" w:hAnsi="Arial"/>
          <w:sz w:val="22"/>
          <w:szCs w:val="22"/>
          <w:color w:val="auto"/>
        </w:rPr>
        <w:t>and</w:t>
      </w:r>
      <w:r>
        <w:rPr>
          <w:rFonts w:ascii="Arial" w:cs="Arial" w:eastAsia="Arial" w:hAnsi="Arial"/>
          <w:sz w:val="22"/>
          <w:szCs w:val="22"/>
          <w:i w:val="1"/>
          <w:iCs w:val="1"/>
          <w:color w:val="auto"/>
        </w:rPr>
        <w:t xml:space="preserve"> Boston Blue—</w:t>
      </w:r>
      <w:r>
        <w:rPr>
          <w:rFonts w:ascii="Arial" w:cs="Arial" w:eastAsia="Arial" w:hAnsi="Arial"/>
          <w:sz w:val="22"/>
          <w:szCs w:val="22"/>
          <w:color w:val="auto"/>
        </w:rPr>
        <w:t>an achievement no broadcast network has delivered since the early 1990s.</w:t>
      </w:r>
    </w:p>
    <w:p>
      <w:pPr>
        <w:spacing w:after="0" w:line="1" w:lineRule="exact"/>
        <w:rPr>
          <w:sz w:val="20"/>
          <w:szCs w:val="20"/>
          <w:color w:val="auto"/>
        </w:rPr>
      </w:pPr>
    </w:p>
    <w:p>
      <w:pPr>
        <w:ind w:left="620" w:right="160" w:hanging="323"/>
        <w:spacing w:after="0" w:line="268" w:lineRule="auto"/>
        <w:tabs>
          <w:tab w:leader="none" w:pos="600" w:val="left"/>
        </w:tabs>
        <w:rPr>
          <w:sz w:val="20"/>
          <w:szCs w:val="20"/>
          <w:color w:val="auto"/>
        </w:rPr>
      </w:pPr>
      <w:r>
        <w:rPr>
          <w:rFonts w:ascii="Arial" w:cs="Arial" w:eastAsia="Arial" w:hAnsi="Arial"/>
          <w:sz w:val="22"/>
          <w:szCs w:val="22"/>
          <w:color w:val="auto"/>
        </w:rPr>
        <w:t>•</w:t>
        <w:tab/>
        <w:t>We are converging our streaming tech stack—on track for a mid-year launch—to deliver a more personalized, unified experience and enable continuous improvement across discovery and monetization.</w:t>
      </w:r>
    </w:p>
    <w:p>
      <w:pPr>
        <w:spacing w:after="0" w:line="2" w:lineRule="exact"/>
        <w:rPr>
          <w:sz w:val="20"/>
          <w:szCs w:val="20"/>
          <w:color w:val="auto"/>
        </w:rPr>
      </w:pPr>
    </w:p>
    <w:p>
      <w:pPr>
        <w:jc w:val="both"/>
        <w:ind w:left="620" w:right="80" w:hanging="323"/>
        <w:spacing w:after="0" w:line="234" w:lineRule="auto"/>
        <w:tabs>
          <w:tab w:leader="none" w:pos="600" w:val="left"/>
        </w:tabs>
        <w:rPr>
          <w:sz w:val="20"/>
          <w:szCs w:val="20"/>
          <w:color w:val="auto"/>
        </w:rPr>
      </w:pPr>
      <w:r>
        <w:rPr>
          <w:rFonts w:ascii="Arial" w:cs="Arial" w:eastAsia="Arial" w:hAnsi="Arial"/>
          <w:sz w:val="22"/>
          <w:szCs w:val="22"/>
          <w:color w:val="auto"/>
        </w:rPr>
        <w:t>•</w:t>
        <w:tab/>
        <w:t>We remain on track to deliver $3 billion-plus in efficiencies through 2027, with more than $2.5 billion in run-rate efficiencies expected by the end of 2026; TV Media adj. EBITDA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grew 11% to $1.1 billion (29% margin) in Q1 as cost discipline more than offset revenue headwinds.</w:t>
      </w:r>
    </w:p>
    <w:p>
      <w:pPr>
        <w:spacing w:after="0" w:line="30" w:lineRule="exact"/>
        <w:rPr>
          <w:sz w:val="20"/>
          <w:szCs w:val="20"/>
          <w:color w:val="auto"/>
        </w:rPr>
      </w:pPr>
    </w:p>
    <w:p>
      <w:pPr>
        <w:ind w:left="620" w:right="100" w:hanging="323"/>
        <w:spacing w:after="0" w:line="253" w:lineRule="auto"/>
        <w:tabs>
          <w:tab w:leader="none" w:pos="600" w:val="left"/>
        </w:tabs>
        <w:rPr>
          <w:sz w:val="20"/>
          <w:szCs w:val="20"/>
          <w:color w:val="auto"/>
        </w:rPr>
      </w:pPr>
      <w:r>
        <w:rPr>
          <w:rFonts w:ascii="Arial" w:cs="Arial" w:eastAsia="Arial" w:hAnsi="Arial"/>
          <w:sz w:val="22"/>
          <w:szCs w:val="22"/>
          <w:color w:val="auto"/>
        </w:rPr>
        <w:t>•</w:t>
        <w:tab/>
        <w:t>We have made significant progress toward closing our acquisition of Warner Bros. Discovery by end of Q3'26, including the syndication of a portion of the new equity to strategic investors, securing $10 billion in debt financing, syndicating the remaining $49 billion in bridge financing to 18 global financial institutions, advancing regulatory approvals, and the April 23 approval by WBD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2263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Non-GAAP measures are detailed in the Supplemental Disclosures at the end of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Fellow shareholders,</w:t>
      </w:r>
    </w:p>
    <w:p>
      <w:pPr>
        <w:spacing w:after="0" w:line="247"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It’s been a busy and productive start to the year with momentum across our Direct-to-Consumer, Studios, and TV Media segments driving strong Q1 results. We are pleased with the trajectory of our business as we continue to invest in key areas of growth, drive greater efficiency across the enterprise and position the company for long-term success. From day one, we set a clear objective: to transform Paramount by investing in high-quality storytelling and technology, while pursuing opportunities that will define the next era of entertainment. And we are making meaningful progress—driving strong financial results while simultaneously managing an industry-shifting transaction.</w:t>
      </w:r>
    </w:p>
    <w:p>
      <w:pPr>
        <w:spacing w:after="0" w:line="196" w:lineRule="exact"/>
        <w:rPr>
          <w:sz w:val="20"/>
          <w:szCs w:val="20"/>
          <w:color w:val="auto"/>
        </w:rPr>
      </w:pPr>
    </w:p>
    <w:p>
      <w:pPr>
        <w:ind w:right="120"/>
        <w:spacing w:after="0" w:line="310" w:lineRule="auto"/>
        <w:rPr>
          <w:sz w:val="20"/>
          <w:szCs w:val="20"/>
          <w:color w:val="auto"/>
        </w:rPr>
      </w:pPr>
      <w:r>
        <w:rPr>
          <w:rFonts w:ascii="Arial" w:cs="Arial" w:eastAsia="Arial" w:hAnsi="Arial"/>
          <w:sz w:val="21"/>
          <w:szCs w:val="21"/>
          <w:color w:val="auto"/>
        </w:rPr>
        <w:t>Across our three segments, Direct-to-Consumer, Studios, and TV Media, the picture is one of deliberate execution— investing in growth where the opportunity is largest and managing for margin where structural headwinds persist.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Direct-to-Consumer</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 xml:space="preserve">On the direct-to-consumer side, we’ve had a strong start to the year, led by the second season finale of </w:t>
      </w:r>
      <w:r>
        <w:rPr>
          <w:rFonts w:ascii="Arial" w:cs="Arial" w:eastAsia="Arial" w:hAnsi="Arial"/>
          <w:sz w:val="22"/>
          <w:szCs w:val="22"/>
          <w:i w:val="1"/>
          <w:iCs w:val="1"/>
          <w:color w:val="auto"/>
        </w:rPr>
        <w:t>Landman</w:t>
      </w:r>
      <w:r>
        <w:rPr>
          <w:rFonts w:ascii="Arial" w:cs="Arial" w:eastAsia="Arial" w:hAnsi="Arial"/>
          <w:sz w:val="22"/>
          <w:szCs w:val="22"/>
          <w:color w:val="auto"/>
        </w:rPr>
        <w:t xml:space="preserve"> and the debut of </w:t>
      </w:r>
      <w:r>
        <w:rPr>
          <w:rFonts w:ascii="Arial" w:cs="Arial" w:eastAsia="Arial" w:hAnsi="Arial"/>
          <w:sz w:val="22"/>
          <w:szCs w:val="22"/>
          <w:i w:val="1"/>
          <w:iCs w:val="1"/>
          <w:color w:val="auto"/>
        </w:rPr>
        <w:t>The Madison</w:t>
      </w:r>
      <w:r>
        <w:rPr>
          <w:rFonts w:ascii="Arial" w:cs="Arial" w:eastAsia="Arial" w:hAnsi="Arial"/>
          <w:sz w:val="22"/>
          <w:szCs w:val="22"/>
          <w:color w:val="auto"/>
        </w:rPr>
        <w:t xml:space="preserve"> and </w:t>
      </w:r>
      <w:r>
        <w:rPr>
          <w:rFonts w:ascii="Arial" w:cs="Arial" w:eastAsia="Arial" w:hAnsi="Arial"/>
          <w:sz w:val="22"/>
          <w:szCs w:val="22"/>
          <w:i w:val="1"/>
          <w:iCs w:val="1"/>
          <w:color w:val="auto"/>
        </w:rPr>
        <w:t>Marshals</w:t>
      </w:r>
      <w:r>
        <w:rPr>
          <w:rFonts w:ascii="Arial" w:cs="Arial" w:eastAsia="Arial" w:hAnsi="Arial"/>
          <w:sz w:val="22"/>
          <w:szCs w:val="22"/>
          <w:color w:val="auto"/>
        </w:rPr>
        <w:t xml:space="preserve">. </w:t>
      </w:r>
      <w:r>
        <w:rPr>
          <w:rFonts w:ascii="Arial" w:cs="Arial" w:eastAsia="Arial" w:hAnsi="Arial"/>
          <w:sz w:val="22"/>
          <w:szCs w:val="22"/>
          <w:i w:val="1"/>
          <w:iCs w:val="1"/>
          <w:color w:val="auto"/>
        </w:rPr>
        <w:t>Landman</w:t>
      </w:r>
      <w:r>
        <w:rPr>
          <w:rFonts w:ascii="Arial" w:cs="Arial" w:eastAsia="Arial" w:hAnsi="Arial"/>
          <w:sz w:val="22"/>
          <w:szCs w:val="22"/>
          <w:color w:val="auto"/>
        </w:rPr>
        <w:t xml:space="preserve"> is now the most-watched series in Paramount+ history, while </w:t>
      </w:r>
      <w:r>
        <w:rPr>
          <w:rFonts w:ascii="Arial" w:cs="Arial" w:eastAsia="Arial" w:hAnsi="Arial"/>
          <w:sz w:val="22"/>
          <w:szCs w:val="22"/>
          <w:i w:val="1"/>
          <w:iCs w:val="1"/>
          <w:color w:val="auto"/>
        </w:rPr>
        <w:t>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Madison </w:t>
      </w:r>
      <w:r>
        <w:rPr>
          <w:rFonts w:ascii="Arial" w:cs="Arial" w:eastAsia="Arial" w:hAnsi="Arial"/>
          <w:sz w:val="22"/>
          <w:szCs w:val="22"/>
          <w:color w:val="auto"/>
        </w:rPr>
        <w:t>delivered Taylor Sheridan’s strongest and most female-skewing series debut to date on streaming, with 12.5</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million viewers globally in its first month on the service. Both hit series have been renewed for subsequent seasons. </w:t>
      </w:r>
      <w:r>
        <w:rPr>
          <w:rFonts w:ascii="Arial" w:cs="Arial" w:eastAsia="Arial" w:hAnsi="Arial"/>
          <w:sz w:val="22"/>
          <w:szCs w:val="22"/>
          <w:i w:val="1"/>
          <w:iCs w:val="1"/>
          <w:color w:val="auto"/>
        </w:rPr>
        <w:t xml:space="preserve">Marshals </w:t>
      </w:r>
      <w:r>
        <w:rPr>
          <w:rFonts w:ascii="Arial" w:cs="Arial" w:eastAsia="Arial" w:hAnsi="Arial"/>
          <w:sz w:val="22"/>
          <w:szCs w:val="22"/>
          <w:color w:val="auto"/>
        </w:rPr>
        <w:t>has also been a standout —premiering on CBS and launching on Paramount+ the next day, it has now</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reached over 18.5 million viewers globally to date, including nearly 5 million internationally. Our local originals are also gaining meaningful traction: </w:t>
      </w:r>
      <w:r>
        <w:rPr>
          <w:rFonts w:ascii="Arial" w:cs="Arial" w:eastAsia="Arial" w:hAnsi="Arial"/>
          <w:sz w:val="22"/>
          <w:szCs w:val="22"/>
          <w:i w:val="1"/>
          <w:iCs w:val="1"/>
          <w:color w:val="auto"/>
        </w:rPr>
        <w:t>Italia Shore</w:t>
      </w:r>
      <w:r>
        <w:rPr>
          <w:rFonts w:ascii="Arial" w:cs="Arial" w:eastAsia="Arial" w:hAnsi="Arial"/>
          <w:sz w:val="22"/>
          <w:szCs w:val="22"/>
          <w:color w:val="auto"/>
        </w:rPr>
        <w:t xml:space="preserve"> Season 3 (Italy) and </w:t>
      </w:r>
      <w:r>
        <w:rPr>
          <w:rFonts w:ascii="Arial" w:cs="Arial" w:eastAsia="Arial" w:hAnsi="Arial"/>
          <w:sz w:val="22"/>
          <w:szCs w:val="22"/>
          <w:i w:val="1"/>
          <w:iCs w:val="1"/>
          <w:color w:val="auto"/>
        </w:rPr>
        <w:t>Canada Shore</w:t>
      </w:r>
      <w:r>
        <w:rPr>
          <w:rFonts w:ascii="Arial" w:cs="Arial" w:eastAsia="Arial" w:hAnsi="Arial"/>
          <w:sz w:val="22"/>
          <w:szCs w:val="22"/>
          <w:color w:val="auto"/>
        </w:rPr>
        <w:t xml:space="preserve"> (Canada), both of which are now the platform’s top-performing reality series of all time in their respective countries.</w:t>
      </w:r>
    </w:p>
    <w:p>
      <w:pPr>
        <w:spacing w:after="0" w:line="20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Since August, our Direct-to-Consumer team has greenlit more than 20 new and returning series across scripted, unscripted and animation—broadening both the depth of our slate and the audiences we reach. We’ve also made meaningful progress on platform consolidation, including the successful transition of BET+ content onto Paramount+ ahead of the full service integration expected in early summer. This next step expands the reach of the stories we champion, the creators we support and the culture we represent, bringing more than 1,000 hours of iconic series, films and originals to audiences in one unified experience.</w:t>
      </w:r>
    </w:p>
    <w:p>
      <w:pPr>
        <w:spacing w:after="0" w:line="208" w:lineRule="exact"/>
        <w:rPr>
          <w:sz w:val="20"/>
          <w:szCs w:val="20"/>
          <w:color w:val="auto"/>
        </w:rPr>
      </w:pPr>
    </w:p>
    <w:p>
      <w:pPr>
        <w:ind w:right="180"/>
        <w:spacing w:after="0" w:line="264" w:lineRule="auto"/>
        <w:rPr>
          <w:sz w:val="20"/>
          <w:szCs w:val="20"/>
          <w:color w:val="auto"/>
        </w:rPr>
      </w:pPr>
      <w:r>
        <w:rPr>
          <w:rFonts w:ascii="Arial" w:cs="Arial" w:eastAsia="Arial" w:hAnsi="Arial"/>
          <w:sz w:val="22"/>
          <w:szCs w:val="22"/>
          <w:color w:val="auto"/>
        </w:rPr>
        <w:t>In sports, Q1 included joint CBS simulcasts of three NFL playoff games, UFC, UEFA Champions League, Europa League, and Conference League matches, and college basketball. In total, Paramount+ subscribers have access to ~14,000 hours of sports content this year.</w:t>
      </w:r>
    </w:p>
    <w:p>
      <w:pPr>
        <w:spacing w:after="0" w:line="191"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 xml:space="preserve">We are especially encouraged by the strong momentum with our exclusive offering of UFC. We continue to refine how we deliver a premium experience to consumers, including airing portions of two UFC events on CBS. To date, over 10 million households have watched more than 100 million hours of UFC programming on our service— delivering viewership more than 15x the average pay-per-view event over the past two years. Notably, new UFC subscribers are 15 years younger than the average Paramount+ viewer—and they’re engaging with the service beyond just UFC, taking full advantage of our broader offering of films and series like </w:t>
      </w:r>
      <w:r>
        <w:rPr>
          <w:rFonts w:ascii="Arial" w:cs="Arial" w:eastAsia="Arial" w:hAnsi="Arial"/>
          <w:sz w:val="22"/>
          <w:szCs w:val="22"/>
          <w:i w:val="1"/>
          <w:iCs w:val="1"/>
          <w:color w:val="auto"/>
        </w:rPr>
        <w:t>South Park</w:t>
      </w:r>
      <w:r>
        <w:rPr>
          <w:rFonts w:ascii="Arial" w:cs="Arial" w:eastAsia="Arial" w:hAnsi="Arial"/>
          <w:sz w:val="22"/>
          <w:szCs w:val="22"/>
          <w:color w:val="auto"/>
        </w:rPr>
        <w:t>.</w:t>
      </w:r>
    </w:p>
    <w:p>
      <w:pPr>
        <w:spacing w:after="0" w:line="208" w:lineRule="exact"/>
        <w:rPr>
          <w:sz w:val="20"/>
          <w:szCs w:val="20"/>
          <w:color w:val="auto"/>
        </w:rPr>
      </w:pPr>
    </w:p>
    <w:p>
      <w:pPr>
        <w:ind w:right="300"/>
        <w:spacing w:after="0" w:line="272" w:lineRule="auto"/>
        <w:rPr>
          <w:sz w:val="20"/>
          <w:szCs w:val="20"/>
          <w:color w:val="auto"/>
        </w:rPr>
      </w:pPr>
      <w:r>
        <w:rPr>
          <w:rFonts w:ascii="Arial" w:cs="Arial" w:eastAsia="Arial" w:hAnsi="Arial"/>
          <w:sz w:val="22"/>
          <w:szCs w:val="22"/>
          <w:color w:val="auto"/>
        </w:rPr>
        <w:t>In January, we implemented price increases across our Essential and Premium tiers in the U.S., Canada, Australia and Latin America—the first such adjustment since August 2024. The results so far are in-line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9601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937" w:right="359" w:bottom="1440" w:gutter="0" w:footer="0" w:header="0"/>
        </w:sectPr>
      </w:pPr>
    </w:p>
    <w:bookmarkStart w:id="5" w:name="page6"/>
    <w:bookmarkEnd w:id="5"/>
    <w:p>
      <w:pPr>
        <w:ind w:right="60"/>
        <w:spacing w:after="0" w:line="296" w:lineRule="auto"/>
        <w:rPr>
          <w:sz w:val="20"/>
          <w:szCs w:val="20"/>
          <w:color w:val="auto"/>
        </w:rPr>
      </w:pPr>
      <w:r>
        <w:rPr>
          <w:rFonts w:ascii="Arial" w:cs="Arial" w:eastAsia="Arial" w:hAnsi="Arial"/>
          <w:sz w:val="21"/>
          <w:szCs w:val="21"/>
          <w:color w:val="auto"/>
        </w:rPr>
        <w:t>with our expectations, allowing us to continue reinvesting in the business. Through the quarter, subscribers increased by 0.7 million, with strong underlying growth partially offset by exiting over 1 million hard bundle subscribers.</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To further accelerate our DTC business, we are modernizing our consumer-facing technology to create more dynamic, personalized, and connected experiences. The convergence of our streaming tech stack —on track for launch mid-year—will enable continuous optimization across discovery, personalization, and monetization. Across our streaming products, we are already seeing early momentum through new features like enhanced mobile experiences and short-form video clips, designed to deepen engagement and increase frequency.</w:t>
      </w:r>
    </w:p>
    <w:p>
      <w:pPr>
        <w:spacing w:after="0" w:line="206"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As part of this evolution, this summer, Pluto TV will experience its most significant update in a decade, built on the Paramount+ platform, marking a major step forward in personalization and user experience and reinforcing our position as a player across both free and premium streaming. We’re also expanding registration and first-party identity on Pluto to provide a better user experience and ad signal. In the U.S., 65% of Pluto viewing minutes now come from registered users—up nearly 60% year-over-year—and we expect that share to continue rising as we evolve the product experience. We will also continue to drive VOD viewership on the platform—which we believe presents a better overall consumer experience and is more valuable for advertisers given the intent associated with VOD—with VOD TV hours per user up 60% following recent updates.</w:t>
      </w:r>
    </w:p>
    <w:p>
      <w:pPr>
        <w:spacing w:after="0" w:line="8"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To further support Pluto TV, we are sharpening our content strategy, building a virtuous cycle in which great programming attracts more viewers, and a better product experience keeps them engaged longer. This approach is already showing results, with strong performance from recently added fan-favorite titles. We see particular strength in nostalgia-driven programming, which is resonating with existing fans while introducing these franchises to a new generation.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Studios</w:t>
      </w:r>
    </w:p>
    <w:p>
      <w:pPr>
        <w:spacing w:after="0" w:line="15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On the theatrical side, we continue to expand our roster of talent, both in front of and behind the camera, to bring more compelling stories to audiences worldwide. In less than nine months, we have nearly doubled our slate, growing from eight films in 2025 to 15 in 2026 and are busy ramping our slate for profitable growth in 2027, 2028 and beyond. One early highlight is </w:t>
      </w:r>
      <w:r>
        <w:rPr>
          <w:rFonts w:ascii="Arial" w:cs="Arial" w:eastAsia="Arial" w:hAnsi="Arial"/>
          <w:sz w:val="22"/>
          <w:szCs w:val="22"/>
          <w:i w:val="1"/>
          <w:iCs w:val="1"/>
          <w:color w:val="auto"/>
        </w:rPr>
        <w:t>Scream 7</w:t>
      </w:r>
      <w:r>
        <w:rPr>
          <w:rFonts w:ascii="Arial" w:cs="Arial" w:eastAsia="Arial" w:hAnsi="Arial"/>
          <w:sz w:val="22"/>
          <w:szCs w:val="22"/>
          <w:color w:val="auto"/>
        </w:rPr>
        <w:t>, co-produced with Spyglass Media Group, which was the highest-grossing installment in the iconic franchise’s 30-year history, surpassing $200 million globally.</w:t>
      </w:r>
    </w:p>
    <w:p>
      <w:pPr>
        <w:spacing w:after="0" w:line="221"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 xml:space="preserve">Our upcoming film slate includes a broad mix of franchise offerings, originals, animated titles, horror, dramas, R-rated comedies and more. On May 8, </w:t>
      </w:r>
      <w:r>
        <w:rPr>
          <w:rFonts w:ascii="Arial" w:cs="Arial" w:eastAsia="Arial" w:hAnsi="Arial"/>
          <w:sz w:val="22"/>
          <w:szCs w:val="22"/>
          <w:i w:val="1"/>
          <w:iCs w:val="1"/>
          <w:color w:val="auto"/>
        </w:rPr>
        <w:t>Billie Eilish—Hit Me Hard and Soft: The Tour (Live in 3D)</w:t>
      </w:r>
      <w:r>
        <w:rPr>
          <w:rFonts w:ascii="Arial" w:cs="Arial" w:eastAsia="Arial" w:hAnsi="Arial"/>
          <w:sz w:val="22"/>
          <w:szCs w:val="22"/>
          <w:color w:val="auto"/>
        </w:rPr>
        <w:t xml:space="preserve">, directed by James Cameron and Billie Eilish, debuts in theaters, followed over Memorial Day weekend by the supernatural thriller </w:t>
      </w:r>
      <w:r>
        <w:rPr>
          <w:rFonts w:ascii="Arial" w:cs="Arial" w:eastAsia="Arial" w:hAnsi="Arial"/>
          <w:sz w:val="22"/>
          <w:szCs w:val="22"/>
          <w:i w:val="1"/>
          <w:iCs w:val="1"/>
          <w:color w:val="auto"/>
        </w:rPr>
        <w:t>Passenger</w:t>
      </w:r>
      <w:r>
        <w:rPr>
          <w:rFonts w:ascii="Arial" w:cs="Arial" w:eastAsia="Arial" w:hAnsi="Arial"/>
          <w:sz w:val="22"/>
          <w:szCs w:val="22"/>
          <w:color w:val="auto"/>
        </w:rPr>
        <w:t>, and two weeks later,</w:t>
      </w:r>
      <w:r>
        <w:rPr>
          <w:rFonts w:ascii="Arial" w:cs="Arial" w:eastAsia="Arial" w:hAnsi="Arial"/>
          <w:sz w:val="22"/>
          <w:szCs w:val="22"/>
          <w:i w:val="1"/>
          <w:iCs w:val="1"/>
          <w:color w:val="auto"/>
        </w:rPr>
        <w:t xml:space="preserve"> Scary Movie</w:t>
      </w:r>
      <w:r>
        <w:rPr>
          <w:rFonts w:ascii="Arial" w:cs="Arial" w:eastAsia="Arial" w:hAnsi="Arial"/>
          <w:sz w:val="22"/>
          <w:szCs w:val="22"/>
          <w:color w:val="auto"/>
        </w:rPr>
        <w:t>, part of our first-look deal with Miramax. Then on June 26,</w:t>
      </w:r>
      <w:r>
        <w:rPr>
          <w:rFonts w:ascii="Arial" w:cs="Arial" w:eastAsia="Arial" w:hAnsi="Arial"/>
          <w:sz w:val="22"/>
          <w:szCs w:val="22"/>
          <w:i w:val="1"/>
          <w:iCs w:val="1"/>
          <w:color w:val="auto"/>
        </w:rPr>
        <w:t xml:space="preserve"> jackass: best and last</w:t>
      </w:r>
      <w:r>
        <w:rPr>
          <w:rFonts w:ascii="Arial" w:cs="Arial" w:eastAsia="Arial" w:hAnsi="Arial"/>
          <w:sz w:val="22"/>
          <w:szCs w:val="22"/>
          <w:color w:val="auto"/>
        </w:rPr>
        <w:t>, the fifth and final installment in the franchise, arrives in theaters, with additional film releases to follow</w:t>
      </w:r>
      <w:r>
        <w:rPr>
          <w:rFonts w:ascii="Arial" w:cs="Arial" w:eastAsia="Arial" w:hAnsi="Arial"/>
          <w:sz w:val="22"/>
          <w:szCs w:val="22"/>
          <w:i w:val="1"/>
          <w:iCs w:val="1"/>
          <w:color w:val="auto"/>
        </w:rPr>
        <w:t xml:space="preserve"> </w:t>
      </w:r>
      <w:r>
        <w:rPr>
          <w:rFonts w:ascii="Arial" w:cs="Arial" w:eastAsia="Arial" w:hAnsi="Arial"/>
          <w:sz w:val="22"/>
          <w:szCs w:val="22"/>
          <w:color w:val="auto"/>
        </w:rPr>
        <w:t>throughout the year. At the same time, our creative team is hard at work reinvigorating key franchises while investing in original storytelling.</w:t>
      </w:r>
    </w:p>
    <w:p>
      <w:pPr>
        <w:spacing w:after="0" w:line="207" w:lineRule="exact"/>
        <w:rPr>
          <w:sz w:val="20"/>
          <w:szCs w:val="20"/>
          <w:color w:val="auto"/>
        </w:rPr>
      </w:pPr>
    </w:p>
    <w:p>
      <w:pPr>
        <w:ind w:right="440"/>
        <w:spacing w:after="0" w:line="272" w:lineRule="auto"/>
        <w:rPr>
          <w:sz w:val="20"/>
          <w:szCs w:val="20"/>
          <w:color w:val="auto"/>
        </w:rPr>
      </w:pPr>
      <w:r>
        <w:rPr>
          <w:rFonts w:ascii="Arial" w:cs="Arial" w:eastAsia="Arial" w:hAnsi="Arial"/>
          <w:sz w:val="22"/>
          <w:szCs w:val="22"/>
          <w:color w:val="auto"/>
        </w:rPr>
        <w:t>We are equally focused on ensuring these stories reach a broad, global audience. Last month at CinemaCon, the annual gathering for theatrical exhibition, we gave theater owners our commitment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9601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37" w:right="339" w:bottom="1440" w:gutter="0" w:footer="0" w:header="0"/>
        </w:sectPr>
      </w:pPr>
    </w:p>
    <w:bookmarkStart w:id="6" w:name="page7"/>
    <w:bookmarkEnd w:id="6"/>
    <w:p>
      <w:pPr>
        <w:ind w:right="20"/>
        <w:spacing w:after="0" w:line="272" w:lineRule="auto"/>
        <w:rPr>
          <w:sz w:val="20"/>
          <w:szCs w:val="20"/>
          <w:color w:val="auto"/>
        </w:rPr>
      </w:pPr>
      <w:r>
        <w:rPr>
          <w:rFonts w:ascii="Arial" w:cs="Arial" w:eastAsia="Arial" w:hAnsi="Arial"/>
          <w:sz w:val="22"/>
          <w:szCs w:val="22"/>
          <w:color w:val="auto"/>
        </w:rPr>
        <w:t>release a minimum of 30 films annually across Paramount and Warner Bros., with every film receiving a full theatrical release and a minimum 45-day window, effective immediately.</w:t>
      </w:r>
    </w:p>
    <w:p>
      <w:pPr>
        <w:spacing w:after="0" w:line="183" w:lineRule="exact"/>
        <w:rPr>
          <w:sz w:val="20"/>
          <w:szCs w:val="20"/>
          <w:color w:val="auto"/>
        </w:rPr>
      </w:pPr>
    </w:p>
    <w:p>
      <w:pPr>
        <w:ind w:right="40"/>
        <w:spacing w:after="0" w:line="264" w:lineRule="auto"/>
        <w:rPr>
          <w:sz w:val="20"/>
          <w:szCs w:val="20"/>
          <w:color w:val="auto"/>
        </w:rPr>
      </w:pPr>
      <w:r>
        <w:rPr>
          <w:rFonts w:ascii="Arial" w:cs="Arial" w:eastAsia="Arial" w:hAnsi="Arial"/>
          <w:sz w:val="22"/>
          <w:szCs w:val="22"/>
          <w:color w:val="auto"/>
        </w:rPr>
        <w:t>This commitment not only supports a healthy entertainment industry and protects the theatrical experience for consumers, but will support our long-term growth, an important pipeline for engagement and monetization across our platform including licensing and streaming.</w:t>
      </w:r>
    </w:p>
    <w:p>
      <w:pPr>
        <w:spacing w:after="0" w:line="191" w:lineRule="exact"/>
        <w:rPr>
          <w:sz w:val="20"/>
          <w:szCs w:val="20"/>
          <w:color w:val="auto"/>
        </w:rPr>
      </w:pPr>
    </w:p>
    <w:p>
      <w:pPr>
        <w:ind w:right="640"/>
        <w:spacing w:after="0" w:line="296" w:lineRule="auto"/>
        <w:rPr>
          <w:sz w:val="20"/>
          <w:szCs w:val="20"/>
          <w:color w:val="auto"/>
        </w:rPr>
      </w:pPr>
      <w:r>
        <w:rPr>
          <w:rFonts w:ascii="Arial" w:cs="Arial" w:eastAsia="Arial" w:hAnsi="Arial"/>
          <w:sz w:val="21"/>
          <w:szCs w:val="21"/>
          <w:color w:val="auto"/>
        </w:rPr>
        <w:t>At the same time, Paramount Television Studios (PTVS) and CBS Studios continue to be sought-after partners across the industry. In addition to the slate produced for Paramount+, we continue to deliver for third parties.</w:t>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 xml:space="preserve">PTVS had several notable milestones this period, including a limited series order for </w:t>
      </w:r>
      <w:r>
        <w:rPr>
          <w:rFonts w:ascii="Arial" w:cs="Arial" w:eastAsia="Arial" w:hAnsi="Arial"/>
          <w:sz w:val="22"/>
          <w:szCs w:val="22"/>
          <w:i w:val="1"/>
          <w:iCs w:val="1"/>
          <w:color w:val="auto"/>
        </w:rPr>
        <w:t>The Corrections</w:t>
      </w:r>
      <w:r>
        <w:rPr>
          <w:rFonts w:ascii="Arial" w:cs="Arial" w:eastAsia="Arial" w:hAnsi="Arial"/>
          <w:sz w:val="22"/>
          <w:szCs w:val="22"/>
          <w:color w:val="auto"/>
        </w:rPr>
        <w:t xml:space="preserve"> at Netflix and a third-season renewal of </w:t>
      </w:r>
      <w:r>
        <w:rPr>
          <w:rFonts w:ascii="Arial" w:cs="Arial" w:eastAsia="Arial" w:hAnsi="Arial"/>
          <w:sz w:val="22"/>
          <w:szCs w:val="22"/>
          <w:i w:val="1"/>
          <w:iCs w:val="1"/>
          <w:color w:val="auto"/>
        </w:rPr>
        <w:t>Cross</w:t>
      </w:r>
      <w:r>
        <w:rPr>
          <w:rFonts w:ascii="Arial" w:cs="Arial" w:eastAsia="Arial" w:hAnsi="Arial"/>
          <w:sz w:val="22"/>
          <w:szCs w:val="22"/>
          <w:color w:val="auto"/>
        </w:rPr>
        <w:t xml:space="preserve"> for Prime Video. Meanwhile, we are also producing a 2026 slate of new series that includes </w:t>
      </w:r>
      <w:r>
        <w:rPr>
          <w:rFonts w:ascii="Arial" w:cs="Arial" w:eastAsia="Arial" w:hAnsi="Arial"/>
          <w:sz w:val="22"/>
          <w:szCs w:val="22"/>
          <w:i w:val="1"/>
          <w:iCs w:val="1"/>
          <w:color w:val="auto"/>
        </w:rPr>
        <w:t>Ride or Die,</w:t>
      </w:r>
      <w:r>
        <w:rPr>
          <w:rFonts w:ascii="Arial" w:cs="Arial" w:eastAsia="Arial" w:hAnsi="Arial"/>
          <w:sz w:val="22"/>
          <w:szCs w:val="22"/>
          <w:color w:val="auto"/>
        </w:rPr>
        <w:t xml:space="preserve"> the </w:t>
      </w:r>
      <w:r>
        <w:rPr>
          <w:rFonts w:ascii="Arial" w:cs="Arial" w:eastAsia="Arial" w:hAnsi="Arial"/>
          <w:sz w:val="22"/>
          <w:szCs w:val="22"/>
          <w:i w:val="1"/>
          <w:iCs w:val="1"/>
          <w:color w:val="auto"/>
        </w:rPr>
        <w:t>Reacher</w:t>
      </w:r>
      <w:r>
        <w:rPr>
          <w:rFonts w:ascii="Arial" w:cs="Arial" w:eastAsia="Arial" w:hAnsi="Arial"/>
          <w:sz w:val="22"/>
          <w:szCs w:val="22"/>
          <w:color w:val="auto"/>
        </w:rPr>
        <w:t xml:space="preserve"> spinoff </w:t>
      </w:r>
      <w:r>
        <w:rPr>
          <w:rFonts w:ascii="Arial" w:cs="Arial" w:eastAsia="Arial" w:hAnsi="Arial"/>
          <w:sz w:val="22"/>
          <w:szCs w:val="22"/>
          <w:i w:val="1"/>
          <w:iCs w:val="1"/>
          <w:color w:val="auto"/>
        </w:rPr>
        <w:t>Neagley</w:t>
      </w:r>
      <w:r>
        <w:rPr>
          <w:rFonts w:ascii="Arial" w:cs="Arial" w:eastAsia="Arial" w:hAnsi="Arial"/>
          <w:sz w:val="22"/>
          <w:szCs w:val="22"/>
          <w:color w:val="auto"/>
        </w:rPr>
        <w:t xml:space="preserve"> for Prime Video; </w:t>
      </w:r>
      <w:r>
        <w:rPr>
          <w:rFonts w:ascii="Arial" w:cs="Arial" w:eastAsia="Arial" w:hAnsi="Arial"/>
          <w:sz w:val="22"/>
          <w:szCs w:val="22"/>
          <w:i w:val="1"/>
          <w:iCs w:val="1"/>
          <w:color w:val="auto"/>
        </w:rPr>
        <w:t>12 12 12, Brothers</w:t>
      </w:r>
      <w:r>
        <w:rPr>
          <w:rFonts w:ascii="Arial" w:cs="Arial" w:eastAsia="Arial" w:hAnsi="Arial"/>
          <w:sz w:val="22"/>
          <w:szCs w:val="22"/>
          <w:color w:val="auto"/>
        </w:rPr>
        <w:t xml:space="preserve"> and </w:t>
      </w:r>
      <w:r>
        <w:rPr>
          <w:rFonts w:ascii="Arial" w:cs="Arial" w:eastAsia="Arial" w:hAnsi="Arial"/>
          <w:sz w:val="22"/>
          <w:szCs w:val="22"/>
          <w:i w:val="1"/>
          <w:iCs w:val="1"/>
          <w:color w:val="auto"/>
        </w:rPr>
        <w:t>Neuromancer</w:t>
      </w:r>
      <w:r>
        <w:rPr>
          <w:rFonts w:ascii="Arial" w:cs="Arial" w:eastAsia="Arial" w:hAnsi="Arial"/>
          <w:sz w:val="22"/>
          <w:szCs w:val="22"/>
          <w:color w:val="auto"/>
        </w:rPr>
        <w:t xml:space="preserve"> for Apple TV; and </w:t>
      </w:r>
      <w:r>
        <w:rPr>
          <w:rFonts w:ascii="Arial" w:cs="Arial" w:eastAsia="Arial" w:hAnsi="Arial"/>
          <w:sz w:val="22"/>
          <w:szCs w:val="22"/>
          <w:i w:val="1"/>
          <w:iCs w:val="1"/>
          <w:color w:val="auto"/>
        </w:rPr>
        <w:t>Hollywood Arts</w:t>
      </w:r>
      <w:r>
        <w:rPr>
          <w:rFonts w:ascii="Arial" w:cs="Arial" w:eastAsia="Arial" w:hAnsi="Arial"/>
          <w:sz w:val="22"/>
          <w:szCs w:val="22"/>
          <w:color w:val="auto"/>
        </w:rPr>
        <w:t xml:space="preserve"> for Netflix. In addition, we have new seasons of established series such as </w:t>
      </w:r>
      <w:r>
        <w:rPr>
          <w:rFonts w:ascii="Arial" w:cs="Arial" w:eastAsia="Arial" w:hAnsi="Arial"/>
          <w:sz w:val="22"/>
          <w:szCs w:val="22"/>
          <w:i w:val="1"/>
          <w:iCs w:val="1"/>
          <w:color w:val="auto"/>
        </w:rPr>
        <w:t>Reacher</w:t>
      </w:r>
      <w:r>
        <w:rPr>
          <w:rFonts w:ascii="Arial" w:cs="Arial" w:eastAsia="Arial" w:hAnsi="Arial"/>
          <w:sz w:val="22"/>
          <w:szCs w:val="22"/>
          <w:color w:val="auto"/>
        </w:rPr>
        <w:t xml:space="preserve">, </w:t>
      </w:r>
      <w:r>
        <w:rPr>
          <w:rFonts w:ascii="Arial" w:cs="Arial" w:eastAsia="Arial" w:hAnsi="Arial"/>
          <w:sz w:val="22"/>
          <w:szCs w:val="22"/>
          <w:i w:val="1"/>
          <w:iCs w:val="1"/>
          <w:color w:val="auto"/>
        </w:rPr>
        <w:t>XO</w:t>
      </w:r>
      <w:r>
        <w:rPr>
          <w:rFonts w:ascii="Arial" w:cs="Arial" w:eastAsia="Arial" w:hAnsi="Arial"/>
          <w:sz w:val="22"/>
          <w:szCs w:val="22"/>
          <w:color w:val="auto"/>
        </w:rPr>
        <w:t xml:space="preserve">, </w:t>
      </w:r>
      <w:r>
        <w:rPr>
          <w:rFonts w:ascii="Arial" w:cs="Arial" w:eastAsia="Arial" w:hAnsi="Arial"/>
          <w:sz w:val="22"/>
          <w:szCs w:val="22"/>
          <w:i w:val="1"/>
          <w:iCs w:val="1"/>
          <w:color w:val="auto"/>
        </w:rPr>
        <w:t>Kitty, Foundation</w:t>
      </w:r>
      <w:r>
        <w:rPr>
          <w:rFonts w:ascii="Arial" w:cs="Arial" w:eastAsia="Arial" w:hAnsi="Arial"/>
          <w:sz w:val="22"/>
          <w:szCs w:val="22"/>
          <w:color w:val="auto"/>
        </w:rPr>
        <w:t>, and</w:t>
      </w:r>
      <w:r>
        <w:rPr>
          <w:rFonts w:ascii="Arial" w:cs="Arial" w:eastAsia="Arial" w:hAnsi="Arial"/>
          <w:sz w:val="22"/>
          <w:szCs w:val="22"/>
          <w:i w:val="1"/>
          <w:iCs w:val="1"/>
          <w:color w:val="auto"/>
        </w:rPr>
        <w:t xml:space="preserve"> Emily in Paris</w:t>
      </w:r>
      <w:r>
        <w:rPr>
          <w:rFonts w:ascii="Arial" w:cs="Arial" w:eastAsia="Arial" w:hAnsi="Arial"/>
          <w:sz w:val="22"/>
          <w:szCs w:val="22"/>
          <w:color w:val="auto"/>
        </w:rPr>
        <w:t>.</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22"/>
          <w:szCs w:val="22"/>
          <w:color w:val="212121"/>
        </w:rPr>
        <w:t>CBS Studios—including BET Studios and Nickelodeon Animation Studios—complements this with a portfolio of more than 60 active series across broadcast and streaming, spanning major franchises, new entries, and a broad mix of premium, daytime and family programming.</w:t>
      </w:r>
    </w:p>
    <w:p>
      <w:pPr>
        <w:spacing w:after="0" w:line="191" w:lineRule="exact"/>
        <w:rPr>
          <w:sz w:val="20"/>
          <w:szCs w:val="20"/>
          <w:color w:val="auto"/>
        </w:rPr>
      </w:pPr>
    </w:p>
    <w:p>
      <w:pPr>
        <w:ind w:right="360"/>
        <w:spacing w:after="0" w:line="257" w:lineRule="auto"/>
        <w:rPr>
          <w:sz w:val="20"/>
          <w:szCs w:val="20"/>
          <w:color w:val="auto"/>
        </w:rPr>
      </w:pPr>
      <w:r>
        <w:rPr>
          <w:rFonts w:ascii="Arial" w:cs="Arial" w:eastAsia="Arial" w:hAnsi="Arial"/>
          <w:sz w:val="22"/>
          <w:szCs w:val="22"/>
          <w:color w:val="auto"/>
        </w:rPr>
        <w:t>Alongside selling our content, we will continue to invest in acquiring films and series from third-party producers around the world, supporting top creative talent and distinctive storytelling, including local market productions that resonate with audiences and drive global subscriber engagement.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TV Media</w:t>
      </w:r>
    </w:p>
    <w:p>
      <w:pPr>
        <w:spacing w:after="0" w:line="152"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 xml:space="preserve">Our broadcast and linear television business remains a powerful engine of reach, relevance and cash flow. CBS currently has 13 of the top 20 primetime series, including the #1 news program </w:t>
      </w:r>
      <w:r>
        <w:rPr>
          <w:rFonts w:ascii="Arial" w:cs="Arial" w:eastAsia="Arial" w:hAnsi="Arial"/>
          <w:sz w:val="22"/>
          <w:szCs w:val="22"/>
          <w:i w:val="1"/>
          <w:iCs w:val="1"/>
          <w:color w:val="auto"/>
        </w:rPr>
        <w:t>60 Minutes,</w:t>
      </w:r>
      <w:r>
        <w:rPr>
          <w:rFonts w:ascii="Arial" w:cs="Arial" w:eastAsia="Arial" w:hAnsi="Arial"/>
          <w:sz w:val="22"/>
          <w:szCs w:val="22"/>
          <w:color w:val="auto"/>
        </w:rPr>
        <w:t xml:space="preserve"> as well as all four of the top new series, </w:t>
      </w:r>
      <w:r>
        <w:rPr>
          <w:rFonts w:ascii="Arial" w:cs="Arial" w:eastAsia="Arial" w:hAnsi="Arial"/>
          <w:sz w:val="22"/>
          <w:szCs w:val="22"/>
          <w:i w:val="1"/>
          <w:iCs w:val="1"/>
          <w:color w:val="auto"/>
        </w:rPr>
        <w:t>Marshals</w:t>
      </w:r>
      <w:r>
        <w:rPr>
          <w:rFonts w:ascii="Arial" w:cs="Arial" w:eastAsia="Arial" w:hAnsi="Arial"/>
          <w:sz w:val="22"/>
          <w:szCs w:val="22"/>
          <w:color w:val="auto"/>
        </w:rPr>
        <w:t xml:space="preserve">, </w:t>
      </w:r>
      <w:r>
        <w:rPr>
          <w:rFonts w:ascii="Arial" w:cs="Arial" w:eastAsia="Arial" w:hAnsi="Arial"/>
          <w:sz w:val="22"/>
          <w:szCs w:val="22"/>
          <w:i w:val="1"/>
          <w:iCs w:val="1"/>
          <w:color w:val="auto"/>
        </w:rPr>
        <w:t>Sheriff Country</w:t>
      </w:r>
      <w:r>
        <w:rPr>
          <w:rFonts w:ascii="Arial" w:cs="Arial" w:eastAsia="Arial" w:hAnsi="Arial"/>
          <w:sz w:val="22"/>
          <w:szCs w:val="22"/>
          <w:color w:val="auto"/>
        </w:rPr>
        <w:t xml:space="preserve">, </w:t>
      </w:r>
      <w:r>
        <w:rPr>
          <w:rFonts w:ascii="Arial" w:cs="Arial" w:eastAsia="Arial" w:hAnsi="Arial"/>
          <w:sz w:val="22"/>
          <w:szCs w:val="22"/>
          <w:i w:val="1"/>
          <w:iCs w:val="1"/>
          <w:color w:val="auto"/>
        </w:rPr>
        <w:t>CIA</w:t>
      </w:r>
      <w:r>
        <w:rPr>
          <w:rFonts w:ascii="Arial" w:cs="Arial" w:eastAsia="Arial" w:hAnsi="Arial"/>
          <w:sz w:val="22"/>
          <w:szCs w:val="22"/>
          <w:color w:val="auto"/>
        </w:rPr>
        <w:t xml:space="preserve"> and </w:t>
      </w:r>
      <w:r>
        <w:rPr>
          <w:rFonts w:ascii="Arial" w:cs="Arial" w:eastAsia="Arial" w:hAnsi="Arial"/>
          <w:sz w:val="22"/>
          <w:szCs w:val="22"/>
          <w:i w:val="1"/>
          <w:iCs w:val="1"/>
          <w:color w:val="auto"/>
        </w:rPr>
        <w:t>Boston Blue—</w:t>
      </w:r>
      <w:r>
        <w:rPr>
          <w:rFonts w:ascii="Arial" w:cs="Arial" w:eastAsia="Arial" w:hAnsi="Arial"/>
          <w:sz w:val="22"/>
          <w:szCs w:val="22"/>
          <w:color w:val="auto"/>
        </w:rPr>
        <w:t>an achievement no broadcast network has delivered since the early 1990s. We also expect CBS to continue its streak as the #1 in daytime for its 40</w:t>
      </w:r>
      <w:r>
        <w:rPr>
          <w:rFonts w:ascii="Arial" w:cs="Arial" w:eastAsia="Arial" w:hAnsi="Arial"/>
          <w:sz w:val="11"/>
          <w:szCs w:val="11"/>
          <w:color w:val="auto"/>
        </w:rPr>
        <w:t>th</w:t>
      </w:r>
      <w:r>
        <w:rPr>
          <w:rFonts w:ascii="Arial" w:cs="Arial" w:eastAsia="Arial" w:hAnsi="Arial"/>
          <w:sz w:val="22"/>
          <w:szCs w:val="22"/>
          <w:color w:val="auto"/>
        </w:rPr>
        <w:t xml:space="preserve"> consecutive season.</w:t>
      </w:r>
    </w:p>
    <w:p>
      <w:pPr>
        <w:spacing w:after="0" w:line="206" w:lineRule="exact"/>
        <w:rPr>
          <w:sz w:val="20"/>
          <w:szCs w:val="20"/>
          <w:color w:val="auto"/>
        </w:rPr>
      </w:pPr>
    </w:p>
    <w:p>
      <w:pPr>
        <w:ind w:right="140"/>
        <w:spacing w:after="0" w:line="257" w:lineRule="auto"/>
        <w:rPr>
          <w:sz w:val="20"/>
          <w:szCs w:val="20"/>
          <w:color w:val="auto"/>
        </w:rPr>
      </w:pPr>
      <w:r>
        <w:rPr>
          <w:rFonts w:ascii="Arial" w:cs="Arial" w:eastAsia="Arial" w:hAnsi="Arial"/>
          <w:sz w:val="22"/>
          <w:szCs w:val="22"/>
          <w:color w:val="auto"/>
        </w:rPr>
        <w:t xml:space="preserve">Beyond its broadcast leadership, CBS continues to be a major driver for Paramount+, with CBS titles accounting for 10 of the top 20 series in time spent on the service during the broadcast season. New CBS series are breaking through immediately on streaming, with first-year shows </w:t>
      </w:r>
      <w:r>
        <w:rPr>
          <w:rFonts w:ascii="Arial" w:cs="Arial" w:eastAsia="Arial" w:hAnsi="Arial"/>
          <w:sz w:val="22"/>
          <w:szCs w:val="22"/>
          <w:i w:val="1"/>
          <w:iCs w:val="1"/>
          <w:color w:val="auto"/>
        </w:rPr>
        <w:t>Marshals</w:t>
      </w:r>
      <w:r>
        <w:rPr>
          <w:rFonts w:ascii="Arial" w:cs="Arial" w:eastAsia="Arial" w:hAnsi="Arial"/>
          <w:sz w:val="22"/>
          <w:szCs w:val="22"/>
          <w:color w:val="auto"/>
        </w:rPr>
        <w:t xml:space="preserve">, </w:t>
      </w:r>
      <w:r>
        <w:rPr>
          <w:rFonts w:ascii="Arial" w:cs="Arial" w:eastAsia="Arial" w:hAnsi="Arial"/>
          <w:sz w:val="22"/>
          <w:szCs w:val="22"/>
          <w:i w:val="1"/>
          <w:iCs w:val="1"/>
          <w:color w:val="auto"/>
        </w:rPr>
        <w:t>Sheriff Country</w:t>
      </w:r>
      <w:r>
        <w:rPr>
          <w:rFonts w:ascii="Arial" w:cs="Arial" w:eastAsia="Arial" w:hAnsi="Arial"/>
          <w:sz w:val="22"/>
          <w:szCs w:val="22"/>
          <w:color w:val="auto"/>
        </w:rPr>
        <w:t xml:space="preserve"> and </w:t>
      </w:r>
      <w:r>
        <w:rPr>
          <w:rFonts w:ascii="Arial" w:cs="Arial" w:eastAsia="Arial" w:hAnsi="Arial"/>
          <w:sz w:val="22"/>
          <w:szCs w:val="22"/>
          <w:i w:val="1"/>
          <w:iCs w:val="1"/>
          <w:color w:val="auto"/>
        </w:rPr>
        <w:t>CIA</w:t>
      </w:r>
      <w:r>
        <w:rPr>
          <w:rFonts w:ascii="Arial" w:cs="Arial" w:eastAsia="Arial" w:hAnsi="Arial"/>
          <w:sz w:val="22"/>
          <w:szCs w:val="22"/>
          <w:color w:val="auto"/>
        </w:rPr>
        <w:t xml:space="preserve"> generating roughly 40% of their audience from Paramount+.</w:t>
      </w:r>
    </w:p>
    <w:p>
      <w:pPr>
        <w:spacing w:after="0" w:line="199" w:lineRule="exact"/>
        <w:rPr>
          <w:sz w:val="20"/>
          <w:szCs w:val="20"/>
          <w:color w:val="auto"/>
        </w:rPr>
      </w:pPr>
    </w:p>
    <w:p>
      <w:pPr>
        <w:jc w:val="both"/>
        <w:ind w:right="180"/>
        <w:spacing w:after="0" w:line="257" w:lineRule="auto"/>
        <w:rPr>
          <w:sz w:val="20"/>
          <w:szCs w:val="20"/>
          <w:color w:val="auto"/>
        </w:rPr>
      </w:pPr>
      <w:r>
        <w:rPr>
          <w:rFonts w:ascii="Arial" w:cs="Arial" w:eastAsia="Arial" w:hAnsi="Arial"/>
          <w:sz w:val="22"/>
          <w:szCs w:val="22"/>
          <w:color w:val="auto"/>
        </w:rPr>
        <w:t xml:space="preserve">Looking ahead, CBS enters the 2026-27 season with a schedule that is creatively strong and financially disciplined and built for long-term value—anchored by a strong slate of 19 returning series, continued franchise expansion that includes </w:t>
      </w:r>
      <w:r>
        <w:rPr>
          <w:rFonts w:ascii="Arial" w:cs="Arial" w:eastAsia="Arial" w:hAnsi="Arial"/>
          <w:sz w:val="22"/>
          <w:szCs w:val="22"/>
          <w:i w:val="1"/>
          <w:iCs w:val="1"/>
          <w:color w:val="auto"/>
        </w:rPr>
        <w:t>NCIS: New York</w:t>
      </w:r>
      <w:r>
        <w:rPr>
          <w:rFonts w:ascii="Arial" w:cs="Arial" w:eastAsia="Arial" w:hAnsi="Arial"/>
          <w:sz w:val="22"/>
          <w:szCs w:val="22"/>
          <w:color w:val="auto"/>
        </w:rPr>
        <w:t xml:space="preserve">, and new original concepts like </w:t>
      </w:r>
      <w:r>
        <w:rPr>
          <w:rFonts w:ascii="Arial" w:cs="Arial" w:eastAsia="Arial" w:hAnsi="Arial"/>
          <w:sz w:val="22"/>
          <w:szCs w:val="22"/>
          <w:i w:val="1"/>
          <w:iCs w:val="1"/>
          <w:color w:val="auto"/>
        </w:rPr>
        <w:t>Einstein</w:t>
      </w:r>
      <w:r>
        <w:rPr>
          <w:rFonts w:ascii="Arial" w:cs="Arial" w:eastAsia="Arial" w:hAnsi="Arial"/>
          <w:sz w:val="22"/>
          <w:szCs w:val="22"/>
          <w:color w:val="auto"/>
        </w:rPr>
        <w:t xml:space="preserve">, </w:t>
      </w:r>
      <w:r>
        <w:rPr>
          <w:rFonts w:ascii="Arial" w:cs="Arial" w:eastAsia="Arial" w:hAnsi="Arial"/>
          <w:sz w:val="22"/>
          <w:szCs w:val="22"/>
          <w:i w:val="1"/>
          <w:iCs w:val="1"/>
          <w:color w:val="auto"/>
        </w:rPr>
        <w:t>Cupertino</w:t>
      </w:r>
      <w:r>
        <w:rPr>
          <w:rFonts w:ascii="Arial" w:cs="Arial" w:eastAsia="Arial" w:hAnsi="Arial"/>
          <w:sz w:val="22"/>
          <w:szCs w:val="22"/>
          <w:color w:val="auto"/>
        </w:rPr>
        <w:t xml:space="preserve"> and </w:t>
      </w:r>
      <w:r>
        <w:rPr>
          <w:rFonts w:ascii="Arial" w:cs="Arial" w:eastAsia="Arial" w:hAnsi="Arial"/>
          <w:sz w:val="22"/>
          <w:szCs w:val="22"/>
          <w:i w:val="1"/>
          <w:iCs w:val="1"/>
          <w:color w:val="auto"/>
        </w:rPr>
        <w:t>Eternally Yours</w:t>
      </w:r>
      <w:r>
        <w:rPr>
          <w:rFonts w:ascii="Arial" w:cs="Arial" w:eastAsia="Arial" w:hAnsi="Arial"/>
          <w:sz w:val="22"/>
          <w:szCs w:val="22"/>
          <w:color w:val="auto"/>
        </w:rPr>
        <w:t>.</w:t>
      </w:r>
    </w:p>
    <w:p>
      <w:pPr>
        <w:spacing w:after="0" w:line="200" w:lineRule="exact"/>
        <w:rPr>
          <w:sz w:val="20"/>
          <w:szCs w:val="20"/>
          <w:color w:val="auto"/>
        </w:rPr>
      </w:pPr>
    </w:p>
    <w:p>
      <w:pPr>
        <w:ind w:right="540"/>
        <w:spacing w:after="0" w:line="257" w:lineRule="auto"/>
        <w:rPr>
          <w:sz w:val="20"/>
          <w:szCs w:val="20"/>
          <w:color w:val="auto"/>
        </w:rPr>
      </w:pPr>
      <w:r>
        <w:rPr>
          <w:rFonts w:ascii="Arial" w:cs="Arial" w:eastAsia="Arial" w:hAnsi="Arial"/>
          <w:sz w:val="22"/>
          <w:szCs w:val="22"/>
          <w:color w:val="auto"/>
        </w:rPr>
        <w:t>Our Sports business also continues to perform strongly, delivering robust viewership across the PGA TOUR— highlighted by CBS’ most-watched final round of the Masters in over a decade—and the NCAA Division I Men’s Basketball Tournament, where CBS Sports, along with TNT Sports, generated the second-most watched March Madness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9601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ectPr>
          <w:pgSz w:w="11900" w:h="16838" w:orient="portrait"/>
          <w:cols w:equalWidth="0" w:num="1">
            <w:col w:w="11180"/>
          </w:cols>
          <w:pgMar w:left="320" w:top="9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320" w:top="937" w:right="399" w:bottom="1440" w:gutter="0" w:footer="0" w:header="0"/>
          <w:type w:val="continuous"/>
        </w:sectPr>
      </w:pPr>
    </w:p>
    <w:bookmarkStart w:id="7" w:name="page8"/>
    <w:bookmarkEnd w:id="7"/>
    <w:p>
      <w:pPr>
        <w:ind w:right="80"/>
        <w:spacing w:after="0" w:line="268" w:lineRule="auto"/>
        <w:rPr>
          <w:sz w:val="20"/>
          <w:szCs w:val="20"/>
          <w:color w:val="auto"/>
        </w:rPr>
      </w:pPr>
      <w:r>
        <w:rPr>
          <w:rFonts w:ascii="Arial" w:cs="Arial" w:eastAsia="Arial" w:hAnsi="Arial"/>
          <w:sz w:val="21"/>
          <w:szCs w:val="21"/>
          <w:color w:val="auto"/>
        </w:rPr>
        <w:t>Building on this momentum, we recently announced a new long-term partnership with the WNBA and CBS Sports that will significantly expand our women’s sports offering. Under this agreement, CBS Sports will broadcast up to 20 regular-season games annually across the CBS Television Network and Paramount+, starting this season—the most WNBA games carried on broadcast television by any network. We're committed to investing in premium live sports, and this positions us to capture the growing audience and cultural momentum surrounding women’s basketball.</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Driving Efficiency and Optimizing Investment Enterprise-wide</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Our transformation program is ahead of schedule. Against our third North Star priority—driving enterprise-wide efficiency with a focus on long-term free cash flow—we have more than $2.5 billion in run-rate efficiencies on track for realization by year-end and expect to deliver at least $3 billion in efficiencies through 2027.</w:t>
      </w:r>
    </w:p>
    <w:p>
      <w:pPr>
        <w:spacing w:after="0" w:line="200" w:lineRule="exact"/>
        <w:rPr>
          <w:sz w:val="20"/>
          <w:szCs w:val="20"/>
          <w:color w:val="auto"/>
        </w:rPr>
      </w:pPr>
    </w:p>
    <w:p>
      <w:pPr>
        <w:ind w:right="100"/>
        <w:spacing w:after="0" w:line="264" w:lineRule="auto"/>
        <w:rPr>
          <w:sz w:val="20"/>
          <w:szCs w:val="20"/>
          <w:color w:val="auto"/>
        </w:rPr>
      </w:pPr>
      <w:r>
        <w:rPr>
          <w:rFonts w:ascii="Arial" w:cs="Arial" w:eastAsia="Arial" w:hAnsi="Arial"/>
          <w:sz w:val="21"/>
          <w:szCs w:val="21"/>
          <w:color w:val="auto"/>
        </w:rPr>
        <w:t>As we’ve previously shared, one of our four major transformation workstreams is to make technology a core competency of the company. We are transforming Paramount into a tech-enabled media company by unifying our platforms, data, and workflows across the business. This shift is already breaking down silos, increasing discipline, and enabling us to move faster with greater precision. From the rollout of our agentic data warehouse, which is simplifying how teams access and act on data, to the rapid scaling of AI-powered development tools, we are building durable internal capabilities that enhance both speed and quality. Today, nearly 80% of our engineering organization has adopted code-assist technologies, driving meaningful gains in productivity and product quality within the same development cycles, significantly reducing failure rates, and cutting approval times by more than half.</w:t>
      </w:r>
    </w:p>
    <w:p>
      <w:pPr>
        <w:spacing w:after="0" w:line="197" w:lineRule="exact"/>
        <w:rPr>
          <w:sz w:val="20"/>
          <w:szCs w:val="20"/>
          <w:color w:val="auto"/>
        </w:rPr>
      </w:pPr>
    </w:p>
    <w:p>
      <w:pPr>
        <w:ind w:right="360"/>
        <w:spacing w:after="0" w:line="265" w:lineRule="auto"/>
        <w:rPr>
          <w:sz w:val="20"/>
          <w:szCs w:val="20"/>
          <w:color w:val="auto"/>
        </w:rPr>
      </w:pPr>
      <w:r>
        <w:rPr>
          <w:rFonts w:ascii="Arial" w:cs="Arial" w:eastAsia="Arial" w:hAnsi="Arial"/>
          <w:sz w:val="21"/>
          <w:szCs w:val="21"/>
          <w:color w:val="auto"/>
        </w:rPr>
        <w:t>The examples above are just a snapshot of the progress underway, alongside newer initiatives designed to drive engagement and unlock future monetization opportunities. These include expanding into new content formats and interactive features on Paramount+, such as the launch of clips on the Paramount+ mobile app with plans to add gaming, live stats and polling. We’ll also enhance content discovery on Pluto TV through automated carousels, Content Spotlight units, curated collections, and Top 10 experiences. Together, these efforts demonstrate steady, disciplined progress toward a more innovative, efficient and technology-driven Paramount.</w:t>
      </w:r>
    </w:p>
    <w:p>
      <w:pPr>
        <w:spacing w:after="0" w:line="196"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One of our core areas of focus has been strengthening our advertising business. We have moved quickly to restructure our go-to-market approach, rebuild our team, and invest in the capabilities required to compete in an increasingly digital, performance-driven environment. We consolidated our national sales organization into a single, client-centric structure under unified leadership, formally launched Paramount Media Labs—connecting our IP with brand marketers through more integrated and immersive experiences, and added new talent from leading digital platforms including Amazon, The Trade Desk, Google, Hulu, and Roku, reflecting a deliberate effort to deepen and broaden our expertise.</w:t>
      </w:r>
    </w:p>
    <w:p>
      <w:pPr>
        <w:spacing w:after="0" w:line="207"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At the same time, we are accelerating investment in ad technology, including Precision+, our AI-powered targeting and optimization product, and we are making continued progress in ad serving, CRM unification, and yield management. These efforts are beginning to translate into results: Paramount+ advertising revenue remains strong, digital monetization is improving sequentially across the portfolio, and our programmatic demand pipeline heading into Q2 is encouraging.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9601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937" w:right="359" w:bottom="1440" w:gutter="0" w:footer="0" w:header="0"/>
        </w:sectPr>
      </w:pPr>
    </w:p>
    <w:bookmarkStart w:id="8" w:name="page9"/>
    <w:bookmarkEnd w:id="8"/>
    <w:p>
      <w:pPr>
        <w:spacing w:after="0" w:line="272" w:lineRule="auto"/>
        <w:rPr>
          <w:sz w:val="20"/>
          <w:szCs w:val="20"/>
          <w:color w:val="auto"/>
        </w:rPr>
      </w:pPr>
      <w:r>
        <w:rPr>
          <w:rFonts w:ascii="Arial" w:cs="Arial" w:eastAsia="Arial" w:hAnsi="Arial"/>
          <w:sz w:val="22"/>
          <w:szCs w:val="22"/>
          <w:color w:val="auto"/>
        </w:rPr>
        <w:t>Additionally, at the beginning of Q2 we brought our first divisions in the company live onto Oracle Fusion, and we plan to have the entire organization on one, unified ERP system by early next year.</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Q1 Results and Q2 and 2026 Outlook</w:t>
      </w:r>
    </w:p>
    <w:p>
      <w:pPr>
        <w:spacing w:after="0" w:line="152" w:lineRule="exact"/>
        <w:rPr>
          <w:sz w:val="20"/>
          <w:szCs w:val="20"/>
          <w:color w:val="auto"/>
        </w:rPr>
      </w:pPr>
    </w:p>
    <w:p>
      <w:pPr>
        <w:ind w:right="80"/>
        <w:spacing w:after="0" w:line="264" w:lineRule="auto"/>
        <w:rPr>
          <w:sz w:val="20"/>
          <w:szCs w:val="20"/>
          <w:color w:val="auto"/>
        </w:rPr>
      </w:pPr>
      <w:r>
        <w:rPr>
          <w:rFonts w:ascii="Arial" w:cs="Arial" w:eastAsia="Arial" w:hAnsi="Arial"/>
          <w:sz w:val="21"/>
          <w:szCs w:val="21"/>
          <w:color w:val="auto"/>
        </w:rPr>
        <w:t>A summary and discussion of Q1 results and our Q2 and 2026 outlook are below. As we have previously noted, we are reporting our Q1'26 results under a new segment structure—including our reorganization across DTC, Studios, and TV Media and segment expense allocations. Recast financials for prior periods are reflected in the table below and also available on our IR website and were previously disclosed via an 8-K filing. Additionally, we present periods before (“predecessor”) and after (“successor”) the close of the Skydance Transactions in accordance with the financial reporting requirements for our transaction, further described in the Financial Statement Presentation section in the back of the letter. Additional supplemental information is also available on our IR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1116330</wp:posOffset>
            </wp:positionV>
            <wp:extent cx="9601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937" w:right="35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70"/>
        </w:trPr>
        <w:tc>
          <w:tcPr>
            <w:tcW w:w="1760" w:type="dxa"/>
            <w:vAlign w:val="bottom"/>
            <w:tcBorders>
              <w:left w:val="single" w:sz="8" w:color="auto"/>
            </w:tcBorders>
            <w:shd w:val="clear" w:color="auto" w:fill="000000"/>
          </w:tcPr>
          <w:p>
            <w:pPr>
              <w:spacing w:after="0"/>
              <w:rPr>
                <w:sz w:val="23"/>
                <w:szCs w:val="23"/>
                <w:color w:val="auto"/>
              </w:rPr>
            </w:pPr>
          </w:p>
        </w:tc>
        <w:tc>
          <w:tcPr>
            <w:tcW w:w="260" w:type="dxa"/>
            <w:vAlign w:val="bottom"/>
            <w:shd w:val="clear" w:color="auto" w:fill="000000"/>
          </w:tcPr>
          <w:p>
            <w:pPr>
              <w:spacing w:after="0"/>
              <w:rPr>
                <w:sz w:val="23"/>
                <w:szCs w:val="23"/>
                <w:color w:val="auto"/>
              </w:rPr>
            </w:pPr>
          </w:p>
        </w:tc>
        <w:tc>
          <w:tcPr>
            <w:tcW w:w="650" w:type="dxa"/>
            <w:vAlign w:val="bottom"/>
            <w:shd w:val="clear" w:color="auto" w:fill="000000"/>
          </w:tcPr>
          <w:p>
            <w:pPr>
              <w:spacing w:after="0"/>
              <w:rPr>
                <w:sz w:val="23"/>
                <w:szCs w:val="23"/>
                <w:color w:val="auto"/>
              </w:rPr>
            </w:pPr>
          </w:p>
        </w:tc>
        <w:tc>
          <w:tcPr>
            <w:tcW w:w="1530" w:type="dxa"/>
            <w:vAlign w:val="bottom"/>
            <w:gridSpan w:val="4"/>
            <w:shd w:val="clear" w:color="auto" w:fill="000000"/>
          </w:tcPr>
          <w:p>
            <w:pPr>
              <w:ind w:left="370"/>
              <w:spacing w:after="0"/>
              <w:rPr>
                <w:sz w:val="20"/>
                <w:szCs w:val="20"/>
                <w:color w:val="auto"/>
              </w:rPr>
            </w:pPr>
            <w:r>
              <w:rPr>
                <w:rFonts w:ascii="Arial" w:cs="Arial" w:eastAsia="Arial" w:hAnsi="Arial"/>
                <w:sz w:val="15"/>
                <w:szCs w:val="15"/>
                <w:b w:val="1"/>
                <w:bCs w:val="1"/>
                <w:color w:val="FFFFFF"/>
              </w:rPr>
              <w:t xml:space="preserve">Predecessor </w:t>
            </w:r>
            <w:r>
              <w:rPr>
                <w:rFonts w:ascii="Arial" w:cs="Arial" w:eastAsia="Arial" w:hAnsi="Arial"/>
                <w:sz w:val="19"/>
                <w:szCs w:val="19"/>
                <w:b w:val="1"/>
                <w:bCs w:val="1"/>
                <w:color w:val="FFFFFF"/>
                <w:vertAlign w:val="superscript"/>
              </w:rPr>
              <w:t>(1)</w:t>
            </w:r>
          </w:p>
        </w:tc>
        <w:tc>
          <w:tcPr>
            <w:tcW w:w="140" w:type="dxa"/>
            <w:vAlign w:val="bottom"/>
            <w:shd w:val="clear" w:color="auto" w:fill="000000"/>
          </w:tcPr>
          <w:p>
            <w:pPr>
              <w:spacing w:after="0"/>
              <w:rPr>
                <w:sz w:val="23"/>
                <w:szCs w:val="23"/>
                <w:color w:val="auto"/>
              </w:rPr>
            </w:pPr>
          </w:p>
        </w:tc>
        <w:tc>
          <w:tcPr>
            <w:tcW w:w="730" w:type="dxa"/>
            <w:vAlign w:val="bottom"/>
            <w:shd w:val="clear" w:color="auto" w:fill="000000"/>
          </w:tcPr>
          <w:p>
            <w:pPr>
              <w:spacing w:after="0"/>
              <w:rPr>
                <w:sz w:val="23"/>
                <w:szCs w:val="23"/>
                <w:color w:val="auto"/>
              </w:rPr>
            </w:pPr>
          </w:p>
        </w:tc>
        <w:tc>
          <w:tcPr>
            <w:tcW w:w="570" w:type="dxa"/>
            <w:vAlign w:val="bottom"/>
            <w:shd w:val="clear" w:color="auto" w:fill="000000"/>
          </w:tcPr>
          <w:p>
            <w:pPr>
              <w:spacing w:after="0"/>
              <w:rPr>
                <w:sz w:val="23"/>
                <w:szCs w:val="23"/>
                <w:color w:val="auto"/>
              </w:rPr>
            </w:pPr>
          </w:p>
        </w:tc>
        <w:tc>
          <w:tcPr>
            <w:tcW w:w="140" w:type="dxa"/>
            <w:vAlign w:val="bottom"/>
            <w:shd w:val="clear" w:color="auto" w:fill="000000"/>
          </w:tcPr>
          <w:p>
            <w:pPr>
              <w:spacing w:after="0"/>
              <w:rPr>
                <w:sz w:val="23"/>
                <w:szCs w:val="23"/>
                <w:color w:val="auto"/>
              </w:rPr>
            </w:pPr>
          </w:p>
        </w:tc>
        <w:tc>
          <w:tcPr>
            <w:tcW w:w="700" w:type="dxa"/>
            <w:vAlign w:val="bottom"/>
            <w:shd w:val="clear" w:color="auto" w:fill="000000"/>
          </w:tcPr>
          <w:p>
            <w:pPr>
              <w:spacing w:after="0"/>
              <w:rPr>
                <w:sz w:val="23"/>
                <w:szCs w:val="23"/>
                <w:color w:val="auto"/>
              </w:rPr>
            </w:pPr>
          </w:p>
        </w:tc>
        <w:tc>
          <w:tcPr>
            <w:tcW w:w="1160" w:type="dxa"/>
            <w:vAlign w:val="bottom"/>
            <w:gridSpan w:val="2"/>
            <w:shd w:val="clear" w:color="auto" w:fill="000000"/>
          </w:tcPr>
          <w:p>
            <w:pPr>
              <w:jc w:val="right"/>
              <w:ind w:right="224"/>
              <w:spacing w:after="0"/>
              <w:rPr>
                <w:sz w:val="20"/>
                <w:szCs w:val="20"/>
                <w:color w:val="auto"/>
              </w:rPr>
            </w:pPr>
            <w:r>
              <w:rPr>
                <w:rFonts w:ascii="Arial" w:cs="Arial" w:eastAsia="Arial" w:hAnsi="Arial"/>
                <w:sz w:val="15"/>
                <w:szCs w:val="15"/>
                <w:b w:val="1"/>
                <w:bCs w:val="1"/>
                <w:color w:val="FFFFFF"/>
              </w:rPr>
              <w:t>Successor</w:t>
            </w:r>
          </w:p>
        </w:tc>
        <w:tc>
          <w:tcPr>
            <w:tcW w:w="240" w:type="dxa"/>
            <w:vAlign w:val="bottom"/>
            <w:shd w:val="clear" w:color="auto" w:fill="000000"/>
          </w:tcPr>
          <w:p>
            <w:pPr>
              <w:spacing w:after="0"/>
              <w:rPr>
                <w:sz w:val="23"/>
                <w:szCs w:val="23"/>
                <w:color w:val="auto"/>
              </w:rPr>
            </w:pPr>
          </w:p>
        </w:tc>
        <w:tc>
          <w:tcPr>
            <w:tcW w:w="640" w:type="dxa"/>
            <w:vAlign w:val="bottom"/>
            <w:shd w:val="clear" w:color="auto" w:fill="000000"/>
          </w:tcPr>
          <w:p>
            <w:pPr>
              <w:spacing w:after="0"/>
              <w:rPr>
                <w:sz w:val="23"/>
                <w:szCs w:val="23"/>
                <w:color w:val="auto"/>
              </w:rPr>
            </w:pPr>
          </w:p>
        </w:tc>
        <w:tc>
          <w:tcPr>
            <w:tcW w:w="1140" w:type="dxa"/>
            <w:vAlign w:val="bottom"/>
            <w:shd w:val="clear" w:color="auto" w:fill="000000"/>
          </w:tcPr>
          <w:p>
            <w:pPr>
              <w:spacing w:after="0"/>
              <w:rPr>
                <w:sz w:val="23"/>
                <w:szCs w:val="23"/>
                <w:color w:val="auto"/>
              </w:rPr>
            </w:pPr>
          </w:p>
        </w:tc>
        <w:tc>
          <w:tcPr>
            <w:tcW w:w="680" w:type="dxa"/>
            <w:vAlign w:val="bottom"/>
            <w:gridSpan w:val="2"/>
            <w:shd w:val="clear" w:color="auto" w:fill="000000"/>
          </w:tcPr>
          <w:p>
            <w:pPr>
              <w:jc w:val="right"/>
              <w:ind w:right="4"/>
              <w:spacing w:after="0"/>
              <w:rPr>
                <w:sz w:val="20"/>
                <w:szCs w:val="20"/>
                <w:color w:val="auto"/>
              </w:rPr>
            </w:pPr>
            <w:r>
              <w:rPr>
                <w:rFonts w:ascii="Arial" w:cs="Arial" w:eastAsia="Arial" w:hAnsi="Arial"/>
                <w:sz w:val="15"/>
                <w:szCs w:val="15"/>
                <w:b w:val="1"/>
                <w:bCs w:val="1"/>
                <w:color w:val="FFFFFF"/>
              </w:rPr>
              <w:t>Outlook</w:t>
            </w:r>
          </w:p>
        </w:tc>
        <w:tc>
          <w:tcPr>
            <w:tcW w:w="720" w:type="dxa"/>
            <w:vAlign w:val="bottom"/>
            <w:shd w:val="clear" w:color="auto" w:fill="000000"/>
          </w:tcPr>
          <w:p>
            <w:pPr>
              <w:spacing w:after="0"/>
              <w:rPr>
                <w:sz w:val="23"/>
                <w:szCs w:val="23"/>
                <w:color w:val="auto"/>
              </w:rPr>
            </w:pPr>
          </w:p>
        </w:tc>
        <w:tc>
          <w:tcPr>
            <w:tcW w:w="200" w:type="dxa"/>
            <w:vAlign w:val="bottom"/>
            <w:tcBorders>
              <w:right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760" w:type="dxa"/>
            <w:vAlign w:val="bottom"/>
            <w:tcBorders>
              <w:left w:val="single" w:sz="8" w:color="auto"/>
            </w:tcBorders>
            <w:shd w:val="clear" w:color="auto" w:fill="000000"/>
          </w:tcPr>
          <w:p>
            <w:pPr>
              <w:ind w:left="40"/>
              <w:spacing w:after="0"/>
              <w:rPr>
                <w:sz w:val="20"/>
                <w:szCs w:val="20"/>
                <w:color w:val="auto"/>
              </w:rPr>
            </w:pPr>
            <w:r>
              <w:rPr>
                <w:rFonts w:ascii="Arial" w:cs="Arial" w:eastAsia="Arial" w:hAnsi="Arial"/>
                <w:sz w:val="15"/>
                <w:szCs w:val="15"/>
                <w:i w:val="1"/>
                <w:iCs w:val="1"/>
                <w:color w:val="FFFFFF"/>
              </w:rPr>
              <w:t>In millions, except per</w:t>
            </w:r>
          </w:p>
        </w:tc>
        <w:tc>
          <w:tcPr>
            <w:tcW w:w="260" w:type="dxa"/>
            <w:vAlign w:val="bottom"/>
            <w:shd w:val="clear" w:color="auto" w:fill="000000"/>
          </w:tcPr>
          <w:p>
            <w:pPr>
              <w:spacing w:after="0"/>
              <w:rPr>
                <w:sz w:val="20"/>
                <w:szCs w:val="20"/>
                <w:color w:val="auto"/>
              </w:rPr>
            </w:pPr>
          </w:p>
        </w:tc>
        <w:tc>
          <w:tcPr>
            <w:tcW w:w="650" w:type="dxa"/>
            <w:vAlign w:val="bottom"/>
            <w:shd w:val="clear" w:color="auto" w:fill="000000"/>
          </w:tcPr>
          <w:p>
            <w:pPr>
              <w:spacing w:after="0"/>
              <w:rPr>
                <w:sz w:val="20"/>
                <w:szCs w:val="20"/>
                <w:color w:val="auto"/>
              </w:rPr>
            </w:pPr>
          </w:p>
        </w:tc>
        <w:tc>
          <w:tcPr>
            <w:tcW w:w="390" w:type="dxa"/>
            <w:vAlign w:val="bottom"/>
            <w:shd w:val="clear" w:color="auto" w:fill="000000"/>
          </w:tcPr>
          <w:p>
            <w:pPr>
              <w:spacing w:after="0"/>
              <w:rPr>
                <w:sz w:val="20"/>
                <w:szCs w:val="20"/>
                <w:color w:val="auto"/>
              </w:rPr>
            </w:pPr>
          </w:p>
        </w:tc>
        <w:tc>
          <w:tcPr>
            <w:tcW w:w="160" w:type="dxa"/>
            <w:vAlign w:val="bottom"/>
            <w:shd w:val="clear" w:color="auto" w:fill="000000"/>
          </w:tcPr>
          <w:p>
            <w:pPr>
              <w:spacing w:after="0"/>
              <w:rPr>
                <w:sz w:val="20"/>
                <w:szCs w:val="20"/>
                <w:color w:val="auto"/>
              </w:rPr>
            </w:pPr>
          </w:p>
        </w:tc>
        <w:tc>
          <w:tcPr>
            <w:tcW w:w="670" w:type="dxa"/>
            <w:vAlign w:val="bottom"/>
            <w:shd w:val="clear" w:color="auto" w:fill="000000"/>
          </w:tcPr>
          <w:p>
            <w:pPr>
              <w:spacing w:after="0"/>
              <w:rPr>
                <w:sz w:val="20"/>
                <w:szCs w:val="20"/>
                <w:color w:val="auto"/>
              </w:rPr>
            </w:pPr>
          </w:p>
        </w:tc>
        <w:tc>
          <w:tcPr>
            <w:tcW w:w="310" w:type="dxa"/>
            <w:vAlign w:val="bottom"/>
            <w:shd w:val="clear" w:color="auto" w:fill="000000"/>
          </w:tcPr>
          <w:p>
            <w:pPr>
              <w:spacing w:after="0"/>
              <w:rPr>
                <w:sz w:val="20"/>
                <w:szCs w:val="20"/>
                <w:color w:val="auto"/>
              </w:rPr>
            </w:pPr>
          </w:p>
        </w:tc>
        <w:tc>
          <w:tcPr>
            <w:tcW w:w="140" w:type="dxa"/>
            <w:vAlign w:val="bottom"/>
            <w:shd w:val="clear" w:color="auto" w:fill="000000"/>
          </w:tcPr>
          <w:p>
            <w:pPr>
              <w:spacing w:after="0"/>
              <w:rPr>
                <w:sz w:val="20"/>
                <w:szCs w:val="20"/>
                <w:color w:val="auto"/>
              </w:rPr>
            </w:pPr>
          </w:p>
        </w:tc>
        <w:tc>
          <w:tcPr>
            <w:tcW w:w="730" w:type="dxa"/>
            <w:vAlign w:val="bottom"/>
            <w:shd w:val="clear" w:color="auto" w:fill="000000"/>
          </w:tcPr>
          <w:p>
            <w:pPr>
              <w:jc w:val="right"/>
              <w:ind w:right="94"/>
              <w:spacing w:after="0"/>
              <w:rPr>
                <w:sz w:val="20"/>
                <w:szCs w:val="20"/>
                <w:color w:val="auto"/>
              </w:rPr>
            </w:pPr>
            <w:r>
              <w:rPr>
                <w:rFonts w:ascii="Arial" w:cs="Arial" w:eastAsia="Arial" w:hAnsi="Arial"/>
                <w:sz w:val="15"/>
                <w:szCs w:val="15"/>
                <w:b w:val="1"/>
                <w:bCs w:val="1"/>
                <w:color w:val="FFFFFF"/>
              </w:rPr>
              <w:t>7/1/25 -</w:t>
            </w:r>
          </w:p>
        </w:tc>
        <w:tc>
          <w:tcPr>
            <w:tcW w:w="570" w:type="dxa"/>
            <w:vAlign w:val="bottom"/>
            <w:shd w:val="clear" w:color="auto" w:fill="000000"/>
          </w:tcPr>
          <w:p>
            <w:pPr>
              <w:spacing w:after="0"/>
              <w:rPr>
                <w:sz w:val="20"/>
                <w:szCs w:val="20"/>
                <w:color w:val="auto"/>
              </w:rPr>
            </w:pPr>
          </w:p>
        </w:tc>
        <w:tc>
          <w:tcPr>
            <w:tcW w:w="140" w:type="dxa"/>
            <w:vAlign w:val="bottom"/>
            <w:shd w:val="clear" w:color="auto" w:fill="000000"/>
          </w:tcPr>
          <w:p>
            <w:pPr>
              <w:spacing w:after="0"/>
              <w:rPr>
                <w:sz w:val="20"/>
                <w:szCs w:val="20"/>
                <w:color w:val="auto"/>
              </w:rPr>
            </w:pPr>
          </w:p>
        </w:tc>
        <w:tc>
          <w:tcPr>
            <w:tcW w:w="700" w:type="dxa"/>
            <w:vAlign w:val="bottom"/>
            <w:shd w:val="clear" w:color="auto" w:fill="000000"/>
          </w:tcPr>
          <w:p>
            <w:pPr>
              <w:jc w:val="right"/>
              <w:ind w:right="84"/>
              <w:spacing w:after="0"/>
              <w:rPr>
                <w:sz w:val="20"/>
                <w:szCs w:val="20"/>
                <w:color w:val="auto"/>
              </w:rPr>
            </w:pPr>
            <w:r>
              <w:rPr>
                <w:rFonts w:ascii="Arial" w:cs="Arial" w:eastAsia="Arial" w:hAnsi="Arial"/>
                <w:sz w:val="15"/>
                <w:szCs w:val="15"/>
                <w:b w:val="1"/>
                <w:bCs w:val="1"/>
                <w:color w:val="FFFFFF"/>
              </w:rPr>
              <w:t>8/7/25 -</w:t>
            </w:r>
          </w:p>
        </w:tc>
        <w:tc>
          <w:tcPr>
            <w:tcW w:w="500" w:type="dxa"/>
            <w:vAlign w:val="bottom"/>
            <w:shd w:val="clear" w:color="auto" w:fill="000000"/>
          </w:tcPr>
          <w:p>
            <w:pPr>
              <w:spacing w:after="0"/>
              <w:rPr>
                <w:sz w:val="20"/>
                <w:szCs w:val="20"/>
                <w:color w:val="auto"/>
              </w:rPr>
            </w:pPr>
          </w:p>
        </w:tc>
        <w:tc>
          <w:tcPr>
            <w:tcW w:w="66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640" w:type="dxa"/>
            <w:vAlign w:val="bottom"/>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44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00" w:type="dxa"/>
            <w:vAlign w:val="bottom"/>
            <w:tcBorders>
              <w:right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60" w:type="dxa"/>
            <w:vAlign w:val="bottom"/>
            <w:tcBorders>
              <w:left w:val="single" w:sz="8" w:color="auto"/>
            </w:tcBorders>
            <w:shd w:val="clear" w:color="auto" w:fill="000000"/>
          </w:tcPr>
          <w:p>
            <w:pPr>
              <w:ind w:left="40"/>
              <w:spacing w:after="0"/>
              <w:rPr>
                <w:sz w:val="20"/>
                <w:szCs w:val="20"/>
                <w:color w:val="auto"/>
              </w:rPr>
            </w:pPr>
            <w:r>
              <w:rPr>
                <w:rFonts w:ascii="Arial" w:cs="Arial" w:eastAsia="Arial" w:hAnsi="Arial"/>
                <w:sz w:val="15"/>
                <w:szCs w:val="15"/>
                <w:i w:val="1"/>
                <w:iCs w:val="1"/>
                <w:color w:val="FFFFFF"/>
              </w:rPr>
              <w:t>share amounts</w:t>
            </w:r>
          </w:p>
        </w:tc>
        <w:tc>
          <w:tcPr>
            <w:tcW w:w="260" w:type="dxa"/>
            <w:vAlign w:val="bottom"/>
            <w:shd w:val="clear" w:color="auto" w:fill="000000"/>
          </w:tcPr>
          <w:p>
            <w:pPr>
              <w:spacing w:after="0"/>
              <w:rPr>
                <w:sz w:val="22"/>
                <w:szCs w:val="22"/>
                <w:color w:val="auto"/>
              </w:rPr>
            </w:pPr>
          </w:p>
        </w:tc>
        <w:tc>
          <w:tcPr>
            <w:tcW w:w="650" w:type="dxa"/>
            <w:vAlign w:val="bottom"/>
            <w:shd w:val="clear" w:color="auto" w:fill="000000"/>
          </w:tcPr>
          <w:p>
            <w:pPr>
              <w:jc w:val="right"/>
              <w:ind w:right="114"/>
              <w:spacing w:after="0"/>
              <w:rPr>
                <w:sz w:val="20"/>
                <w:szCs w:val="20"/>
                <w:color w:val="auto"/>
              </w:rPr>
            </w:pPr>
            <w:r>
              <w:rPr>
                <w:rFonts w:ascii="Arial" w:cs="Arial" w:eastAsia="Arial" w:hAnsi="Arial"/>
                <w:sz w:val="15"/>
                <w:szCs w:val="15"/>
                <w:b w:val="1"/>
                <w:bCs w:val="1"/>
                <w:color w:val="FFFFFF"/>
              </w:rPr>
              <w:t>Q1’25</w:t>
            </w:r>
          </w:p>
        </w:tc>
        <w:tc>
          <w:tcPr>
            <w:tcW w:w="390" w:type="dxa"/>
            <w:vAlign w:val="bottom"/>
            <w:shd w:val="clear" w:color="auto" w:fill="000000"/>
          </w:tcPr>
          <w:p>
            <w:pPr>
              <w:spacing w:after="0"/>
              <w:rPr>
                <w:sz w:val="22"/>
                <w:szCs w:val="22"/>
                <w:color w:val="auto"/>
              </w:rPr>
            </w:pPr>
          </w:p>
        </w:tc>
        <w:tc>
          <w:tcPr>
            <w:tcW w:w="160" w:type="dxa"/>
            <w:vAlign w:val="bottom"/>
            <w:shd w:val="clear" w:color="auto" w:fill="000000"/>
          </w:tcPr>
          <w:p>
            <w:pPr>
              <w:spacing w:after="0"/>
              <w:rPr>
                <w:sz w:val="22"/>
                <w:szCs w:val="22"/>
                <w:color w:val="auto"/>
              </w:rPr>
            </w:pPr>
          </w:p>
        </w:tc>
        <w:tc>
          <w:tcPr>
            <w:tcW w:w="670" w:type="dxa"/>
            <w:vAlign w:val="bottom"/>
            <w:shd w:val="clear" w:color="auto" w:fill="000000"/>
          </w:tcPr>
          <w:p>
            <w:pPr>
              <w:jc w:val="right"/>
              <w:ind w:right="134"/>
              <w:spacing w:after="0"/>
              <w:rPr>
                <w:sz w:val="20"/>
                <w:szCs w:val="20"/>
                <w:color w:val="auto"/>
              </w:rPr>
            </w:pPr>
            <w:r>
              <w:rPr>
                <w:rFonts w:ascii="Arial" w:cs="Arial" w:eastAsia="Arial" w:hAnsi="Arial"/>
                <w:sz w:val="15"/>
                <w:szCs w:val="15"/>
                <w:b w:val="1"/>
                <w:bCs w:val="1"/>
                <w:color w:val="FFFFFF"/>
              </w:rPr>
              <w:t>Q2’25</w:t>
            </w:r>
          </w:p>
        </w:tc>
        <w:tc>
          <w:tcPr>
            <w:tcW w:w="310" w:type="dxa"/>
            <w:vAlign w:val="bottom"/>
            <w:shd w:val="clear" w:color="auto" w:fill="000000"/>
          </w:tcPr>
          <w:p>
            <w:pPr>
              <w:spacing w:after="0"/>
              <w:rPr>
                <w:sz w:val="22"/>
                <w:szCs w:val="22"/>
                <w:color w:val="auto"/>
              </w:rPr>
            </w:pPr>
          </w:p>
        </w:tc>
        <w:tc>
          <w:tcPr>
            <w:tcW w:w="140" w:type="dxa"/>
            <w:vAlign w:val="bottom"/>
            <w:shd w:val="clear" w:color="auto" w:fill="000000"/>
          </w:tcPr>
          <w:p>
            <w:pPr>
              <w:spacing w:after="0"/>
              <w:rPr>
                <w:sz w:val="22"/>
                <w:szCs w:val="22"/>
                <w:color w:val="auto"/>
              </w:rPr>
            </w:pPr>
          </w:p>
        </w:tc>
        <w:tc>
          <w:tcPr>
            <w:tcW w:w="730" w:type="dxa"/>
            <w:vAlign w:val="bottom"/>
            <w:shd w:val="clear" w:color="auto" w:fill="000000"/>
          </w:tcPr>
          <w:p>
            <w:pPr>
              <w:jc w:val="right"/>
              <w:ind w:right="134"/>
              <w:spacing w:after="0"/>
              <w:rPr>
                <w:sz w:val="20"/>
                <w:szCs w:val="20"/>
                <w:color w:val="auto"/>
              </w:rPr>
            </w:pPr>
            <w:r>
              <w:rPr>
                <w:rFonts w:ascii="Arial" w:cs="Arial" w:eastAsia="Arial" w:hAnsi="Arial"/>
                <w:sz w:val="15"/>
                <w:szCs w:val="15"/>
                <w:b w:val="1"/>
                <w:bCs w:val="1"/>
                <w:color w:val="FFFFFF"/>
              </w:rPr>
              <w:t>8/6/25</w:t>
            </w:r>
          </w:p>
        </w:tc>
        <w:tc>
          <w:tcPr>
            <w:tcW w:w="570" w:type="dxa"/>
            <w:vAlign w:val="bottom"/>
            <w:shd w:val="clear" w:color="auto" w:fill="000000"/>
          </w:tcPr>
          <w:p>
            <w:pPr>
              <w:spacing w:after="0"/>
              <w:rPr>
                <w:sz w:val="22"/>
                <w:szCs w:val="22"/>
                <w:color w:val="auto"/>
              </w:rPr>
            </w:pPr>
          </w:p>
        </w:tc>
        <w:tc>
          <w:tcPr>
            <w:tcW w:w="140" w:type="dxa"/>
            <w:vAlign w:val="bottom"/>
            <w:shd w:val="clear" w:color="auto" w:fill="000000"/>
          </w:tcPr>
          <w:p>
            <w:pPr>
              <w:spacing w:after="0"/>
              <w:rPr>
                <w:sz w:val="22"/>
                <w:szCs w:val="22"/>
                <w:color w:val="auto"/>
              </w:rPr>
            </w:pPr>
          </w:p>
        </w:tc>
        <w:tc>
          <w:tcPr>
            <w:tcW w:w="700" w:type="dxa"/>
            <w:vAlign w:val="bottom"/>
            <w:shd w:val="clear" w:color="auto" w:fill="000000"/>
          </w:tcPr>
          <w:p>
            <w:pPr>
              <w:jc w:val="right"/>
              <w:ind w:right="84"/>
              <w:spacing w:after="0"/>
              <w:rPr>
                <w:sz w:val="20"/>
                <w:szCs w:val="20"/>
                <w:color w:val="auto"/>
              </w:rPr>
            </w:pPr>
            <w:r>
              <w:rPr>
                <w:rFonts w:ascii="Arial" w:cs="Arial" w:eastAsia="Arial" w:hAnsi="Arial"/>
                <w:sz w:val="15"/>
                <w:szCs w:val="15"/>
                <w:b w:val="1"/>
                <w:bCs w:val="1"/>
                <w:color w:val="FFFFFF"/>
              </w:rPr>
              <w:t>9/30/25</w:t>
            </w:r>
          </w:p>
        </w:tc>
        <w:tc>
          <w:tcPr>
            <w:tcW w:w="500" w:type="dxa"/>
            <w:vAlign w:val="bottom"/>
            <w:shd w:val="clear" w:color="auto" w:fill="000000"/>
          </w:tcPr>
          <w:p>
            <w:pPr>
              <w:spacing w:after="0"/>
              <w:rPr>
                <w:sz w:val="22"/>
                <w:szCs w:val="22"/>
                <w:color w:val="auto"/>
              </w:rPr>
            </w:pPr>
          </w:p>
        </w:tc>
        <w:tc>
          <w:tcPr>
            <w:tcW w:w="660" w:type="dxa"/>
            <w:vAlign w:val="bottom"/>
            <w:shd w:val="clear" w:color="auto" w:fill="000000"/>
          </w:tcPr>
          <w:p>
            <w:pPr>
              <w:jc w:val="right"/>
              <w:ind w:right="104"/>
              <w:spacing w:after="0"/>
              <w:rPr>
                <w:sz w:val="20"/>
                <w:szCs w:val="20"/>
                <w:color w:val="auto"/>
              </w:rPr>
            </w:pPr>
            <w:r>
              <w:rPr>
                <w:rFonts w:ascii="Arial" w:cs="Arial" w:eastAsia="Arial" w:hAnsi="Arial"/>
                <w:sz w:val="15"/>
                <w:szCs w:val="15"/>
                <w:b w:val="1"/>
                <w:bCs w:val="1"/>
                <w:color w:val="FFFFFF"/>
              </w:rPr>
              <w:t>Q4’25</w:t>
            </w:r>
          </w:p>
        </w:tc>
        <w:tc>
          <w:tcPr>
            <w:tcW w:w="240" w:type="dxa"/>
            <w:vAlign w:val="bottom"/>
            <w:shd w:val="clear" w:color="auto" w:fill="000000"/>
          </w:tcPr>
          <w:p>
            <w:pPr>
              <w:spacing w:after="0"/>
              <w:rPr>
                <w:sz w:val="22"/>
                <w:szCs w:val="22"/>
                <w:color w:val="auto"/>
              </w:rPr>
            </w:pPr>
          </w:p>
        </w:tc>
        <w:tc>
          <w:tcPr>
            <w:tcW w:w="640" w:type="dxa"/>
            <w:vAlign w:val="bottom"/>
            <w:shd w:val="clear" w:color="auto" w:fill="000000"/>
          </w:tcPr>
          <w:p>
            <w:pPr>
              <w:jc w:val="right"/>
              <w:ind w:right="104"/>
              <w:spacing w:after="0"/>
              <w:rPr>
                <w:sz w:val="20"/>
                <w:szCs w:val="20"/>
                <w:color w:val="auto"/>
              </w:rPr>
            </w:pPr>
            <w:r>
              <w:rPr>
                <w:rFonts w:ascii="Arial" w:cs="Arial" w:eastAsia="Arial" w:hAnsi="Arial"/>
                <w:sz w:val="15"/>
                <w:szCs w:val="15"/>
                <w:b w:val="1"/>
                <w:bCs w:val="1"/>
                <w:color w:val="FFFFFF"/>
              </w:rPr>
              <w:t>Q1’26</w:t>
            </w:r>
          </w:p>
        </w:tc>
        <w:tc>
          <w:tcPr>
            <w:tcW w:w="1380" w:type="dxa"/>
            <w:vAlign w:val="bottom"/>
            <w:gridSpan w:val="2"/>
            <w:shd w:val="clear" w:color="auto" w:fill="000000"/>
          </w:tcPr>
          <w:p>
            <w:pPr>
              <w:jc w:val="center"/>
              <w:ind w:left="124"/>
              <w:spacing w:after="0"/>
              <w:rPr>
                <w:sz w:val="20"/>
                <w:szCs w:val="20"/>
                <w:color w:val="auto"/>
              </w:rPr>
            </w:pPr>
            <w:r>
              <w:rPr>
                <w:rFonts w:ascii="Arial" w:cs="Arial" w:eastAsia="Arial" w:hAnsi="Arial"/>
                <w:sz w:val="15"/>
                <w:szCs w:val="15"/>
                <w:b w:val="1"/>
                <w:bCs w:val="1"/>
                <w:color w:val="FFFFFF"/>
              </w:rPr>
              <w:t>Q2’26</w:t>
            </w:r>
          </w:p>
        </w:tc>
        <w:tc>
          <w:tcPr>
            <w:tcW w:w="440" w:type="dxa"/>
            <w:vAlign w:val="bottom"/>
            <w:shd w:val="clear" w:color="auto" w:fill="000000"/>
          </w:tcPr>
          <w:p>
            <w:pPr>
              <w:spacing w:after="0"/>
              <w:rPr>
                <w:sz w:val="22"/>
                <w:szCs w:val="22"/>
                <w:color w:val="auto"/>
              </w:rPr>
            </w:pPr>
          </w:p>
        </w:tc>
        <w:tc>
          <w:tcPr>
            <w:tcW w:w="720" w:type="dxa"/>
            <w:vAlign w:val="bottom"/>
            <w:shd w:val="clear" w:color="auto" w:fill="000000"/>
          </w:tcPr>
          <w:p>
            <w:pPr>
              <w:jc w:val="center"/>
              <w:ind w:right="104"/>
              <w:spacing w:after="0"/>
              <w:rPr>
                <w:sz w:val="20"/>
                <w:szCs w:val="20"/>
                <w:color w:val="auto"/>
              </w:rPr>
            </w:pPr>
            <w:r>
              <w:rPr>
                <w:rFonts w:ascii="Arial" w:cs="Arial" w:eastAsia="Arial" w:hAnsi="Arial"/>
                <w:sz w:val="15"/>
                <w:szCs w:val="15"/>
                <w:b w:val="1"/>
                <w:bCs w:val="1"/>
                <w:color w:val="FFFFFF"/>
              </w:rPr>
              <w:t>2026</w:t>
            </w:r>
          </w:p>
        </w:tc>
        <w:tc>
          <w:tcPr>
            <w:tcW w:w="200" w:type="dxa"/>
            <w:vAlign w:val="bottom"/>
            <w:tcBorders>
              <w:right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1760" w:type="dxa"/>
            <w:vAlign w:val="bottom"/>
            <w:tcBorders>
              <w:lef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50" w:type="dxa"/>
            <w:vAlign w:val="bottom"/>
            <w:shd w:val="clear" w:color="auto" w:fill="000000"/>
          </w:tcPr>
          <w:p>
            <w:pPr>
              <w:spacing w:after="0"/>
              <w:rPr>
                <w:sz w:val="2"/>
                <w:szCs w:val="2"/>
                <w:color w:val="auto"/>
              </w:rPr>
            </w:pPr>
          </w:p>
        </w:tc>
        <w:tc>
          <w:tcPr>
            <w:tcW w:w="39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70" w:type="dxa"/>
            <w:vAlign w:val="bottom"/>
            <w:shd w:val="clear" w:color="auto" w:fill="000000"/>
          </w:tcPr>
          <w:p>
            <w:pPr>
              <w:spacing w:after="0"/>
              <w:rPr>
                <w:sz w:val="2"/>
                <w:szCs w:val="2"/>
                <w:color w:val="auto"/>
              </w:rPr>
            </w:pPr>
          </w:p>
        </w:tc>
        <w:tc>
          <w:tcPr>
            <w:tcW w:w="31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30" w:type="dxa"/>
            <w:vAlign w:val="bottom"/>
            <w:shd w:val="clear" w:color="auto" w:fill="000000"/>
          </w:tcPr>
          <w:p>
            <w:pPr>
              <w:spacing w:after="0"/>
              <w:rPr>
                <w:sz w:val="2"/>
                <w:szCs w:val="2"/>
                <w:color w:val="auto"/>
              </w:rPr>
            </w:pPr>
          </w:p>
        </w:tc>
        <w:tc>
          <w:tcPr>
            <w:tcW w:w="57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1760" w:type="dxa"/>
            <w:vAlign w:val="bottom"/>
            <w:tcBorders>
              <w:left w:val="single" w:sz="8" w:color="auto"/>
              <w:bottom w:val="single" w:sz="8" w:color="auto"/>
            </w:tcBorders>
            <w:shd w:val="clear" w:color="auto" w:fill="000000"/>
          </w:tcPr>
          <w:p>
            <w:pPr>
              <w:spacing w:after="0"/>
              <w:rPr>
                <w:sz w:val="4"/>
                <w:szCs w:val="4"/>
                <w:color w:val="auto"/>
              </w:rPr>
            </w:pPr>
          </w:p>
        </w:tc>
        <w:tc>
          <w:tcPr>
            <w:tcW w:w="260" w:type="dxa"/>
            <w:vAlign w:val="bottom"/>
            <w:tcBorders>
              <w:bottom w:val="single" w:sz="8" w:color="auto"/>
            </w:tcBorders>
            <w:shd w:val="clear" w:color="auto" w:fill="000000"/>
          </w:tcPr>
          <w:p>
            <w:pPr>
              <w:spacing w:after="0"/>
              <w:rPr>
                <w:sz w:val="4"/>
                <w:szCs w:val="4"/>
                <w:color w:val="auto"/>
              </w:rPr>
            </w:pPr>
          </w:p>
        </w:tc>
        <w:tc>
          <w:tcPr>
            <w:tcW w:w="650" w:type="dxa"/>
            <w:vAlign w:val="bottom"/>
            <w:tcBorders>
              <w:bottom w:val="single" w:sz="8" w:color="auto"/>
            </w:tcBorders>
            <w:shd w:val="clear" w:color="auto" w:fill="000000"/>
          </w:tcPr>
          <w:p>
            <w:pPr>
              <w:spacing w:after="0"/>
              <w:rPr>
                <w:sz w:val="4"/>
                <w:szCs w:val="4"/>
                <w:color w:val="auto"/>
              </w:rPr>
            </w:pPr>
          </w:p>
        </w:tc>
        <w:tc>
          <w:tcPr>
            <w:tcW w:w="390" w:type="dxa"/>
            <w:vAlign w:val="bottom"/>
            <w:tcBorders>
              <w:bottom w:val="single" w:sz="8" w:color="auto"/>
            </w:tcBorders>
            <w:shd w:val="clear" w:color="auto" w:fill="000000"/>
          </w:tcPr>
          <w:p>
            <w:pPr>
              <w:spacing w:after="0"/>
              <w:rPr>
                <w:sz w:val="4"/>
                <w:szCs w:val="4"/>
                <w:color w:val="auto"/>
              </w:rPr>
            </w:pPr>
          </w:p>
        </w:tc>
        <w:tc>
          <w:tcPr>
            <w:tcW w:w="160" w:type="dxa"/>
            <w:vAlign w:val="bottom"/>
            <w:tcBorders>
              <w:bottom w:val="single" w:sz="8" w:color="auto"/>
            </w:tcBorders>
            <w:shd w:val="clear" w:color="auto" w:fill="000000"/>
          </w:tcPr>
          <w:p>
            <w:pPr>
              <w:spacing w:after="0"/>
              <w:rPr>
                <w:sz w:val="4"/>
                <w:szCs w:val="4"/>
                <w:color w:val="auto"/>
              </w:rPr>
            </w:pPr>
          </w:p>
        </w:tc>
        <w:tc>
          <w:tcPr>
            <w:tcW w:w="670" w:type="dxa"/>
            <w:vAlign w:val="bottom"/>
            <w:tcBorders>
              <w:bottom w:val="single" w:sz="8" w:color="auto"/>
            </w:tcBorders>
            <w:shd w:val="clear" w:color="auto" w:fill="000000"/>
          </w:tcPr>
          <w:p>
            <w:pPr>
              <w:spacing w:after="0"/>
              <w:rPr>
                <w:sz w:val="4"/>
                <w:szCs w:val="4"/>
                <w:color w:val="auto"/>
              </w:rPr>
            </w:pPr>
          </w:p>
        </w:tc>
        <w:tc>
          <w:tcPr>
            <w:tcW w:w="310" w:type="dxa"/>
            <w:vAlign w:val="bottom"/>
            <w:tcBorders>
              <w:bottom w:val="single" w:sz="8" w:color="auto"/>
            </w:tcBorders>
            <w:shd w:val="clear" w:color="auto" w:fill="000000"/>
          </w:tcPr>
          <w:p>
            <w:pPr>
              <w:spacing w:after="0"/>
              <w:rPr>
                <w:sz w:val="4"/>
                <w:szCs w:val="4"/>
                <w:color w:val="auto"/>
              </w:rPr>
            </w:pPr>
          </w:p>
        </w:tc>
        <w:tc>
          <w:tcPr>
            <w:tcW w:w="140" w:type="dxa"/>
            <w:vAlign w:val="bottom"/>
            <w:tcBorders>
              <w:bottom w:val="single" w:sz="8" w:color="auto"/>
            </w:tcBorders>
            <w:shd w:val="clear" w:color="auto" w:fill="000000"/>
          </w:tcPr>
          <w:p>
            <w:pPr>
              <w:spacing w:after="0"/>
              <w:rPr>
                <w:sz w:val="4"/>
                <w:szCs w:val="4"/>
                <w:color w:val="auto"/>
              </w:rPr>
            </w:pPr>
          </w:p>
        </w:tc>
        <w:tc>
          <w:tcPr>
            <w:tcW w:w="730" w:type="dxa"/>
            <w:vAlign w:val="bottom"/>
            <w:tcBorders>
              <w:bottom w:val="single" w:sz="8" w:color="auto"/>
            </w:tcBorders>
            <w:shd w:val="clear" w:color="auto" w:fill="000000"/>
          </w:tcPr>
          <w:p>
            <w:pPr>
              <w:spacing w:after="0"/>
              <w:rPr>
                <w:sz w:val="4"/>
                <w:szCs w:val="4"/>
                <w:color w:val="auto"/>
              </w:rPr>
            </w:pPr>
          </w:p>
        </w:tc>
        <w:tc>
          <w:tcPr>
            <w:tcW w:w="570" w:type="dxa"/>
            <w:vAlign w:val="bottom"/>
            <w:tcBorders>
              <w:bottom w:val="single" w:sz="8" w:color="auto"/>
            </w:tcBorders>
            <w:shd w:val="clear" w:color="auto" w:fill="000000"/>
          </w:tcPr>
          <w:p>
            <w:pPr>
              <w:spacing w:after="0"/>
              <w:rPr>
                <w:sz w:val="4"/>
                <w:szCs w:val="4"/>
                <w:color w:val="auto"/>
              </w:rPr>
            </w:pPr>
          </w:p>
        </w:tc>
        <w:tc>
          <w:tcPr>
            <w:tcW w:w="140" w:type="dxa"/>
            <w:vAlign w:val="bottom"/>
            <w:tcBorders>
              <w:bottom w:val="single" w:sz="8" w:color="auto"/>
            </w:tcBorders>
            <w:shd w:val="clear" w:color="auto" w:fill="000000"/>
          </w:tcPr>
          <w:p>
            <w:pPr>
              <w:spacing w:after="0"/>
              <w:rPr>
                <w:sz w:val="4"/>
                <w:szCs w:val="4"/>
                <w:color w:val="auto"/>
              </w:rPr>
            </w:pPr>
          </w:p>
        </w:tc>
        <w:tc>
          <w:tcPr>
            <w:tcW w:w="700" w:type="dxa"/>
            <w:vAlign w:val="bottom"/>
            <w:tcBorders>
              <w:bottom w:val="single" w:sz="8" w:color="auto"/>
            </w:tcBorders>
            <w:shd w:val="clear" w:color="auto" w:fill="000000"/>
          </w:tcPr>
          <w:p>
            <w:pPr>
              <w:spacing w:after="0"/>
              <w:rPr>
                <w:sz w:val="4"/>
                <w:szCs w:val="4"/>
                <w:color w:val="auto"/>
              </w:rPr>
            </w:pPr>
          </w:p>
        </w:tc>
        <w:tc>
          <w:tcPr>
            <w:tcW w:w="500" w:type="dxa"/>
            <w:vAlign w:val="bottom"/>
            <w:tcBorders>
              <w:bottom w:val="single" w:sz="8" w:color="auto"/>
            </w:tcBorders>
            <w:shd w:val="clear" w:color="auto" w:fill="000000"/>
          </w:tcPr>
          <w:p>
            <w:pPr>
              <w:spacing w:after="0"/>
              <w:rPr>
                <w:sz w:val="4"/>
                <w:szCs w:val="4"/>
                <w:color w:val="auto"/>
              </w:rPr>
            </w:pPr>
          </w:p>
        </w:tc>
        <w:tc>
          <w:tcPr>
            <w:tcW w:w="660" w:type="dxa"/>
            <w:vAlign w:val="bottom"/>
            <w:tcBorders>
              <w:bottom w:val="single" w:sz="8" w:color="auto"/>
            </w:tcBorders>
            <w:shd w:val="clear" w:color="auto" w:fill="000000"/>
          </w:tcPr>
          <w:p>
            <w:pPr>
              <w:spacing w:after="0"/>
              <w:rPr>
                <w:sz w:val="4"/>
                <w:szCs w:val="4"/>
                <w:color w:val="auto"/>
              </w:rPr>
            </w:pPr>
          </w:p>
        </w:tc>
        <w:tc>
          <w:tcPr>
            <w:tcW w:w="240" w:type="dxa"/>
            <w:vAlign w:val="bottom"/>
            <w:tcBorders>
              <w:bottom w:val="single" w:sz="8" w:color="auto"/>
            </w:tcBorders>
            <w:shd w:val="clear" w:color="auto" w:fill="000000"/>
          </w:tcPr>
          <w:p>
            <w:pPr>
              <w:spacing w:after="0"/>
              <w:rPr>
                <w:sz w:val="4"/>
                <w:szCs w:val="4"/>
                <w:color w:val="auto"/>
              </w:rPr>
            </w:pPr>
          </w:p>
        </w:tc>
        <w:tc>
          <w:tcPr>
            <w:tcW w:w="640" w:type="dxa"/>
            <w:vAlign w:val="bottom"/>
            <w:tcBorders>
              <w:bottom w:val="single" w:sz="8" w:color="auto"/>
            </w:tcBorders>
            <w:shd w:val="clear" w:color="auto" w:fill="000000"/>
          </w:tcPr>
          <w:p>
            <w:pPr>
              <w:spacing w:after="0"/>
              <w:rPr>
                <w:sz w:val="4"/>
                <w:szCs w:val="4"/>
                <w:color w:val="auto"/>
              </w:rPr>
            </w:pPr>
          </w:p>
        </w:tc>
        <w:tc>
          <w:tcPr>
            <w:tcW w:w="1140" w:type="dxa"/>
            <w:vAlign w:val="bottom"/>
            <w:tcBorders>
              <w:bottom w:val="single" w:sz="8" w:color="auto"/>
            </w:tcBorders>
            <w:shd w:val="clear" w:color="auto" w:fill="000000"/>
          </w:tcPr>
          <w:p>
            <w:pPr>
              <w:spacing w:after="0"/>
              <w:rPr>
                <w:sz w:val="4"/>
                <w:szCs w:val="4"/>
                <w:color w:val="auto"/>
              </w:rPr>
            </w:pPr>
          </w:p>
        </w:tc>
        <w:tc>
          <w:tcPr>
            <w:tcW w:w="240" w:type="dxa"/>
            <w:vAlign w:val="bottom"/>
            <w:tcBorders>
              <w:bottom w:val="single" w:sz="8" w:color="auto"/>
            </w:tcBorders>
            <w:shd w:val="clear" w:color="auto" w:fill="000000"/>
          </w:tcPr>
          <w:p>
            <w:pPr>
              <w:spacing w:after="0"/>
              <w:rPr>
                <w:sz w:val="4"/>
                <w:szCs w:val="4"/>
                <w:color w:val="auto"/>
              </w:rPr>
            </w:pPr>
          </w:p>
        </w:tc>
        <w:tc>
          <w:tcPr>
            <w:tcW w:w="440" w:type="dxa"/>
            <w:vAlign w:val="bottom"/>
            <w:tcBorders>
              <w:bottom w:val="single" w:sz="8" w:color="auto"/>
            </w:tcBorders>
            <w:shd w:val="clear" w:color="auto" w:fill="000000"/>
          </w:tcPr>
          <w:p>
            <w:pPr>
              <w:spacing w:after="0"/>
              <w:rPr>
                <w:sz w:val="4"/>
                <w:szCs w:val="4"/>
                <w:color w:val="auto"/>
              </w:rPr>
            </w:pPr>
          </w:p>
        </w:tc>
        <w:tc>
          <w:tcPr>
            <w:tcW w:w="720" w:type="dxa"/>
            <w:vAlign w:val="bottom"/>
            <w:tcBorders>
              <w:bottom w:val="single" w:sz="8" w:color="auto"/>
            </w:tcBorders>
            <w:shd w:val="clear" w:color="auto" w:fill="000000"/>
          </w:tcPr>
          <w:p>
            <w:pPr>
              <w:spacing w:after="0"/>
              <w:rPr>
                <w:sz w:val="4"/>
                <w:szCs w:val="4"/>
                <w:color w:val="auto"/>
              </w:rPr>
            </w:pPr>
          </w:p>
        </w:tc>
        <w:tc>
          <w:tcPr>
            <w:tcW w:w="200" w:type="dxa"/>
            <w:vAlign w:val="bottom"/>
            <w:tcBorders>
              <w:bottom w:val="single" w:sz="8" w:color="auto"/>
              <w:right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Direct-to-Consumer</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50" w:type="dxa"/>
            <w:vAlign w:val="bottom"/>
          </w:tcPr>
          <w:p>
            <w:pPr>
              <w:jc w:val="right"/>
              <w:ind w:right="134"/>
              <w:spacing w:after="0"/>
              <w:rPr>
                <w:sz w:val="20"/>
                <w:szCs w:val="20"/>
                <w:color w:val="auto"/>
              </w:rPr>
            </w:pPr>
            <w:r>
              <w:rPr>
                <w:rFonts w:ascii="Arial" w:cs="Arial" w:eastAsia="Arial" w:hAnsi="Arial"/>
                <w:sz w:val="15"/>
                <w:szCs w:val="15"/>
                <w:color w:val="auto"/>
              </w:rPr>
              <w:t>2,151</w:t>
            </w:r>
          </w:p>
        </w:tc>
        <w:tc>
          <w:tcPr>
            <w:tcW w:w="39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70" w:type="dxa"/>
            <w:vAlign w:val="bottom"/>
          </w:tcPr>
          <w:p>
            <w:pPr>
              <w:jc w:val="right"/>
              <w:ind w:right="134"/>
              <w:spacing w:after="0"/>
              <w:rPr>
                <w:sz w:val="20"/>
                <w:szCs w:val="20"/>
                <w:color w:val="auto"/>
              </w:rPr>
            </w:pPr>
            <w:r>
              <w:rPr>
                <w:rFonts w:ascii="Arial" w:cs="Arial" w:eastAsia="Arial" w:hAnsi="Arial"/>
                <w:sz w:val="15"/>
                <w:szCs w:val="15"/>
                <w:color w:val="auto"/>
              </w:rPr>
              <w:t>2,264</w:t>
            </w:r>
          </w:p>
        </w:tc>
        <w:tc>
          <w:tcPr>
            <w:tcW w:w="31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30" w:type="dxa"/>
            <w:vAlign w:val="bottom"/>
          </w:tcPr>
          <w:p>
            <w:pPr>
              <w:jc w:val="right"/>
              <w:ind w:right="134"/>
              <w:spacing w:after="0"/>
              <w:rPr>
                <w:sz w:val="20"/>
                <w:szCs w:val="20"/>
                <w:color w:val="auto"/>
              </w:rPr>
            </w:pPr>
            <w:r>
              <w:rPr>
                <w:rFonts w:ascii="Arial" w:cs="Arial" w:eastAsia="Arial" w:hAnsi="Arial"/>
                <w:sz w:val="15"/>
                <w:szCs w:val="15"/>
                <w:color w:val="auto"/>
              </w:rPr>
              <w:t>923</w:t>
            </w:r>
          </w:p>
        </w:tc>
        <w:tc>
          <w:tcPr>
            <w:tcW w:w="57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1,344</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24"/>
              <w:spacing w:after="0"/>
              <w:rPr>
                <w:sz w:val="20"/>
                <w:szCs w:val="20"/>
                <w:color w:val="auto"/>
              </w:rPr>
            </w:pPr>
            <w:r>
              <w:rPr>
                <w:rFonts w:ascii="Arial" w:cs="Arial" w:eastAsia="Arial" w:hAnsi="Arial"/>
                <w:sz w:val="15"/>
                <w:szCs w:val="15"/>
                <w:color w:val="auto"/>
              </w:rPr>
              <w:t>2,309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color w:val="auto"/>
              </w:rPr>
              <w:t>2,398</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60" w:type="dxa"/>
            <w:vAlign w:val="bottom"/>
          </w:tcPr>
          <w:p>
            <w:pPr>
              <w:spacing w:after="0"/>
              <w:rPr>
                <w:sz w:val="21"/>
                <w:szCs w:val="21"/>
                <w:color w:val="auto"/>
              </w:rPr>
            </w:pPr>
          </w:p>
        </w:tc>
        <w:tc>
          <w:tcPr>
            <w:tcW w:w="650" w:type="dxa"/>
            <w:vAlign w:val="bottom"/>
          </w:tcPr>
          <w:p>
            <w:pPr>
              <w:spacing w:after="0"/>
              <w:rPr>
                <w:sz w:val="21"/>
                <w:szCs w:val="21"/>
                <w:color w:val="auto"/>
              </w:rPr>
            </w:pPr>
          </w:p>
        </w:tc>
        <w:tc>
          <w:tcPr>
            <w:tcW w:w="39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31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11 %</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Studios</w:t>
            </w:r>
          </w:p>
        </w:tc>
        <w:tc>
          <w:tcPr>
            <w:tcW w:w="260" w:type="dxa"/>
            <w:vAlign w:val="bottom"/>
          </w:tcPr>
          <w:p>
            <w:pPr>
              <w:spacing w:after="0"/>
              <w:rPr>
                <w:sz w:val="21"/>
                <w:szCs w:val="21"/>
                <w:color w:val="auto"/>
              </w:rPr>
            </w:pPr>
          </w:p>
        </w:tc>
        <w:tc>
          <w:tcPr>
            <w:tcW w:w="650" w:type="dxa"/>
            <w:vAlign w:val="bottom"/>
          </w:tcPr>
          <w:p>
            <w:pPr>
              <w:jc w:val="right"/>
              <w:ind w:right="134"/>
              <w:spacing w:after="0"/>
              <w:rPr>
                <w:sz w:val="20"/>
                <w:szCs w:val="20"/>
                <w:color w:val="auto"/>
              </w:rPr>
            </w:pPr>
            <w:r>
              <w:rPr>
                <w:rFonts w:ascii="Arial" w:cs="Arial" w:eastAsia="Arial" w:hAnsi="Arial"/>
                <w:sz w:val="15"/>
                <w:szCs w:val="15"/>
                <w:color w:val="auto"/>
              </w:rPr>
              <w:t>1,159</w:t>
            </w:r>
          </w:p>
        </w:tc>
        <w:tc>
          <w:tcPr>
            <w:tcW w:w="39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0" w:type="dxa"/>
            <w:vAlign w:val="bottom"/>
          </w:tcPr>
          <w:p>
            <w:pPr>
              <w:jc w:val="right"/>
              <w:ind w:right="134"/>
              <w:spacing w:after="0"/>
              <w:rPr>
                <w:sz w:val="20"/>
                <w:szCs w:val="20"/>
                <w:color w:val="auto"/>
              </w:rPr>
            </w:pPr>
            <w:r>
              <w:rPr>
                <w:rFonts w:ascii="Arial" w:cs="Arial" w:eastAsia="Arial" w:hAnsi="Arial"/>
                <w:sz w:val="15"/>
                <w:szCs w:val="15"/>
                <w:color w:val="auto"/>
              </w:rPr>
              <w:t>1,135</w:t>
            </w:r>
          </w:p>
        </w:tc>
        <w:tc>
          <w:tcPr>
            <w:tcW w:w="31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30" w:type="dxa"/>
            <w:vAlign w:val="bottom"/>
          </w:tcPr>
          <w:p>
            <w:pPr>
              <w:jc w:val="right"/>
              <w:ind w:right="134"/>
              <w:spacing w:after="0"/>
              <w:rPr>
                <w:sz w:val="20"/>
                <w:szCs w:val="20"/>
                <w:color w:val="auto"/>
              </w:rPr>
            </w:pPr>
            <w:r>
              <w:rPr>
                <w:rFonts w:ascii="Arial" w:cs="Arial" w:eastAsia="Arial" w:hAnsi="Arial"/>
                <w:sz w:val="15"/>
                <w:szCs w:val="15"/>
                <w:color w:val="auto"/>
              </w:rPr>
              <w:t>462</w:t>
            </w:r>
          </w:p>
        </w:tc>
        <w:tc>
          <w:tcPr>
            <w:tcW w:w="5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738</w:t>
            </w:r>
          </w:p>
        </w:tc>
        <w:tc>
          <w:tcPr>
            <w:tcW w:w="500" w:type="dxa"/>
            <w:vAlign w:val="bottom"/>
          </w:tcPr>
          <w:p>
            <w:pPr>
              <w:spacing w:after="0"/>
              <w:rPr>
                <w:sz w:val="21"/>
                <w:szCs w:val="21"/>
                <w:color w:val="auto"/>
              </w:rPr>
            </w:pPr>
          </w:p>
        </w:tc>
        <w:tc>
          <w:tcPr>
            <w:tcW w:w="660" w:type="dxa"/>
            <w:vAlign w:val="bottom"/>
          </w:tcPr>
          <w:p>
            <w:pPr>
              <w:jc w:val="right"/>
              <w:ind w:right="124"/>
              <w:spacing w:after="0"/>
              <w:rPr>
                <w:sz w:val="20"/>
                <w:szCs w:val="20"/>
                <w:color w:val="auto"/>
              </w:rPr>
            </w:pPr>
            <w:r>
              <w:rPr>
                <w:rFonts w:ascii="Arial" w:cs="Arial" w:eastAsia="Arial" w:hAnsi="Arial"/>
                <w:sz w:val="15"/>
                <w:szCs w:val="15"/>
                <w:color w:val="auto"/>
              </w:rPr>
              <w:t>2,060</w:t>
            </w:r>
          </w:p>
        </w:tc>
        <w:tc>
          <w:tcPr>
            <w:tcW w:w="240" w:type="dxa"/>
            <w:vAlign w:val="bottom"/>
          </w:tcPr>
          <w:p>
            <w:pPr>
              <w:spacing w:after="0"/>
              <w:rPr>
                <w:sz w:val="21"/>
                <w:szCs w:val="21"/>
                <w:color w:val="auto"/>
              </w:rPr>
            </w:pPr>
          </w:p>
        </w:tc>
        <w:tc>
          <w:tcPr>
            <w:tcW w:w="640" w:type="dxa"/>
            <w:vAlign w:val="bottom"/>
          </w:tcPr>
          <w:p>
            <w:pPr>
              <w:jc w:val="right"/>
              <w:ind w:right="124"/>
              <w:spacing w:after="0"/>
              <w:rPr>
                <w:sz w:val="20"/>
                <w:szCs w:val="20"/>
                <w:color w:val="auto"/>
              </w:rPr>
            </w:pPr>
            <w:r>
              <w:rPr>
                <w:rFonts w:ascii="Arial" w:cs="Arial" w:eastAsia="Arial" w:hAnsi="Arial"/>
                <w:sz w:val="15"/>
                <w:szCs w:val="15"/>
                <w:color w:val="auto"/>
              </w:rPr>
              <w:t>1,283</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60" w:type="dxa"/>
            <w:vAlign w:val="bottom"/>
          </w:tcPr>
          <w:p>
            <w:pPr>
              <w:spacing w:after="0"/>
              <w:rPr>
                <w:sz w:val="21"/>
                <w:szCs w:val="21"/>
                <w:color w:val="auto"/>
              </w:rPr>
            </w:pPr>
          </w:p>
        </w:tc>
        <w:tc>
          <w:tcPr>
            <w:tcW w:w="650" w:type="dxa"/>
            <w:vAlign w:val="bottom"/>
          </w:tcPr>
          <w:p>
            <w:pPr>
              <w:spacing w:after="0"/>
              <w:rPr>
                <w:sz w:val="21"/>
                <w:szCs w:val="21"/>
                <w:color w:val="auto"/>
              </w:rPr>
            </w:pPr>
          </w:p>
        </w:tc>
        <w:tc>
          <w:tcPr>
            <w:tcW w:w="39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31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11 %</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TV Media</w:t>
            </w:r>
          </w:p>
        </w:tc>
        <w:tc>
          <w:tcPr>
            <w:tcW w:w="260" w:type="dxa"/>
            <w:vAlign w:val="bottom"/>
          </w:tcPr>
          <w:p>
            <w:pPr>
              <w:spacing w:after="0"/>
              <w:rPr>
                <w:sz w:val="21"/>
                <w:szCs w:val="21"/>
                <w:color w:val="auto"/>
              </w:rPr>
            </w:pPr>
          </w:p>
        </w:tc>
        <w:tc>
          <w:tcPr>
            <w:tcW w:w="650" w:type="dxa"/>
            <w:vAlign w:val="bottom"/>
          </w:tcPr>
          <w:p>
            <w:pPr>
              <w:jc w:val="right"/>
              <w:ind w:right="134"/>
              <w:spacing w:after="0"/>
              <w:rPr>
                <w:sz w:val="20"/>
                <w:szCs w:val="20"/>
                <w:color w:val="auto"/>
              </w:rPr>
            </w:pPr>
            <w:r>
              <w:rPr>
                <w:rFonts w:ascii="Arial" w:cs="Arial" w:eastAsia="Arial" w:hAnsi="Arial"/>
                <w:sz w:val="15"/>
                <w:szCs w:val="15"/>
                <w:color w:val="auto"/>
              </w:rPr>
              <w:t>3,884</w:t>
            </w:r>
          </w:p>
        </w:tc>
        <w:tc>
          <w:tcPr>
            <w:tcW w:w="39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0" w:type="dxa"/>
            <w:vAlign w:val="bottom"/>
          </w:tcPr>
          <w:p>
            <w:pPr>
              <w:jc w:val="right"/>
              <w:ind w:right="134"/>
              <w:spacing w:after="0"/>
              <w:rPr>
                <w:sz w:val="20"/>
                <w:szCs w:val="20"/>
                <w:color w:val="auto"/>
              </w:rPr>
            </w:pPr>
            <w:r>
              <w:rPr>
                <w:rFonts w:ascii="Arial" w:cs="Arial" w:eastAsia="Arial" w:hAnsi="Arial"/>
                <w:sz w:val="15"/>
                <w:szCs w:val="15"/>
                <w:color w:val="auto"/>
              </w:rPr>
              <w:t>3,454</w:t>
            </w:r>
          </w:p>
        </w:tc>
        <w:tc>
          <w:tcPr>
            <w:tcW w:w="31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30" w:type="dxa"/>
            <w:vAlign w:val="bottom"/>
          </w:tcPr>
          <w:p>
            <w:pPr>
              <w:jc w:val="right"/>
              <w:ind w:right="134"/>
              <w:spacing w:after="0"/>
              <w:rPr>
                <w:sz w:val="20"/>
                <w:szCs w:val="20"/>
                <w:color w:val="auto"/>
              </w:rPr>
            </w:pPr>
            <w:r>
              <w:rPr>
                <w:rFonts w:ascii="Arial" w:cs="Arial" w:eastAsia="Arial" w:hAnsi="Arial"/>
                <w:sz w:val="15"/>
                <w:szCs w:val="15"/>
                <w:color w:val="auto"/>
              </w:rPr>
              <w:t>1,198</w:t>
            </w:r>
          </w:p>
        </w:tc>
        <w:tc>
          <w:tcPr>
            <w:tcW w:w="5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2,042</w:t>
            </w:r>
          </w:p>
        </w:tc>
        <w:tc>
          <w:tcPr>
            <w:tcW w:w="500" w:type="dxa"/>
            <w:vAlign w:val="bottom"/>
          </w:tcPr>
          <w:p>
            <w:pPr>
              <w:spacing w:after="0"/>
              <w:rPr>
                <w:sz w:val="21"/>
                <w:szCs w:val="21"/>
                <w:color w:val="auto"/>
              </w:rPr>
            </w:pPr>
          </w:p>
        </w:tc>
        <w:tc>
          <w:tcPr>
            <w:tcW w:w="660" w:type="dxa"/>
            <w:vAlign w:val="bottom"/>
          </w:tcPr>
          <w:p>
            <w:pPr>
              <w:jc w:val="right"/>
              <w:ind w:right="124"/>
              <w:spacing w:after="0"/>
              <w:rPr>
                <w:sz w:val="20"/>
                <w:szCs w:val="20"/>
                <w:color w:val="auto"/>
              </w:rPr>
            </w:pPr>
            <w:r>
              <w:rPr>
                <w:rFonts w:ascii="Arial" w:cs="Arial" w:eastAsia="Arial" w:hAnsi="Arial"/>
                <w:sz w:val="15"/>
                <w:szCs w:val="15"/>
                <w:color w:val="auto"/>
              </w:rPr>
              <w:t>3,799</w:t>
            </w:r>
          </w:p>
        </w:tc>
        <w:tc>
          <w:tcPr>
            <w:tcW w:w="240" w:type="dxa"/>
            <w:vAlign w:val="bottom"/>
          </w:tcPr>
          <w:p>
            <w:pPr>
              <w:spacing w:after="0"/>
              <w:rPr>
                <w:sz w:val="21"/>
                <w:szCs w:val="21"/>
                <w:color w:val="auto"/>
              </w:rPr>
            </w:pPr>
          </w:p>
        </w:tc>
        <w:tc>
          <w:tcPr>
            <w:tcW w:w="640" w:type="dxa"/>
            <w:vAlign w:val="bottom"/>
          </w:tcPr>
          <w:p>
            <w:pPr>
              <w:jc w:val="right"/>
              <w:ind w:right="124"/>
              <w:spacing w:after="0"/>
              <w:rPr>
                <w:sz w:val="20"/>
                <w:szCs w:val="20"/>
                <w:color w:val="auto"/>
              </w:rPr>
            </w:pPr>
            <w:r>
              <w:rPr>
                <w:rFonts w:ascii="Arial" w:cs="Arial" w:eastAsia="Arial" w:hAnsi="Arial"/>
                <w:sz w:val="15"/>
                <w:szCs w:val="15"/>
                <w:color w:val="auto"/>
              </w:rPr>
              <w:t>3,666</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60" w:type="dxa"/>
            <w:vAlign w:val="bottom"/>
          </w:tcPr>
          <w:p>
            <w:pPr>
              <w:spacing w:after="0"/>
              <w:rPr>
                <w:sz w:val="21"/>
                <w:szCs w:val="21"/>
                <w:color w:val="auto"/>
              </w:rPr>
            </w:pPr>
          </w:p>
        </w:tc>
        <w:tc>
          <w:tcPr>
            <w:tcW w:w="650" w:type="dxa"/>
            <w:vAlign w:val="bottom"/>
          </w:tcPr>
          <w:p>
            <w:pPr>
              <w:spacing w:after="0"/>
              <w:rPr>
                <w:sz w:val="21"/>
                <w:szCs w:val="21"/>
                <w:color w:val="auto"/>
              </w:rPr>
            </w:pPr>
          </w:p>
        </w:tc>
        <w:tc>
          <w:tcPr>
            <w:tcW w:w="39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31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(6)%</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Eliminations</w:t>
            </w:r>
          </w:p>
        </w:tc>
        <w:tc>
          <w:tcPr>
            <w:tcW w:w="260" w:type="dxa"/>
            <w:vAlign w:val="bottom"/>
          </w:tcPr>
          <w:p>
            <w:pPr>
              <w:spacing w:after="0"/>
              <w:rPr>
                <w:sz w:val="21"/>
                <w:szCs w:val="21"/>
                <w:color w:val="auto"/>
              </w:rPr>
            </w:pPr>
          </w:p>
        </w:tc>
        <w:tc>
          <w:tcPr>
            <w:tcW w:w="650" w:type="dxa"/>
            <w:vAlign w:val="bottom"/>
          </w:tcPr>
          <w:p>
            <w:pPr>
              <w:jc w:val="right"/>
              <w:ind w:right="94"/>
              <w:spacing w:after="0"/>
              <w:rPr>
                <w:sz w:val="20"/>
                <w:szCs w:val="20"/>
                <w:color w:val="auto"/>
              </w:rPr>
            </w:pPr>
            <w:r>
              <w:rPr>
                <w:rFonts w:ascii="Arial" w:cs="Arial" w:eastAsia="Arial" w:hAnsi="Arial"/>
                <w:sz w:val="15"/>
                <w:szCs w:val="15"/>
                <w:color w:val="auto"/>
              </w:rPr>
              <w:t>(2)</w:t>
            </w:r>
          </w:p>
        </w:tc>
        <w:tc>
          <w:tcPr>
            <w:tcW w:w="39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0" w:type="dxa"/>
            <w:vAlign w:val="bottom"/>
          </w:tcPr>
          <w:p>
            <w:pPr>
              <w:ind w:left="320"/>
              <w:spacing w:after="0"/>
              <w:rPr>
                <w:sz w:val="20"/>
                <w:szCs w:val="20"/>
                <w:color w:val="auto"/>
              </w:rPr>
            </w:pPr>
            <w:r>
              <w:rPr>
                <w:rFonts w:ascii="Arial" w:cs="Arial" w:eastAsia="Arial" w:hAnsi="Arial"/>
                <w:sz w:val="15"/>
                <w:szCs w:val="15"/>
                <w:color w:val="auto"/>
              </w:rPr>
              <w:t>(4)</w:t>
            </w:r>
          </w:p>
        </w:tc>
        <w:tc>
          <w:tcPr>
            <w:tcW w:w="31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30" w:type="dxa"/>
            <w:vAlign w:val="bottom"/>
          </w:tcPr>
          <w:p>
            <w:pPr>
              <w:jc w:val="right"/>
              <w:ind w:right="94"/>
              <w:spacing w:after="0"/>
              <w:rPr>
                <w:sz w:val="20"/>
                <w:szCs w:val="20"/>
                <w:color w:val="auto"/>
              </w:rPr>
            </w:pPr>
            <w:r>
              <w:rPr>
                <w:rFonts w:ascii="Arial" w:cs="Arial" w:eastAsia="Arial" w:hAnsi="Arial"/>
                <w:sz w:val="15"/>
                <w:szCs w:val="15"/>
                <w:color w:val="auto"/>
              </w:rPr>
              <w:t>(2)</w:t>
            </w:r>
          </w:p>
        </w:tc>
        <w:tc>
          <w:tcPr>
            <w:tcW w:w="5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(3)</w:t>
            </w:r>
          </w:p>
        </w:tc>
        <w:tc>
          <w:tcPr>
            <w:tcW w:w="500" w:type="dxa"/>
            <w:vAlign w:val="bottom"/>
          </w:tcPr>
          <w:p>
            <w:pPr>
              <w:spacing w:after="0"/>
              <w:rPr>
                <w:sz w:val="21"/>
                <w:szCs w:val="21"/>
                <w:color w:val="auto"/>
              </w:rPr>
            </w:pPr>
          </w:p>
        </w:tc>
        <w:tc>
          <w:tcPr>
            <w:tcW w:w="660" w:type="dxa"/>
            <w:vAlign w:val="bottom"/>
          </w:tcPr>
          <w:p>
            <w:pPr>
              <w:jc w:val="right"/>
              <w:ind w:right="84"/>
              <w:spacing w:after="0"/>
              <w:rPr>
                <w:sz w:val="20"/>
                <w:szCs w:val="20"/>
                <w:color w:val="auto"/>
              </w:rPr>
            </w:pPr>
            <w:r>
              <w:rPr>
                <w:rFonts w:ascii="Arial" w:cs="Arial" w:eastAsia="Arial" w:hAnsi="Arial"/>
                <w:sz w:val="15"/>
                <w:szCs w:val="15"/>
                <w:color w:val="auto"/>
              </w:rPr>
              <w:t>(20)</w:t>
            </w:r>
          </w:p>
        </w:tc>
        <w:tc>
          <w:tcPr>
            <w:tcW w:w="240" w:type="dxa"/>
            <w:vAlign w:val="bottom"/>
          </w:tcPr>
          <w:p>
            <w:pPr>
              <w:spacing w:after="0"/>
              <w:rPr>
                <w:sz w:val="21"/>
                <w:szCs w:val="21"/>
                <w:color w:val="auto"/>
              </w:rPr>
            </w:pPr>
          </w:p>
        </w:tc>
        <w:tc>
          <w:tcPr>
            <w:tcW w:w="6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Total Revenue</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50" w:type="dxa"/>
            <w:vAlign w:val="bottom"/>
          </w:tcPr>
          <w:p>
            <w:pPr>
              <w:jc w:val="right"/>
              <w:ind w:right="134"/>
              <w:spacing w:after="0"/>
              <w:rPr>
                <w:sz w:val="20"/>
                <w:szCs w:val="20"/>
                <w:color w:val="auto"/>
              </w:rPr>
            </w:pPr>
            <w:r>
              <w:rPr>
                <w:rFonts w:ascii="Arial" w:cs="Arial" w:eastAsia="Arial" w:hAnsi="Arial"/>
                <w:sz w:val="15"/>
                <w:szCs w:val="15"/>
                <w:b w:val="1"/>
                <w:bCs w:val="1"/>
                <w:color w:val="auto"/>
              </w:rPr>
              <w:t>7,192</w:t>
            </w:r>
          </w:p>
        </w:tc>
        <w:tc>
          <w:tcPr>
            <w:tcW w:w="39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70" w:type="dxa"/>
            <w:vAlign w:val="bottom"/>
          </w:tcPr>
          <w:p>
            <w:pPr>
              <w:jc w:val="right"/>
              <w:ind w:right="134"/>
              <w:spacing w:after="0"/>
              <w:rPr>
                <w:sz w:val="20"/>
                <w:szCs w:val="20"/>
                <w:color w:val="auto"/>
              </w:rPr>
            </w:pPr>
            <w:r>
              <w:rPr>
                <w:rFonts w:ascii="Arial" w:cs="Arial" w:eastAsia="Arial" w:hAnsi="Arial"/>
                <w:sz w:val="15"/>
                <w:szCs w:val="15"/>
                <w:b w:val="1"/>
                <w:bCs w:val="1"/>
                <w:color w:val="auto"/>
              </w:rPr>
              <w:t>6,849</w:t>
            </w:r>
          </w:p>
        </w:tc>
        <w:tc>
          <w:tcPr>
            <w:tcW w:w="31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30" w:type="dxa"/>
            <w:vAlign w:val="bottom"/>
          </w:tcPr>
          <w:p>
            <w:pPr>
              <w:jc w:val="right"/>
              <w:ind w:right="134"/>
              <w:spacing w:after="0"/>
              <w:rPr>
                <w:sz w:val="20"/>
                <w:szCs w:val="20"/>
                <w:color w:val="auto"/>
              </w:rPr>
            </w:pPr>
            <w:r>
              <w:rPr>
                <w:rFonts w:ascii="Arial" w:cs="Arial" w:eastAsia="Arial" w:hAnsi="Arial"/>
                <w:sz w:val="15"/>
                <w:szCs w:val="15"/>
                <w:b w:val="1"/>
                <w:bCs w:val="1"/>
                <w:color w:val="auto"/>
              </w:rPr>
              <w:t>2,581</w:t>
            </w:r>
          </w:p>
        </w:tc>
        <w:tc>
          <w:tcPr>
            <w:tcW w:w="57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ind w:right="124"/>
              <w:spacing w:after="0"/>
              <w:rPr>
                <w:sz w:val="20"/>
                <w:szCs w:val="20"/>
                <w:color w:val="auto"/>
              </w:rPr>
            </w:pPr>
            <w:r>
              <w:rPr>
                <w:rFonts w:ascii="Arial" w:cs="Arial" w:eastAsia="Arial" w:hAnsi="Arial"/>
                <w:sz w:val="15"/>
                <w:szCs w:val="15"/>
                <w:b w:val="1"/>
                <w:bCs w:val="1"/>
                <w:color w:val="auto"/>
              </w:rPr>
              <w:t>4,121</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124"/>
              <w:spacing w:after="0"/>
              <w:rPr>
                <w:sz w:val="20"/>
                <w:szCs w:val="20"/>
                <w:color w:val="auto"/>
              </w:rPr>
            </w:pPr>
            <w:r>
              <w:rPr>
                <w:rFonts w:ascii="Arial" w:cs="Arial" w:eastAsia="Arial" w:hAnsi="Arial"/>
                <w:sz w:val="15"/>
                <w:szCs w:val="15"/>
                <w:b w:val="1"/>
                <w:bCs w:val="1"/>
                <w:color w:val="auto"/>
              </w:rPr>
              <w:t>8,148</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7,347</w:t>
            </w:r>
          </w:p>
        </w:tc>
        <w:tc>
          <w:tcPr>
            <w:tcW w:w="1380" w:type="dxa"/>
            <w:vAlign w:val="bottom"/>
            <w:gridSpan w:val="2"/>
          </w:tcPr>
          <w:p>
            <w:pPr>
              <w:jc w:val="center"/>
              <w:ind w:left="124"/>
              <w:spacing w:after="0"/>
              <w:rPr>
                <w:sz w:val="20"/>
                <w:szCs w:val="20"/>
                <w:color w:val="auto"/>
              </w:rPr>
            </w:pPr>
            <w:r>
              <w:rPr>
                <w:rFonts w:ascii="Arial" w:cs="Arial" w:eastAsia="Arial" w:hAnsi="Arial"/>
                <w:sz w:val="15"/>
                <w:szCs w:val="15"/>
                <w:b w:val="1"/>
                <w:bCs w:val="1"/>
                <w:color w:val="auto"/>
              </w:rPr>
              <w:t>$6,750 - $6,950</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30,000</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60" w:type="dxa"/>
            <w:vAlign w:val="bottom"/>
          </w:tcPr>
          <w:p>
            <w:pPr>
              <w:spacing w:after="0"/>
              <w:rPr>
                <w:sz w:val="20"/>
                <w:szCs w:val="20"/>
                <w:color w:val="auto"/>
              </w:rPr>
            </w:pPr>
          </w:p>
        </w:tc>
        <w:tc>
          <w:tcPr>
            <w:tcW w:w="650" w:type="dxa"/>
            <w:vAlign w:val="bottom"/>
          </w:tcPr>
          <w:p>
            <w:pPr>
              <w:jc w:val="right"/>
              <w:spacing w:after="0"/>
              <w:rPr>
                <w:sz w:val="20"/>
                <w:szCs w:val="20"/>
                <w:color w:val="auto"/>
              </w:rPr>
            </w:pPr>
            <w:r>
              <w:rPr>
                <w:rFonts w:ascii="Arial" w:cs="Arial" w:eastAsia="Arial" w:hAnsi="Arial"/>
                <w:sz w:val="15"/>
                <w:szCs w:val="15"/>
                <w:i w:val="1"/>
                <w:iCs w:val="1"/>
                <w:color w:val="auto"/>
              </w:rPr>
              <w:t>(6)%</w:t>
            </w:r>
          </w:p>
        </w:tc>
        <w:tc>
          <w:tcPr>
            <w:tcW w:w="39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0" w:type="dxa"/>
            <w:vAlign w:val="bottom"/>
          </w:tcPr>
          <w:p>
            <w:pPr>
              <w:jc w:val="right"/>
              <w:spacing w:after="0"/>
              <w:rPr>
                <w:sz w:val="20"/>
                <w:szCs w:val="20"/>
                <w:color w:val="auto"/>
              </w:rPr>
            </w:pPr>
            <w:r>
              <w:rPr>
                <w:rFonts w:ascii="Arial" w:cs="Arial" w:eastAsia="Arial" w:hAnsi="Arial"/>
                <w:sz w:val="15"/>
                <w:szCs w:val="15"/>
                <w:i w:val="1"/>
                <w:iCs w:val="1"/>
                <w:color w:val="auto"/>
              </w:rPr>
              <w:t>1 %</w:t>
            </w:r>
          </w:p>
        </w:tc>
        <w:tc>
          <w:tcPr>
            <w:tcW w:w="31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0" w:type="dxa"/>
            <w:vAlign w:val="bottom"/>
          </w:tcPr>
          <w:p>
            <w:pPr>
              <w:spacing w:after="0"/>
              <w:rPr>
                <w:sz w:val="20"/>
                <w:szCs w:val="20"/>
                <w:color w:val="auto"/>
              </w:rPr>
            </w:pPr>
          </w:p>
        </w:tc>
        <w:tc>
          <w:tcPr>
            <w:tcW w:w="57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i w:val="1"/>
                <w:iCs w:val="1"/>
                <w:color w:val="auto"/>
              </w:rPr>
              <w:t>2 %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2 %</w:t>
            </w:r>
          </w:p>
        </w:tc>
        <w:tc>
          <w:tcPr>
            <w:tcW w:w="1140" w:type="dxa"/>
            <w:vAlign w:val="bottom"/>
          </w:tcPr>
          <w:p>
            <w:pPr>
              <w:jc w:val="center"/>
              <w:ind w:left="344"/>
              <w:spacing w:after="0"/>
              <w:rPr>
                <w:sz w:val="20"/>
                <w:szCs w:val="20"/>
                <w:color w:val="auto"/>
              </w:rPr>
            </w:pPr>
            <w:r>
              <w:rPr>
                <w:rFonts w:ascii="Arial" w:cs="Arial" w:eastAsia="Arial" w:hAnsi="Arial"/>
                <w:sz w:val="15"/>
                <w:szCs w:val="15"/>
                <w:color w:val="auto"/>
              </w:rPr>
              <w:t>(1%) - 1%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center"/>
              <w:ind w:right="104"/>
              <w:spacing w:after="0"/>
              <w:rPr>
                <w:sz w:val="20"/>
                <w:szCs w:val="20"/>
                <w:color w:val="auto"/>
              </w:rPr>
            </w:pPr>
            <w:r>
              <w:rPr>
                <w:rFonts w:ascii="Arial" w:cs="Arial" w:eastAsia="Arial" w:hAnsi="Arial"/>
                <w:sz w:val="15"/>
                <w:szCs w:val="15"/>
                <w:color w:val="auto"/>
              </w:rPr>
              <w:t>4%</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Operating Income</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50" w:type="dxa"/>
            <w:vAlign w:val="bottom"/>
            <w:vMerge w:val="restart"/>
          </w:tcPr>
          <w:p>
            <w:pPr>
              <w:jc w:val="right"/>
              <w:ind w:right="134"/>
              <w:spacing w:after="0"/>
              <w:rPr>
                <w:sz w:val="20"/>
                <w:szCs w:val="20"/>
                <w:color w:val="auto"/>
              </w:rPr>
            </w:pPr>
            <w:r>
              <w:rPr>
                <w:rFonts w:ascii="Arial" w:cs="Arial" w:eastAsia="Arial" w:hAnsi="Arial"/>
                <w:sz w:val="15"/>
                <w:szCs w:val="15"/>
                <w:b w:val="1"/>
                <w:bCs w:val="1"/>
                <w:color w:val="auto"/>
              </w:rPr>
              <w:t>550</w:t>
            </w:r>
          </w:p>
        </w:tc>
        <w:tc>
          <w:tcPr>
            <w:tcW w:w="39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670" w:type="dxa"/>
            <w:vAlign w:val="bottom"/>
            <w:vMerge w:val="restart"/>
          </w:tcPr>
          <w:p>
            <w:pPr>
              <w:jc w:val="right"/>
              <w:ind w:right="134"/>
              <w:spacing w:after="0"/>
              <w:rPr>
                <w:sz w:val="20"/>
                <w:szCs w:val="20"/>
                <w:color w:val="auto"/>
              </w:rPr>
            </w:pPr>
            <w:r>
              <w:rPr>
                <w:rFonts w:ascii="Arial" w:cs="Arial" w:eastAsia="Arial" w:hAnsi="Arial"/>
                <w:sz w:val="15"/>
                <w:szCs w:val="15"/>
                <w:b w:val="1"/>
                <w:bCs w:val="1"/>
                <w:color w:val="auto"/>
              </w:rPr>
              <w:t>399</w:t>
            </w:r>
          </w:p>
        </w:tc>
        <w:tc>
          <w:tcPr>
            <w:tcW w:w="31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730" w:type="dxa"/>
            <w:vAlign w:val="bottom"/>
            <w:vMerge w:val="restart"/>
          </w:tcPr>
          <w:p>
            <w:pPr>
              <w:jc w:val="right"/>
              <w:ind w:right="134"/>
              <w:spacing w:after="0"/>
              <w:rPr>
                <w:sz w:val="20"/>
                <w:szCs w:val="20"/>
                <w:color w:val="auto"/>
              </w:rPr>
            </w:pPr>
            <w:r>
              <w:rPr>
                <w:rFonts w:ascii="Arial" w:cs="Arial" w:eastAsia="Arial" w:hAnsi="Arial"/>
                <w:sz w:val="15"/>
                <w:szCs w:val="15"/>
                <w:b w:val="1"/>
                <w:bCs w:val="1"/>
                <w:color w:val="auto"/>
              </w:rPr>
              <w:t>80</w:t>
            </w:r>
          </w:p>
        </w:tc>
        <w:tc>
          <w:tcPr>
            <w:tcW w:w="57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244</w:t>
            </w: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(339)</w:t>
            </w:r>
          </w:p>
        </w:tc>
        <w:tc>
          <w:tcPr>
            <w:tcW w:w="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616</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60" w:type="dxa"/>
            <w:vAlign w:val="bottom"/>
            <w:tcBorders>
              <w:left w:val="single" w:sz="8" w:color="auto"/>
            </w:tcBorders>
            <w:vMerge w:val="restart"/>
          </w:tcPr>
          <w:p>
            <w:pPr>
              <w:ind w:left="40"/>
              <w:spacing w:after="0"/>
              <w:rPr>
                <w:sz w:val="20"/>
                <w:szCs w:val="20"/>
                <w:color w:val="auto"/>
              </w:rPr>
            </w:pPr>
            <w:r>
              <w:rPr>
                <w:rFonts w:ascii="Arial" w:cs="Arial" w:eastAsia="Arial" w:hAnsi="Arial"/>
                <w:sz w:val="15"/>
                <w:szCs w:val="15"/>
                <w:b w:val="1"/>
                <w:bCs w:val="1"/>
                <w:color w:val="auto"/>
              </w:rPr>
              <w:t>(Loss)</w:t>
            </w:r>
          </w:p>
        </w:tc>
        <w:tc>
          <w:tcPr>
            <w:tcW w:w="260" w:type="dxa"/>
            <w:vAlign w:val="bottom"/>
            <w:vMerge w:val="continue"/>
          </w:tcPr>
          <w:p>
            <w:pPr>
              <w:spacing w:after="0"/>
              <w:rPr>
                <w:sz w:val="8"/>
                <w:szCs w:val="8"/>
                <w:color w:val="auto"/>
              </w:rPr>
            </w:pPr>
          </w:p>
        </w:tc>
        <w:tc>
          <w:tcPr>
            <w:tcW w:w="650" w:type="dxa"/>
            <w:vAlign w:val="bottom"/>
            <w:vMerge w:val="continue"/>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70" w:type="dxa"/>
            <w:vAlign w:val="bottom"/>
            <w:vMerge w:val="continue"/>
          </w:tcPr>
          <w:p>
            <w:pPr>
              <w:spacing w:after="0"/>
              <w:rPr>
                <w:sz w:val="8"/>
                <w:szCs w:val="8"/>
                <w:color w:val="auto"/>
              </w:rPr>
            </w:pPr>
          </w:p>
        </w:tc>
        <w:tc>
          <w:tcPr>
            <w:tcW w:w="31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730" w:type="dxa"/>
            <w:vAlign w:val="bottom"/>
            <w:vMerge w:val="continue"/>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650" w:type="dxa"/>
            <w:vAlign w:val="bottom"/>
          </w:tcPr>
          <w:p>
            <w:pPr>
              <w:spacing w:after="0"/>
              <w:rPr>
                <w:sz w:val="9"/>
                <w:szCs w:val="9"/>
                <w:color w:val="auto"/>
              </w:rPr>
            </w:pPr>
          </w:p>
        </w:tc>
        <w:tc>
          <w:tcPr>
            <w:tcW w:w="390" w:type="dxa"/>
            <w:vAlign w:val="bottom"/>
          </w:tcPr>
          <w:p>
            <w:pPr>
              <w:spacing w:after="0"/>
              <w:rPr>
                <w:sz w:val="9"/>
                <w:szCs w:val="9"/>
                <w:color w:val="auto"/>
              </w:rPr>
            </w:pPr>
          </w:p>
        </w:tc>
        <w:tc>
          <w:tcPr>
            <w:tcW w:w="160" w:type="dxa"/>
            <w:vAlign w:val="bottom"/>
          </w:tcPr>
          <w:p>
            <w:pPr>
              <w:spacing w:after="0"/>
              <w:rPr>
                <w:sz w:val="9"/>
                <w:szCs w:val="9"/>
                <w:color w:val="auto"/>
              </w:rPr>
            </w:pPr>
          </w:p>
        </w:tc>
        <w:tc>
          <w:tcPr>
            <w:tcW w:w="670" w:type="dxa"/>
            <w:vAlign w:val="bottom"/>
          </w:tcPr>
          <w:p>
            <w:pPr>
              <w:spacing w:after="0"/>
              <w:rPr>
                <w:sz w:val="9"/>
                <w:szCs w:val="9"/>
                <w:color w:val="auto"/>
              </w:rPr>
            </w:pPr>
          </w:p>
        </w:tc>
        <w:tc>
          <w:tcPr>
            <w:tcW w:w="310" w:type="dxa"/>
            <w:vAlign w:val="bottom"/>
          </w:tcPr>
          <w:p>
            <w:pPr>
              <w:spacing w:after="0"/>
              <w:rPr>
                <w:sz w:val="9"/>
                <w:szCs w:val="9"/>
                <w:color w:val="auto"/>
              </w:rPr>
            </w:pPr>
          </w:p>
        </w:tc>
        <w:tc>
          <w:tcPr>
            <w:tcW w:w="140" w:type="dxa"/>
            <w:vAlign w:val="bottom"/>
          </w:tcPr>
          <w:p>
            <w:pPr>
              <w:spacing w:after="0"/>
              <w:rPr>
                <w:sz w:val="9"/>
                <w:szCs w:val="9"/>
                <w:color w:val="auto"/>
              </w:rPr>
            </w:pPr>
          </w:p>
        </w:tc>
        <w:tc>
          <w:tcPr>
            <w:tcW w:w="730" w:type="dxa"/>
            <w:vAlign w:val="bottom"/>
          </w:tcPr>
          <w:p>
            <w:pPr>
              <w:spacing w:after="0"/>
              <w:rPr>
                <w:sz w:val="9"/>
                <w:szCs w:val="9"/>
                <w:color w:val="auto"/>
              </w:rPr>
            </w:pPr>
          </w:p>
        </w:tc>
        <w:tc>
          <w:tcPr>
            <w:tcW w:w="57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Operating Margin (%)</w:t>
            </w:r>
          </w:p>
        </w:tc>
        <w:tc>
          <w:tcPr>
            <w:tcW w:w="26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5"/>
                <w:szCs w:val="15"/>
                <w:i w:val="1"/>
                <w:iCs w:val="1"/>
                <w:color w:val="auto"/>
              </w:rPr>
              <w:t>7.6 %</w:t>
            </w:r>
          </w:p>
        </w:tc>
        <w:tc>
          <w:tcPr>
            <w:tcW w:w="39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5"/>
                <w:szCs w:val="15"/>
                <w:i w:val="1"/>
                <w:iCs w:val="1"/>
                <w:color w:val="auto"/>
              </w:rPr>
              <w:t>5.8 %</w:t>
            </w:r>
          </w:p>
        </w:tc>
        <w:tc>
          <w:tcPr>
            <w:tcW w:w="31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5"/>
                <w:szCs w:val="15"/>
                <w:i w:val="1"/>
                <w:iCs w:val="1"/>
                <w:color w:val="auto"/>
              </w:rPr>
              <w:t>3.1 %</w:t>
            </w:r>
          </w:p>
        </w:tc>
        <w:tc>
          <w:tcPr>
            <w:tcW w:w="57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i w:val="1"/>
                <w:iCs w:val="1"/>
                <w:color w:val="auto"/>
              </w:rPr>
              <w:t>5.9 %</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i w:val="1"/>
                <w:iCs w:val="1"/>
                <w:color w:val="auto"/>
              </w:rPr>
              <w:t>(4.2)%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8.4 %</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Net Earnings (Loss)</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50" w:type="dxa"/>
            <w:vAlign w:val="bottom"/>
          </w:tcPr>
          <w:p>
            <w:pPr>
              <w:jc w:val="right"/>
              <w:ind w:right="134"/>
              <w:spacing w:after="0"/>
              <w:rPr>
                <w:sz w:val="20"/>
                <w:szCs w:val="20"/>
                <w:color w:val="auto"/>
              </w:rPr>
            </w:pPr>
            <w:r>
              <w:rPr>
                <w:rFonts w:ascii="Arial" w:cs="Arial" w:eastAsia="Arial" w:hAnsi="Arial"/>
                <w:sz w:val="15"/>
                <w:szCs w:val="15"/>
                <w:b w:val="1"/>
                <w:bCs w:val="1"/>
                <w:color w:val="auto"/>
              </w:rPr>
              <w:t>152</w:t>
            </w:r>
          </w:p>
        </w:tc>
        <w:tc>
          <w:tcPr>
            <w:tcW w:w="39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70" w:type="dxa"/>
            <w:vAlign w:val="bottom"/>
          </w:tcPr>
          <w:p>
            <w:pPr>
              <w:jc w:val="right"/>
              <w:ind w:right="134"/>
              <w:spacing w:after="0"/>
              <w:rPr>
                <w:sz w:val="20"/>
                <w:szCs w:val="20"/>
                <w:color w:val="auto"/>
              </w:rPr>
            </w:pPr>
            <w:r>
              <w:rPr>
                <w:rFonts w:ascii="Arial" w:cs="Arial" w:eastAsia="Arial" w:hAnsi="Arial"/>
                <w:sz w:val="15"/>
                <w:szCs w:val="15"/>
                <w:b w:val="1"/>
                <w:bCs w:val="1"/>
                <w:color w:val="auto"/>
              </w:rPr>
              <w:t>57</w:t>
            </w:r>
          </w:p>
        </w:tc>
        <w:tc>
          <w:tcPr>
            <w:tcW w:w="31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30" w:type="dxa"/>
            <w:vAlign w:val="bottom"/>
          </w:tcPr>
          <w:p>
            <w:pPr>
              <w:jc w:val="right"/>
              <w:ind w:right="94"/>
              <w:spacing w:after="0"/>
              <w:rPr>
                <w:sz w:val="20"/>
                <w:szCs w:val="20"/>
                <w:color w:val="auto"/>
              </w:rPr>
            </w:pPr>
            <w:r>
              <w:rPr>
                <w:rFonts w:ascii="Arial" w:cs="Arial" w:eastAsia="Arial" w:hAnsi="Arial"/>
                <w:sz w:val="15"/>
                <w:szCs w:val="15"/>
                <w:b w:val="1"/>
                <w:bCs w:val="1"/>
                <w:color w:val="auto"/>
              </w:rPr>
              <w:t>(244)</w:t>
            </w:r>
          </w:p>
        </w:tc>
        <w:tc>
          <w:tcPr>
            <w:tcW w:w="57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ind w:right="84"/>
              <w:spacing w:after="0"/>
              <w:rPr>
                <w:sz w:val="20"/>
                <w:szCs w:val="20"/>
                <w:color w:val="auto"/>
              </w:rPr>
            </w:pPr>
            <w:r>
              <w:rPr>
                <w:rFonts w:ascii="Arial" w:cs="Arial" w:eastAsia="Arial" w:hAnsi="Arial"/>
                <w:sz w:val="15"/>
                <w:szCs w:val="15"/>
                <w:b w:val="1"/>
                <w:bCs w:val="1"/>
                <w:color w:val="auto"/>
              </w:rPr>
              <w:t>(13)</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84"/>
              <w:spacing w:after="0"/>
              <w:rPr>
                <w:sz w:val="20"/>
                <w:szCs w:val="20"/>
                <w:color w:val="auto"/>
              </w:rPr>
            </w:pPr>
            <w:r>
              <w:rPr>
                <w:rFonts w:ascii="Arial" w:cs="Arial" w:eastAsia="Arial" w:hAnsi="Arial"/>
                <w:sz w:val="15"/>
                <w:szCs w:val="15"/>
                <w:b w:val="1"/>
                <w:bCs w:val="1"/>
                <w:color w:val="auto"/>
              </w:rPr>
              <w:t>(573)</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168</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Diluted EPS </w:t>
            </w:r>
            <w:r>
              <w:rPr>
                <w:rFonts w:ascii="Arial" w:cs="Arial" w:eastAsia="Arial" w:hAnsi="Arial"/>
                <w:sz w:val="19"/>
                <w:szCs w:val="19"/>
                <w:b w:val="1"/>
                <w:bCs w:val="1"/>
                <w:color w:val="auto"/>
                <w:vertAlign w:val="superscript"/>
              </w:rPr>
              <w:t>(2)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50" w:type="dxa"/>
            <w:vAlign w:val="bottom"/>
          </w:tcPr>
          <w:p>
            <w:pPr>
              <w:jc w:val="right"/>
              <w:ind w:right="134"/>
              <w:spacing w:after="0"/>
              <w:rPr>
                <w:sz w:val="20"/>
                <w:szCs w:val="20"/>
                <w:color w:val="auto"/>
              </w:rPr>
            </w:pPr>
            <w:r>
              <w:rPr>
                <w:rFonts w:ascii="Arial" w:cs="Arial" w:eastAsia="Arial" w:hAnsi="Arial"/>
                <w:sz w:val="15"/>
                <w:szCs w:val="15"/>
                <w:b w:val="1"/>
                <w:bCs w:val="1"/>
                <w:color w:val="auto"/>
              </w:rPr>
              <w:t>.22</w:t>
            </w:r>
          </w:p>
        </w:tc>
        <w:tc>
          <w:tcPr>
            <w:tcW w:w="39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70" w:type="dxa"/>
            <w:vAlign w:val="bottom"/>
          </w:tcPr>
          <w:p>
            <w:pPr>
              <w:jc w:val="right"/>
              <w:ind w:right="134"/>
              <w:spacing w:after="0"/>
              <w:rPr>
                <w:sz w:val="20"/>
                <w:szCs w:val="20"/>
                <w:color w:val="auto"/>
              </w:rPr>
            </w:pPr>
            <w:r>
              <w:rPr>
                <w:rFonts w:ascii="Arial" w:cs="Arial" w:eastAsia="Arial" w:hAnsi="Arial"/>
                <w:sz w:val="15"/>
                <w:szCs w:val="15"/>
                <w:b w:val="1"/>
                <w:bCs w:val="1"/>
                <w:color w:val="auto"/>
              </w:rPr>
              <w:t>.08</w:t>
            </w:r>
          </w:p>
        </w:tc>
        <w:tc>
          <w:tcPr>
            <w:tcW w:w="31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30" w:type="dxa"/>
            <w:vAlign w:val="bottom"/>
          </w:tcPr>
          <w:p>
            <w:pPr>
              <w:jc w:val="right"/>
              <w:ind w:right="94"/>
              <w:spacing w:after="0"/>
              <w:rPr>
                <w:sz w:val="20"/>
                <w:szCs w:val="20"/>
                <w:color w:val="auto"/>
              </w:rPr>
            </w:pPr>
            <w:r>
              <w:rPr>
                <w:rFonts w:ascii="Arial" w:cs="Arial" w:eastAsia="Arial" w:hAnsi="Arial"/>
                <w:sz w:val="15"/>
                <w:szCs w:val="15"/>
                <w:b w:val="1"/>
                <w:bCs w:val="1"/>
                <w:color w:val="auto"/>
              </w:rPr>
              <w:t>(.36)</w:t>
            </w:r>
          </w:p>
        </w:tc>
        <w:tc>
          <w:tcPr>
            <w:tcW w:w="57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ind w:right="84"/>
              <w:spacing w:after="0"/>
              <w:rPr>
                <w:sz w:val="20"/>
                <w:szCs w:val="20"/>
                <w:color w:val="auto"/>
              </w:rPr>
            </w:pPr>
            <w:r>
              <w:rPr>
                <w:rFonts w:ascii="Arial" w:cs="Arial" w:eastAsia="Arial" w:hAnsi="Arial"/>
                <w:sz w:val="15"/>
                <w:szCs w:val="15"/>
                <w:b w:val="1"/>
                <w:bCs w:val="1"/>
                <w:color w:val="auto"/>
              </w:rPr>
              <w:t>(.01)</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84"/>
              <w:spacing w:after="0"/>
              <w:rPr>
                <w:sz w:val="20"/>
                <w:szCs w:val="20"/>
                <w:color w:val="auto"/>
              </w:rPr>
            </w:pPr>
            <w:r>
              <w:rPr>
                <w:rFonts w:ascii="Arial" w:cs="Arial" w:eastAsia="Arial" w:hAnsi="Arial"/>
                <w:sz w:val="15"/>
                <w:szCs w:val="15"/>
                <w:b w:val="1"/>
                <w:bCs w:val="1"/>
                <w:color w:val="auto"/>
              </w:rPr>
              <w:t>(.52)</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.15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9"/>
                <w:szCs w:val="19"/>
                <w:b w:val="1"/>
                <w:bCs w:val="1"/>
                <w:color w:val="auto"/>
                <w:vertAlign w:val="superscript"/>
              </w:rPr>
              <w:t>(3)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50" w:type="dxa"/>
            <w:vAlign w:val="bottom"/>
          </w:tcPr>
          <w:p>
            <w:pPr>
              <w:jc w:val="right"/>
              <w:ind w:right="134"/>
              <w:spacing w:after="0"/>
              <w:rPr>
                <w:sz w:val="20"/>
                <w:szCs w:val="20"/>
                <w:color w:val="auto"/>
              </w:rPr>
            </w:pPr>
            <w:r>
              <w:rPr>
                <w:rFonts w:ascii="Arial" w:cs="Arial" w:eastAsia="Arial" w:hAnsi="Arial"/>
                <w:sz w:val="15"/>
                <w:szCs w:val="15"/>
                <w:b w:val="1"/>
                <w:bCs w:val="1"/>
                <w:color w:val="auto"/>
              </w:rPr>
              <w:t>732</w:t>
            </w:r>
          </w:p>
        </w:tc>
        <w:tc>
          <w:tcPr>
            <w:tcW w:w="39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70" w:type="dxa"/>
            <w:vAlign w:val="bottom"/>
          </w:tcPr>
          <w:p>
            <w:pPr>
              <w:jc w:val="right"/>
              <w:ind w:right="134"/>
              <w:spacing w:after="0"/>
              <w:rPr>
                <w:sz w:val="20"/>
                <w:szCs w:val="20"/>
                <w:color w:val="auto"/>
              </w:rPr>
            </w:pPr>
            <w:r>
              <w:rPr>
                <w:rFonts w:ascii="Arial" w:cs="Arial" w:eastAsia="Arial" w:hAnsi="Arial"/>
                <w:sz w:val="15"/>
                <w:szCs w:val="15"/>
                <w:b w:val="1"/>
                <w:bCs w:val="1"/>
                <w:color w:val="auto"/>
              </w:rPr>
              <w:t>863</w:t>
            </w:r>
          </w:p>
        </w:tc>
        <w:tc>
          <w:tcPr>
            <w:tcW w:w="31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30" w:type="dxa"/>
            <w:vAlign w:val="bottom"/>
          </w:tcPr>
          <w:p>
            <w:pPr>
              <w:jc w:val="right"/>
              <w:ind w:right="134"/>
              <w:spacing w:after="0"/>
              <w:rPr>
                <w:sz w:val="20"/>
                <w:szCs w:val="20"/>
                <w:color w:val="auto"/>
              </w:rPr>
            </w:pPr>
            <w:r>
              <w:rPr>
                <w:rFonts w:ascii="Arial" w:cs="Arial" w:eastAsia="Arial" w:hAnsi="Arial"/>
                <w:sz w:val="15"/>
                <w:szCs w:val="15"/>
                <w:b w:val="1"/>
                <w:bCs w:val="1"/>
                <w:color w:val="auto"/>
              </w:rPr>
              <w:t>313</w:t>
            </w:r>
          </w:p>
        </w:tc>
        <w:tc>
          <w:tcPr>
            <w:tcW w:w="57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ind w:right="124"/>
              <w:spacing w:after="0"/>
              <w:rPr>
                <w:sz w:val="20"/>
                <w:szCs w:val="20"/>
                <w:color w:val="auto"/>
              </w:rPr>
            </w:pPr>
            <w:r>
              <w:rPr>
                <w:rFonts w:ascii="Arial" w:cs="Arial" w:eastAsia="Arial" w:hAnsi="Arial"/>
                <w:sz w:val="15"/>
                <w:szCs w:val="15"/>
                <w:b w:val="1"/>
                <w:bCs w:val="1"/>
                <w:color w:val="auto"/>
              </w:rPr>
              <w:t>684</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124"/>
              <w:spacing w:after="0"/>
              <w:rPr>
                <w:sz w:val="20"/>
                <w:szCs w:val="20"/>
                <w:color w:val="auto"/>
              </w:rPr>
            </w:pPr>
            <w:r>
              <w:rPr>
                <w:rFonts w:ascii="Arial" w:cs="Arial" w:eastAsia="Arial" w:hAnsi="Arial"/>
                <w:sz w:val="15"/>
                <w:szCs w:val="15"/>
                <w:b w:val="1"/>
                <w:bCs w:val="1"/>
                <w:color w:val="auto"/>
              </w:rPr>
              <w:t>674</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1,161</w:t>
            </w:r>
          </w:p>
        </w:tc>
        <w:tc>
          <w:tcPr>
            <w:tcW w:w="1380" w:type="dxa"/>
            <w:vAlign w:val="bottom"/>
            <w:gridSpan w:val="2"/>
          </w:tcPr>
          <w:p>
            <w:pPr>
              <w:jc w:val="center"/>
              <w:ind w:left="124"/>
              <w:spacing w:after="0"/>
              <w:rPr>
                <w:sz w:val="20"/>
                <w:szCs w:val="20"/>
                <w:color w:val="auto"/>
              </w:rPr>
            </w:pPr>
            <w:r>
              <w:rPr>
                <w:rFonts w:ascii="Arial" w:cs="Arial" w:eastAsia="Arial" w:hAnsi="Arial"/>
                <w:sz w:val="15"/>
                <w:szCs w:val="15"/>
                <w:b w:val="1"/>
                <w:bCs w:val="1"/>
                <w:color w:val="auto"/>
              </w:rPr>
              <w:t>$900 - $1,000</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3,800</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i w:val="1"/>
                <w:iCs w:val="1"/>
                <w:color w:val="auto"/>
              </w:rPr>
              <w:t>(29)% (6)%</w:t>
            </w:r>
          </w:p>
        </w:tc>
        <w:tc>
          <w:tcPr>
            <w:tcW w:w="160" w:type="dxa"/>
            <w:vAlign w:val="bottom"/>
          </w:tcPr>
          <w:p>
            <w:pPr>
              <w:spacing w:after="0"/>
              <w:rPr>
                <w:sz w:val="17"/>
                <w:szCs w:val="17"/>
                <w:color w:val="auto"/>
              </w:rPr>
            </w:pPr>
          </w:p>
        </w:tc>
        <w:tc>
          <w:tcPr>
            <w:tcW w:w="670" w:type="dxa"/>
            <w:vAlign w:val="bottom"/>
          </w:tcPr>
          <w:p>
            <w:pPr>
              <w:ind w:left="320"/>
              <w:spacing w:after="0"/>
              <w:rPr>
                <w:sz w:val="20"/>
                <w:szCs w:val="20"/>
                <w:color w:val="auto"/>
              </w:rPr>
            </w:pPr>
            <w:r>
              <w:rPr>
                <w:rFonts w:ascii="Arial" w:cs="Arial" w:eastAsia="Arial" w:hAnsi="Arial"/>
                <w:sz w:val="15"/>
                <w:szCs w:val="15"/>
                <w:i w:val="1"/>
                <w:iCs w:val="1"/>
                <w:color w:val="auto"/>
              </w:rPr>
              <w:t>(6)%</w:t>
            </w:r>
          </w:p>
        </w:tc>
        <w:tc>
          <w:tcPr>
            <w:tcW w:w="3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 w:type="dxa"/>
            <w:vAlign w:val="bottom"/>
          </w:tcPr>
          <w:p>
            <w:pPr>
              <w:spacing w:after="0"/>
              <w:rPr>
                <w:sz w:val="17"/>
                <w:szCs w:val="17"/>
                <w:color w:val="auto"/>
              </w:rPr>
            </w:pPr>
          </w:p>
        </w:tc>
        <w:tc>
          <w:tcPr>
            <w:tcW w:w="5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i w:val="1"/>
                <w:iCs w:val="1"/>
                <w:color w:val="auto"/>
              </w:rPr>
              <w:t>42 %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59 %</w:t>
            </w:r>
          </w:p>
        </w:tc>
        <w:tc>
          <w:tcPr>
            <w:tcW w:w="1140" w:type="dxa"/>
            <w:vAlign w:val="bottom"/>
          </w:tcPr>
          <w:p>
            <w:pPr>
              <w:jc w:val="center"/>
              <w:ind w:left="364"/>
              <w:spacing w:after="0"/>
              <w:rPr>
                <w:sz w:val="20"/>
                <w:szCs w:val="20"/>
                <w:color w:val="auto"/>
              </w:rPr>
            </w:pPr>
            <w:r>
              <w:rPr>
                <w:rFonts w:ascii="Arial" w:cs="Arial" w:eastAsia="Arial" w:hAnsi="Arial"/>
                <w:sz w:val="15"/>
                <w:szCs w:val="15"/>
                <w:i w:val="1"/>
                <w:iCs w:val="1"/>
                <w:color w:val="auto"/>
              </w:rPr>
              <w:t>4% - 16%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center"/>
              <w:ind w:right="84"/>
              <w:spacing w:after="0"/>
              <w:rPr>
                <w:sz w:val="20"/>
                <w:szCs w:val="20"/>
                <w:color w:val="auto"/>
              </w:rPr>
            </w:pPr>
            <w:r>
              <w:rPr>
                <w:rFonts w:ascii="Arial" w:cs="Arial" w:eastAsia="Arial" w:hAnsi="Arial"/>
                <w:sz w:val="15"/>
                <w:szCs w:val="15"/>
                <w:i w:val="1"/>
                <w:iCs w:val="1"/>
                <w:color w:val="auto"/>
              </w:rPr>
              <w:t>16%</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Adj. EBITDA Margin</w:t>
            </w:r>
          </w:p>
        </w:tc>
        <w:tc>
          <w:tcPr>
            <w:tcW w:w="260" w:type="dxa"/>
            <w:vAlign w:val="bottom"/>
          </w:tcPr>
          <w:p>
            <w:pPr>
              <w:spacing w:after="0"/>
              <w:rPr>
                <w:sz w:val="20"/>
                <w:szCs w:val="20"/>
                <w:color w:val="auto"/>
              </w:rPr>
            </w:pPr>
          </w:p>
        </w:tc>
        <w:tc>
          <w:tcPr>
            <w:tcW w:w="65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10.2 %</w:t>
            </w:r>
          </w:p>
        </w:tc>
        <w:tc>
          <w:tcPr>
            <w:tcW w:w="39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12.6 %</w:t>
            </w:r>
          </w:p>
        </w:tc>
        <w:tc>
          <w:tcPr>
            <w:tcW w:w="31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12.1 %</w:t>
            </w:r>
          </w:p>
        </w:tc>
        <w:tc>
          <w:tcPr>
            <w:tcW w:w="57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16.6 %</w:t>
            </w:r>
          </w:p>
        </w:tc>
        <w:tc>
          <w:tcPr>
            <w:tcW w:w="5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8.3 %</w:t>
            </w:r>
          </w:p>
        </w:tc>
        <w:tc>
          <w:tcPr>
            <w:tcW w:w="2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15.8 %</w:t>
            </w:r>
          </w:p>
        </w:tc>
        <w:tc>
          <w:tcPr>
            <w:tcW w:w="1140" w:type="dxa"/>
            <w:vAlign w:val="bottom"/>
            <w:vMerge w:val="restart"/>
          </w:tcPr>
          <w:p>
            <w:pPr>
              <w:jc w:val="center"/>
              <w:ind w:left="364"/>
              <w:spacing w:after="0"/>
              <w:rPr>
                <w:sz w:val="20"/>
                <w:szCs w:val="20"/>
                <w:color w:val="auto"/>
              </w:rPr>
            </w:pPr>
            <w:r>
              <w:rPr>
                <w:rFonts w:ascii="Arial" w:cs="Arial" w:eastAsia="Arial" w:hAnsi="Arial"/>
                <w:sz w:val="15"/>
                <w:szCs w:val="15"/>
                <w:i w:val="1"/>
                <w:iCs w:val="1"/>
                <w:color w:val="auto"/>
                <w:w w:val="98"/>
              </w:rPr>
              <w:t>13.9%</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vMerge w:val="restart"/>
          </w:tcPr>
          <w:p>
            <w:pPr>
              <w:jc w:val="center"/>
              <w:ind w:right="84"/>
              <w:spacing w:after="0"/>
              <w:rPr>
                <w:sz w:val="20"/>
                <w:szCs w:val="20"/>
                <w:color w:val="auto"/>
              </w:rPr>
            </w:pPr>
            <w:r>
              <w:rPr>
                <w:rFonts w:ascii="Arial" w:cs="Arial" w:eastAsia="Arial" w:hAnsi="Arial"/>
                <w:sz w:val="15"/>
                <w:szCs w:val="15"/>
                <w:i w:val="1"/>
                <w:iCs w:val="1"/>
                <w:color w:val="auto"/>
              </w:rPr>
              <w:t>12.7%</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1760" w:type="dxa"/>
            <w:vAlign w:val="bottom"/>
            <w:tcBorders>
              <w:left w:val="single" w:sz="8" w:color="auto"/>
            </w:tcBorders>
            <w:vMerge w:val="restart"/>
          </w:tcPr>
          <w:p>
            <w:pPr>
              <w:ind w:left="260"/>
              <w:spacing w:after="0"/>
              <w:rPr>
                <w:sz w:val="20"/>
                <w:szCs w:val="20"/>
                <w:color w:val="auto"/>
              </w:rPr>
            </w:pPr>
            <w:r>
              <w:rPr>
                <w:rFonts w:ascii="Arial" w:cs="Arial" w:eastAsia="Arial" w:hAnsi="Arial"/>
                <w:sz w:val="15"/>
                <w:szCs w:val="15"/>
                <w:i w:val="1"/>
                <w:iCs w:val="1"/>
                <w:color w:val="auto"/>
              </w:rPr>
              <w:t>(%)</w:t>
            </w:r>
          </w:p>
        </w:tc>
        <w:tc>
          <w:tcPr>
            <w:tcW w:w="260" w:type="dxa"/>
            <w:vAlign w:val="bottom"/>
          </w:tcPr>
          <w:p>
            <w:pPr>
              <w:spacing w:after="0"/>
              <w:rPr>
                <w:sz w:val="8"/>
                <w:szCs w:val="8"/>
                <w:color w:val="auto"/>
              </w:rPr>
            </w:pPr>
          </w:p>
        </w:tc>
        <w:tc>
          <w:tcPr>
            <w:tcW w:w="650" w:type="dxa"/>
            <w:vAlign w:val="bottom"/>
            <w:vMerge w:val="continue"/>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670" w:type="dxa"/>
            <w:vAlign w:val="bottom"/>
            <w:vMerge w:val="continue"/>
          </w:tcPr>
          <w:p>
            <w:pPr>
              <w:spacing w:after="0"/>
              <w:rPr>
                <w:sz w:val="8"/>
                <w:szCs w:val="8"/>
                <w:color w:val="auto"/>
              </w:rPr>
            </w:pPr>
          </w:p>
        </w:tc>
        <w:tc>
          <w:tcPr>
            <w:tcW w:w="310" w:type="dxa"/>
            <w:vAlign w:val="bottom"/>
          </w:tcPr>
          <w:p>
            <w:pPr>
              <w:spacing w:after="0"/>
              <w:rPr>
                <w:sz w:val="8"/>
                <w:szCs w:val="8"/>
                <w:color w:val="auto"/>
              </w:rPr>
            </w:pPr>
          </w:p>
        </w:tc>
        <w:tc>
          <w:tcPr>
            <w:tcW w:w="140" w:type="dxa"/>
            <w:vAlign w:val="bottom"/>
          </w:tcPr>
          <w:p>
            <w:pPr>
              <w:spacing w:after="0"/>
              <w:rPr>
                <w:sz w:val="8"/>
                <w:szCs w:val="8"/>
                <w:color w:val="auto"/>
              </w:rPr>
            </w:pPr>
          </w:p>
        </w:tc>
        <w:tc>
          <w:tcPr>
            <w:tcW w:w="730" w:type="dxa"/>
            <w:vAlign w:val="bottom"/>
            <w:vMerge w:val="continue"/>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650" w:type="dxa"/>
            <w:vAlign w:val="bottom"/>
          </w:tcPr>
          <w:p>
            <w:pPr>
              <w:spacing w:after="0"/>
              <w:rPr>
                <w:sz w:val="9"/>
                <w:szCs w:val="9"/>
                <w:color w:val="auto"/>
              </w:rPr>
            </w:pPr>
          </w:p>
        </w:tc>
        <w:tc>
          <w:tcPr>
            <w:tcW w:w="390" w:type="dxa"/>
            <w:vAlign w:val="bottom"/>
          </w:tcPr>
          <w:p>
            <w:pPr>
              <w:spacing w:after="0"/>
              <w:rPr>
                <w:sz w:val="9"/>
                <w:szCs w:val="9"/>
                <w:color w:val="auto"/>
              </w:rPr>
            </w:pPr>
          </w:p>
        </w:tc>
        <w:tc>
          <w:tcPr>
            <w:tcW w:w="160" w:type="dxa"/>
            <w:vAlign w:val="bottom"/>
          </w:tcPr>
          <w:p>
            <w:pPr>
              <w:spacing w:after="0"/>
              <w:rPr>
                <w:sz w:val="9"/>
                <w:szCs w:val="9"/>
                <w:color w:val="auto"/>
              </w:rPr>
            </w:pPr>
          </w:p>
        </w:tc>
        <w:tc>
          <w:tcPr>
            <w:tcW w:w="670" w:type="dxa"/>
            <w:vAlign w:val="bottom"/>
          </w:tcPr>
          <w:p>
            <w:pPr>
              <w:spacing w:after="0"/>
              <w:rPr>
                <w:sz w:val="9"/>
                <w:szCs w:val="9"/>
                <w:color w:val="auto"/>
              </w:rPr>
            </w:pPr>
          </w:p>
        </w:tc>
        <w:tc>
          <w:tcPr>
            <w:tcW w:w="310" w:type="dxa"/>
            <w:vAlign w:val="bottom"/>
          </w:tcPr>
          <w:p>
            <w:pPr>
              <w:spacing w:after="0"/>
              <w:rPr>
                <w:sz w:val="9"/>
                <w:szCs w:val="9"/>
                <w:color w:val="auto"/>
              </w:rPr>
            </w:pPr>
          </w:p>
        </w:tc>
        <w:tc>
          <w:tcPr>
            <w:tcW w:w="140" w:type="dxa"/>
            <w:vAlign w:val="bottom"/>
          </w:tcPr>
          <w:p>
            <w:pPr>
              <w:spacing w:after="0"/>
              <w:rPr>
                <w:sz w:val="9"/>
                <w:szCs w:val="9"/>
                <w:color w:val="auto"/>
              </w:rPr>
            </w:pPr>
          </w:p>
        </w:tc>
        <w:tc>
          <w:tcPr>
            <w:tcW w:w="730" w:type="dxa"/>
            <w:vAlign w:val="bottom"/>
          </w:tcPr>
          <w:p>
            <w:pPr>
              <w:spacing w:after="0"/>
              <w:rPr>
                <w:sz w:val="9"/>
                <w:szCs w:val="9"/>
                <w:color w:val="auto"/>
              </w:rPr>
            </w:pPr>
          </w:p>
        </w:tc>
        <w:tc>
          <w:tcPr>
            <w:tcW w:w="57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Net Cash Provided by</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50" w:type="dxa"/>
            <w:vAlign w:val="bottom"/>
            <w:vMerge w:val="restart"/>
          </w:tcPr>
          <w:p>
            <w:pPr>
              <w:jc w:val="right"/>
              <w:ind w:right="134"/>
              <w:spacing w:after="0"/>
              <w:rPr>
                <w:sz w:val="20"/>
                <w:szCs w:val="20"/>
                <w:color w:val="auto"/>
              </w:rPr>
            </w:pPr>
            <w:r>
              <w:rPr>
                <w:rFonts w:ascii="Arial" w:cs="Arial" w:eastAsia="Arial" w:hAnsi="Arial"/>
                <w:sz w:val="15"/>
                <w:szCs w:val="15"/>
                <w:b w:val="1"/>
                <w:bCs w:val="1"/>
                <w:color w:val="auto"/>
              </w:rPr>
              <w:t>180</w:t>
            </w:r>
          </w:p>
        </w:tc>
        <w:tc>
          <w:tcPr>
            <w:tcW w:w="39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670" w:type="dxa"/>
            <w:vAlign w:val="bottom"/>
            <w:vMerge w:val="restart"/>
          </w:tcPr>
          <w:p>
            <w:pPr>
              <w:jc w:val="right"/>
              <w:ind w:right="134"/>
              <w:spacing w:after="0"/>
              <w:rPr>
                <w:sz w:val="20"/>
                <w:szCs w:val="20"/>
                <w:color w:val="auto"/>
              </w:rPr>
            </w:pPr>
            <w:r>
              <w:rPr>
                <w:rFonts w:ascii="Arial" w:cs="Arial" w:eastAsia="Arial" w:hAnsi="Arial"/>
                <w:sz w:val="15"/>
                <w:szCs w:val="15"/>
                <w:b w:val="1"/>
                <w:bCs w:val="1"/>
                <w:color w:val="auto"/>
              </w:rPr>
              <w:t>159</w:t>
            </w:r>
          </w:p>
        </w:tc>
        <w:tc>
          <w:tcPr>
            <w:tcW w:w="31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730" w:type="dxa"/>
            <w:vAlign w:val="bottom"/>
            <w:vMerge w:val="restart"/>
          </w:tcPr>
          <w:p>
            <w:pPr>
              <w:jc w:val="right"/>
              <w:ind w:right="94"/>
              <w:spacing w:after="0"/>
              <w:rPr>
                <w:sz w:val="20"/>
                <w:szCs w:val="20"/>
                <w:color w:val="auto"/>
              </w:rPr>
            </w:pPr>
            <w:r>
              <w:rPr>
                <w:rFonts w:ascii="Arial" w:cs="Arial" w:eastAsia="Arial" w:hAnsi="Arial"/>
                <w:sz w:val="15"/>
                <w:szCs w:val="15"/>
                <w:b w:val="1"/>
                <w:bCs w:val="1"/>
                <w:color w:val="auto"/>
              </w:rPr>
              <w:t>(175)</w:t>
            </w:r>
          </w:p>
        </w:tc>
        <w:tc>
          <w:tcPr>
            <w:tcW w:w="57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268</w:t>
            </w: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217</w:t>
            </w:r>
          </w:p>
        </w:tc>
        <w:tc>
          <w:tcPr>
            <w:tcW w:w="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185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tcBorders>
          </w:tcPr>
          <w:p>
            <w:pPr>
              <w:ind w:left="200"/>
              <w:spacing w:after="0"/>
              <w:rPr>
                <w:sz w:val="20"/>
                <w:szCs w:val="20"/>
                <w:color w:val="auto"/>
              </w:rPr>
            </w:pPr>
            <w:r>
              <w:rPr>
                <w:rFonts w:ascii="Arial" w:cs="Arial" w:eastAsia="Arial" w:hAnsi="Arial"/>
                <w:sz w:val="15"/>
                <w:szCs w:val="15"/>
                <w:b w:val="1"/>
                <w:bCs w:val="1"/>
                <w:color w:val="auto"/>
              </w:rPr>
              <w:t>(Used For) Operating</w:t>
            </w:r>
          </w:p>
        </w:tc>
        <w:tc>
          <w:tcPr>
            <w:tcW w:w="260" w:type="dxa"/>
            <w:vAlign w:val="bottom"/>
            <w:vMerge w:val="continue"/>
          </w:tcPr>
          <w:p>
            <w:pPr>
              <w:spacing w:after="0"/>
              <w:rPr>
                <w:sz w:val="15"/>
                <w:szCs w:val="15"/>
                <w:color w:val="auto"/>
              </w:rPr>
            </w:pPr>
          </w:p>
        </w:tc>
        <w:tc>
          <w:tcPr>
            <w:tcW w:w="650" w:type="dxa"/>
            <w:vAlign w:val="bottom"/>
            <w:vMerge w:val="continue"/>
          </w:tcPr>
          <w:p>
            <w:pPr>
              <w:spacing w:after="0"/>
              <w:rPr>
                <w:sz w:val="15"/>
                <w:szCs w:val="15"/>
                <w:color w:val="auto"/>
              </w:rPr>
            </w:pPr>
          </w:p>
        </w:tc>
        <w:tc>
          <w:tcPr>
            <w:tcW w:w="39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70" w:type="dxa"/>
            <w:vAlign w:val="bottom"/>
            <w:vMerge w:val="continue"/>
          </w:tcPr>
          <w:p>
            <w:pPr>
              <w:spacing w:after="0"/>
              <w:rPr>
                <w:sz w:val="15"/>
                <w:szCs w:val="15"/>
                <w:color w:val="auto"/>
              </w:rPr>
            </w:pPr>
          </w:p>
        </w:tc>
        <w:tc>
          <w:tcPr>
            <w:tcW w:w="31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30" w:type="dxa"/>
            <w:vAlign w:val="bottom"/>
            <w:vMerge w:val="continue"/>
          </w:tcPr>
          <w:p>
            <w:pPr>
              <w:spacing w:after="0"/>
              <w:rPr>
                <w:sz w:val="15"/>
                <w:szCs w:val="15"/>
                <w:color w:val="auto"/>
              </w:rPr>
            </w:pPr>
          </w:p>
        </w:tc>
        <w:tc>
          <w:tcPr>
            <w:tcW w:w="57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tcBorders>
          </w:tcPr>
          <w:p>
            <w:pPr>
              <w:ind w:left="200"/>
              <w:spacing w:after="0"/>
              <w:rPr>
                <w:sz w:val="20"/>
                <w:szCs w:val="20"/>
                <w:color w:val="auto"/>
              </w:rPr>
            </w:pPr>
            <w:r>
              <w:rPr>
                <w:rFonts w:ascii="Arial" w:cs="Arial" w:eastAsia="Arial" w:hAnsi="Arial"/>
                <w:sz w:val="15"/>
                <w:szCs w:val="15"/>
                <w:b w:val="1"/>
                <w:bCs w:val="1"/>
                <w:color w:val="auto"/>
              </w:rPr>
              <w:t>Activities</w:t>
            </w:r>
          </w:p>
        </w:tc>
        <w:tc>
          <w:tcPr>
            <w:tcW w:w="26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39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3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Free Cash Flow </w:t>
            </w:r>
            <w:r>
              <w:rPr>
                <w:rFonts w:ascii="Arial" w:cs="Arial" w:eastAsia="Arial" w:hAnsi="Arial"/>
                <w:sz w:val="19"/>
                <w:szCs w:val="19"/>
                <w:b w:val="1"/>
                <w:bCs w:val="1"/>
                <w:color w:val="auto"/>
                <w:vertAlign w:val="superscript"/>
              </w:rPr>
              <w:t>(3)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50" w:type="dxa"/>
            <w:vAlign w:val="bottom"/>
          </w:tcPr>
          <w:p>
            <w:pPr>
              <w:jc w:val="right"/>
              <w:ind w:right="134"/>
              <w:spacing w:after="0"/>
              <w:rPr>
                <w:sz w:val="20"/>
                <w:szCs w:val="20"/>
                <w:color w:val="auto"/>
              </w:rPr>
            </w:pPr>
            <w:r>
              <w:rPr>
                <w:rFonts w:ascii="Arial" w:cs="Arial" w:eastAsia="Arial" w:hAnsi="Arial"/>
                <w:sz w:val="15"/>
                <w:szCs w:val="15"/>
                <w:b w:val="1"/>
                <w:bCs w:val="1"/>
                <w:color w:val="auto"/>
              </w:rPr>
              <w:t>123</w:t>
            </w:r>
          </w:p>
        </w:tc>
        <w:tc>
          <w:tcPr>
            <w:tcW w:w="39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70" w:type="dxa"/>
            <w:vAlign w:val="bottom"/>
          </w:tcPr>
          <w:p>
            <w:pPr>
              <w:jc w:val="right"/>
              <w:ind w:right="134"/>
              <w:spacing w:after="0"/>
              <w:rPr>
                <w:sz w:val="20"/>
                <w:szCs w:val="20"/>
                <w:color w:val="auto"/>
              </w:rPr>
            </w:pPr>
            <w:r>
              <w:rPr>
                <w:rFonts w:ascii="Arial" w:cs="Arial" w:eastAsia="Arial" w:hAnsi="Arial"/>
                <w:sz w:val="15"/>
                <w:szCs w:val="15"/>
                <w:b w:val="1"/>
                <w:bCs w:val="1"/>
                <w:color w:val="auto"/>
              </w:rPr>
              <w:t>114</w:t>
            </w:r>
          </w:p>
        </w:tc>
        <w:tc>
          <w:tcPr>
            <w:tcW w:w="31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30" w:type="dxa"/>
            <w:vAlign w:val="bottom"/>
          </w:tcPr>
          <w:p>
            <w:pPr>
              <w:jc w:val="right"/>
              <w:ind w:right="94"/>
              <w:spacing w:after="0"/>
              <w:rPr>
                <w:sz w:val="20"/>
                <w:szCs w:val="20"/>
                <w:color w:val="auto"/>
              </w:rPr>
            </w:pPr>
            <w:r>
              <w:rPr>
                <w:rFonts w:ascii="Arial" w:cs="Arial" w:eastAsia="Arial" w:hAnsi="Arial"/>
                <w:sz w:val="15"/>
                <w:szCs w:val="15"/>
                <w:b w:val="1"/>
                <w:bCs w:val="1"/>
                <w:color w:val="auto"/>
              </w:rPr>
              <w:t>(207)</w:t>
            </w:r>
          </w:p>
        </w:tc>
        <w:tc>
          <w:tcPr>
            <w:tcW w:w="57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ind w:right="124"/>
              <w:spacing w:after="0"/>
              <w:rPr>
                <w:sz w:val="20"/>
                <w:szCs w:val="20"/>
                <w:color w:val="auto"/>
              </w:rPr>
            </w:pPr>
            <w:r>
              <w:rPr>
                <w:rFonts w:ascii="Arial" w:cs="Arial" w:eastAsia="Arial" w:hAnsi="Arial"/>
                <w:sz w:val="15"/>
                <w:szCs w:val="15"/>
                <w:b w:val="1"/>
                <w:bCs w:val="1"/>
                <w:color w:val="auto"/>
              </w:rPr>
              <w:t>222</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124"/>
              <w:spacing w:after="0"/>
              <w:rPr>
                <w:sz w:val="20"/>
                <w:szCs w:val="20"/>
                <w:color w:val="auto"/>
              </w:rPr>
            </w:pPr>
            <w:r>
              <w:rPr>
                <w:rFonts w:ascii="Arial" w:cs="Arial" w:eastAsia="Arial" w:hAnsi="Arial"/>
                <w:sz w:val="15"/>
                <w:szCs w:val="15"/>
                <w:b w:val="1"/>
                <w:bCs w:val="1"/>
                <w:color w:val="auto"/>
              </w:rPr>
              <w:t>101</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96</w:t>
            </w: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Shares Outstanding </w:t>
            </w:r>
            <w:r>
              <w:rPr>
                <w:rFonts w:ascii="Arial" w:cs="Arial" w:eastAsia="Arial" w:hAnsi="Arial"/>
                <w:sz w:val="19"/>
                <w:szCs w:val="19"/>
                <w:b w:val="1"/>
                <w:bCs w:val="1"/>
                <w:color w:val="auto"/>
                <w:vertAlign w:val="superscript"/>
              </w:rPr>
              <w:t>(4)</w:t>
            </w:r>
          </w:p>
        </w:tc>
        <w:tc>
          <w:tcPr>
            <w:tcW w:w="260" w:type="dxa"/>
            <w:vAlign w:val="bottom"/>
          </w:tcPr>
          <w:p>
            <w:pPr>
              <w:spacing w:after="0"/>
              <w:rPr>
                <w:sz w:val="23"/>
                <w:szCs w:val="23"/>
                <w:color w:val="auto"/>
              </w:rPr>
            </w:pPr>
          </w:p>
        </w:tc>
        <w:tc>
          <w:tcPr>
            <w:tcW w:w="650" w:type="dxa"/>
            <w:vAlign w:val="bottom"/>
          </w:tcPr>
          <w:p>
            <w:pPr>
              <w:jc w:val="right"/>
              <w:ind w:right="134"/>
              <w:spacing w:after="0"/>
              <w:rPr>
                <w:sz w:val="20"/>
                <w:szCs w:val="20"/>
                <w:color w:val="auto"/>
              </w:rPr>
            </w:pPr>
            <w:r>
              <w:rPr>
                <w:rFonts w:ascii="Arial" w:cs="Arial" w:eastAsia="Arial" w:hAnsi="Arial"/>
                <w:sz w:val="15"/>
                <w:szCs w:val="15"/>
                <w:b w:val="1"/>
                <w:bCs w:val="1"/>
                <w:color w:val="auto"/>
              </w:rPr>
              <w:t>678</w:t>
            </w:r>
          </w:p>
        </w:tc>
        <w:tc>
          <w:tcPr>
            <w:tcW w:w="39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70" w:type="dxa"/>
            <w:vAlign w:val="bottom"/>
          </w:tcPr>
          <w:p>
            <w:pPr>
              <w:jc w:val="right"/>
              <w:ind w:right="134"/>
              <w:spacing w:after="0"/>
              <w:rPr>
                <w:sz w:val="20"/>
                <w:szCs w:val="20"/>
                <w:color w:val="auto"/>
              </w:rPr>
            </w:pPr>
            <w:r>
              <w:rPr>
                <w:rFonts w:ascii="Arial" w:cs="Arial" w:eastAsia="Arial" w:hAnsi="Arial"/>
                <w:sz w:val="15"/>
                <w:szCs w:val="15"/>
                <w:b w:val="1"/>
                <w:bCs w:val="1"/>
                <w:color w:val="auto"/>
              </w:rPr>
              <w:t>680</w:t>
            </w:r>
          </w:p>
        </w:tc>
        <w:tc>
          <w:tcPr>
            <w:tcW w:w="31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30" w:type="dxa"/>
            <w:vAlign w:val="bottom"/>
          </w:tcPr>
          <w:p>
            <w:pPr>
              <w:jc w:val="right"/>
              <w:ind w:right="134"/>
              <w:spacing w:after="0"/>
              <w:rPr>
                <w:sz w:val="20"/>
                <w:szCs w:val="20"/>
                <w:color w:val="auto"/>
              </w:rPr>
            </w:pPr>
            <w:r>
              <w:rPr>
                <w:rFonts w:ascii="Arial" w:cs="Arial" w:eastAsia="Arial" w:hAnsi="Arial"/>
                <w:sz w:val="15"/>
                <w:szCs w:val="15"/>
                <w:b w:val="1"/>
                <w:bCs w:val="1"/>
                <w:color w:val="auto"/>
              </w:rPr>
              <w:t>675</w:t>
            </w:r>
          </w:p>
        </w:tc>
        <w:tc>
          <w:tcPr>
            <w:tcW w:w="57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24"/>
              <w:spacing w:after="0"/>
              <w:rPr>
                <w:sz w:val="20"/>
                <w:szCs w:val="20"/>
                <w:color w:val="auto"/>
              </w:rPr>
            </w:pPr>
            <w:r>
              <w:rPr>
                <w:rFonts w:ascii="Arial" w:cs="Arial" w:eastAsia="Arial" w:hAnsi="Arial"/>
                <w:sz w:val="15"/>
                <w:szCs w:val="15"/>
                <w:b w:val="1"/>
                <w:bCs w:val="1"/>
                <w:color w:val="auto"/>
              </w:rPr>
              <w:t>1,098</w:t>
            </w:r>
          </w:p>
        </w:tc>
        <w:tc>
          <w:tcPr>
            <w:tcW w:w="500" w:type="dxa"/>
            <w:vAlign w:val="bottom"/>
          </w:tcPr>
          <w:p>
            <w:pPr>
              <w:spacing w:after="0"/>
              <w:rPr>
                <w:sz w:val="23"/>
                <w:szCs w:val="23"/>
                <w:color w:val="auto"/>
              </w:rPr>
            </w:pPr>
          </w:p>
        </w:tc>
        <w:tc>
          <w:tcPr>
            <w:tcW w:w="660" w:type="dxa"/>
            <w:vAlign w:val="bottom"/>
          </w:tcPr>
          <w:p>
            <w:pPr>
              <w:jc w:val="right"/>
              <w:ind w:right="124"/>
              <w:spacing w:after="0"/>
              <w:rPr>
                <w:sz w:val="20"/>
                <w:szCs w:val="20"/>
                <w:color w:val="auto"/>
              </w:rPr>
            </w:pPr>
            <w:r>
              <w:rPr>
                <w:rFonts w:ascii="Arial" w:cs="Arial" w:eastAsia="Arial" w:hAnsi="Arial"/>
                <w:sz w:val="15"/>
                <w:szCs w:val="15"/>
                <w:b w:val="1"/>
                <w:bCs w:val="1"/>
                <w:color w:val="auto"/>
              </w:rPr>
              <w:t>1,104</w:t>
            </w:r>
          </w:p>
        </w:tc>
        <w:tc>
          <w:tcPr>
            <w:tcW w:w="240" w:type="dxa"/>
            <w:vAlign w:val="bottom"/>
          </w:tcPr>
          <w:p>
            <w:pPr>
              <w:spacing w:after="0"/>
              <w:rPr>
                <w:sz w:val="23"/>
                <w:szCs w:val="23"/>
                <w:color w:val="auto"/>
              </w:rPr>
            </w:pP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1,118</w:t>
            </w: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Paramount+ Revenue</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50" w:type="dxa"/>
            <w:vAlign w:val="bottom"/>
          </w:tcPr>
          <w:p>
            <w:pPr>
              <w:jc w:val="right"/>
              <w:ind w:right="134"/>
              <w:spacing w:after="0"/>
              <w:rPr>
                <w:sz w:val="20"/>
                <w:szCs w:val="20"/>
                <w:color w:val="auto"/>
              </w:rPr>
            </w:pPr>
            <w:r>
              <w:rPr>
                <w:rFonts w:ascii="Arial" w:cs="Arial" w:eastAsia="Arial" w:hAnsi="Arial"/>
                <w:sz w:val="15"/>
                <w:szCs w:val="15"/>
                <w:b w:val="1"/>
                <w:bCs w:val="1"/>
                <w:color w:val="auto"/>
              </w:rPr>
              <w:t>1,686</w:t>
            </w:r>
          </w:p>
        </w:tc>
        <w:tc>
          <w:tcPr>
            <w:tcW w:w="39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70" w:type="dxa"/>
            <w:vAlign w:val="bottom"/>
          </w:tcPr>
          <w:p>
            <w:pPr>
              <w:jc w:val="right"/>
              <w:ind w:right="134"/>
              <w:spacing w:after="0"/>
              <w:rPr>
                <w:sz w:val="20"/>
                <w:szCs w:val="20"/>
                <w:color w:val="auto"/>
              </w:rPr>
            </w:pPr>
            <w:r>
              <w:rPr>
                <w:rFonts w:ascii="Arial" w:cs="Arial" w:eastAsia="Arial" w:hAnsi="Arial"/>
                <w:sz w:val="15"/>
                <w:szCs w:val="15"/>
                <w:b w:val="1"/>
                <w:bCs w:val="1"/>
                <w:color w:val="auto"/>
              </w:rPr>
              <w:t>1,771</w:t>
            </w:r>
          </w:p>
        </w:tc>
        <w:tc>
          <w:tcPr>
            <w:tcW w:w="31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30" w:type="dxa"/>
            <w:vAlign w:val="bottom"/>
          </w:tcPr>
          <w:p>
            <w:pPr>
              <w:jc w:val="right"/>
              <w:ind w:right="134"/>
              <w:spacing w:after="0"/>
              <w:rPr>
                <w:sz w:val="20"/>
                <w:szCs w:val="20"/>
                <w:color w:val="auto"/>
              </w:rPr>
            </w:pPr>
            <w:r>
              <w:rPr>
                <w:rFonts w:ascii="Arial" w:cs="Arial" w:eastAsia="Arial" w:hAnsi="Arial"/>
                <w:sz w:val="15"/>
                <w:szCs w:val="15"/>
                <w:b w:val="1"/>
                <w:bCs w:val="1"/>
                <w:color w:val="auto"/>
              </w:rPr>
              <w:t>709</w:t>
            </w:r>
          </w:p>
        </w:tc>
        <w:tc>
          <w:tcPr>
            <w:tcW w:w="57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ind w:right="124"/>
              <w:spacing w:after="0"/>
              <w:rPr>
                <w:sz w:val="20"/>
                <w:szCs w:val="20"/>
                <w:color w:val="auto"/>
              </w:rPr>
            </w:pPr>
            <w:r>
              <w:rPr>
                <w:rFonts w:ascii="Arial" w:cs="Arial" w:eastAsia="Arial" w:hAnsi="Arial"/>
                <w:sz w:val="15"/>
                <w:szCs w:val="15"/>
                <w:b w:val="1"/>
                <w:bCs w:val="1"/>
                <w:color w:val="auto"/>
              </w:rPr>
              <w:t>1,060</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124"/>
              <w:spacing w:after="0"/>
              <w:rPr>
                <w:sz w:val="20"/>
                <w:szCs w:val="20"/>
                <w:color w:val="auto"/>
              </w:rPr>
            </w:pPr>
            <w:r>
              <w:rPr>
                <w:rFonts w:ascii="Arial" w:cs="Arial" w:eastAsia="Arial" w:hAnsi="Arial"/>
                <w:sz w:val="15"/>
                <w:szCs w:val="15"/>
                <w:b w:val="1"/>
                <w:bCs w:val="1"/>
                <w:color w:val="auto"/>
              </w:rPr>
              <w:t>1,837</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24"/>
              <w:spacing w:after="0"/>
              <w:rPr>
                <w:sz w:val="20"/>
                <w:szCs w:val="20"/>
                <w:color w:val="auto"/>
              </w:rPr>
            </w:pPr>
            <w:r>
              <w:rPr>
                <w:rFonts w:ascii="Arial" w:cs="Arial" w:eastAsia="Arial" w:hAnsi="Arial"/>
                <w:sz w:val="15"/>
                <w:szCs w:val="15"/>
                <w:b w:val="1"/>
                <w:bCs w:val="1"/>
                <w:color w:val="auto"/>
              </w:rPr>
              <w:t>1,974</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i w:val="1"/>
                <w:iCs w:val="1"/>
                <w:color w:val="auto"/>
              </w:rPr>
              <w:t>16 % 23 %</w:t>
            </w:r>
          </w:p>
        </w:tc>
        <w:tc>
          <w:tcPr>
            <w:tcW w:w="160" w:type="dxa"/>
            <w:vAlign w:val="bottom"/>
          </w:tcPr>
          <w:p>
            <w:pPr>
              <w:spacing w:after="0"/>
              <w:rPr>
                <w:sz w:val="20"/>
                <w:szCs w:val="20"/>
                <w:color w:val="auto"/>
              </w:rPr>
            </w:pPr>
          </w:p>
        </w:tc>
        <w:tc>
          <w:tcPr>
            <w:tcW w:w="670" w:type="dxa"/>
            <w:vAlign w:val="bottom"/>
          </w:tcPr>
          <w:p>
            <w:pPr>
              <w:jc w:val="right"/>
              <w:spacing w:after="0"/>
              <w:rPr>
                <w:sz w:val="20"/>
                <w:szCs w:val="20"/>
                <w:color w:val="auto"/>
              </w:rPr>
            </w:pPr>
            <w:r>
              <w:rPr>
                <w:rFonts w:ascii="Arial" w:cs="Arial" w:eastAsia="Arial" w:hAnsi="Arial"/>
                <w:sz w:val="15"/>
                <w:szCs w:val="15"/>
                <w:i w:val="1"/>
                <w:iCs w:val="1"/>
                <w:color w:val="auto"/>
              </w:rPr>
              <w:t>23 %</w:t>
            </w:r>
          </w:p>
        </w:tc>
        <w:tc>
          <w:tcPr>
            <w:tcW w:w="31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0" w:type="dxa"/>
            <w:vAlign w:val="bottom"/>
          </w:tcPr>
          <w:p>
            <w:pPr>
              <w:spacing w:after="0"/>
              <w:rPr>
                <w:sz w:val="20"/>
                <w:szCs w:val="20"/>
                <w:color w:val="auto"/>
              </w:rPr>
            </w:pPr>
          </w:p>
        </w:tc>
        <w:tc>
          <w:tcPr>
            <w:tcW w:w="57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i w:val="1"/>
                <w:iCs w:val="1"/>
                <w:color w:val="auto"/>
              </w:rPr>
              <w:t>17 %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17 %</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Paramount+</w:t>
            </w:r>
          </w:p>
        </w:tc>
        <w:tc>
          <w:tcPr>
            <w:tcW w:w="260" w:type="dxa"/>
            <w:vAlign w:val="bottom"/>
          </w:tcPr>
          <w:p>
            <w:pPr>
              <w:spacing w:after="0"/>
              <w:rPr>
                <w:sz w:val="19"/>
                <w:szCs w:val="19"/>
                <w:color w:val="auto"/>
              </w:rPr>
            </w:pPr>
          </w:p>
        </w:tc>
        <w:tc>
          <w:tcPr>
            <w:tcW w:w="650" w:type="dxa"/>
            <w:vAlign w:val="bottom"/>
            <w:vMerge w:val="restart"/>
          </w:tcPr>
          <w:p>
            <w:pPr>
              <w:jc w:val="right"/>
              <w:ind w:right="134"/>
              <w:spacing w:after="0"/>
              <w:rPr>
                <w:sz w:val="20"/>
                <w:szCs w:val="20"/>
                <w:color w:val="auto"/>
              </w:rPr>
            </w:pPr>
            <w:r>
              <w:rPr>
                <w:rFonts w:ascii="Arial" w:cs="Arial" w:eastAsia="Arial" w:hAnsi="Arial"/>
                <w:sz w:val="15"/>
                <w:szCs w:val="15"/>
                <w:b w:val="1"/>
                <w:bCs w:val="1"/>
                <w:color w:val="auto"/>
              </w:rPr>
              <w:t>77.8</w:t>
            </w:r>
          </w:p>
        </w:tc>
        <w:tc>
          <w:tcPr>
            <w:tcW w:w="39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0" w:type="dxa"/>
            <w:vAlign w:val="bottom"/>
            <w:vMerge w:val="restart"/>
          </w:tcPr>
          <w:p>
            <w:pPr>
              <w:jc w:val="right"/>
              <w:ind w:right="134"/>
              <w:spacing w:after="0"/>
              <w:rPr>
                <w:sz w:val="20"/>
                <w:szCs w:val="20"/>
                <w:color w:val="auto"/>
              </w:rPr>
            </w:pPr>
            <w:r>
              <w:rPr>
                <w:rFonts w:ascii="Arial" w:cs="Arial" w:eastAsia="Arial" w:hAnsi="Arial"/>
                <w:sz w:val="15"/>
                <w:szCs w:val="15"/>
                <w:b w:val="1"/>
                <w:bCs w:val="1"/>
                <w:color w:val="auto"/>
              </w:rPr>
              <w:t>76.8</w:t>
            </w:r>
          </w:p>
        </w:tc>
        <w:tc>
          <w:tcPr>
            <w:tcW w:w="31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3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77.9</w:t>
            </w:r>
          </w:p>
        </w:tc>
        <w:tc>
          <w:tcPr>
            <w:tcW w:w="50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78.9</w:t>
            </w:r>
          </w:p>
        </w:tc>
        <w:tc>
          <w:tcPr>
            <w:tcW w:w="24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79.6</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60" w:type="dxa"/>
            <w:vAlign w:val="bottom"/>
            <w:tcBorders>
              <w:left w:val="single" w:sz="8" w:color="auto"/>
            </w:tcBorders>
            <w:vMerge w:val="restart"/>
          </w:tcPr>
          <w:p>
            <w:pPr>
              <w:ind w:left="40"/>
              <w:spacing w:after="0"/>
              <w:rPr>
                <w:sz w:val="20"/>
                <w:szCs w:val="20"/>
                <w:color w:val="auto"/>
              </w:rPr>
            </w:pPr>
            <w:r>
              <w:rPr>
                <w:rFonts w:ascii="Arial" w:cs="Arial" w:eastAsia="Arial" w:hAnsi="Arial"/>
                <w:sz w:val="15"/>
                <w:szCs w:val="15"/>
                <w:b w:val="1"/>
                <w:bCs w:val="1"/>
                <w:color w:val="auto"/>
              </w:rPr>
              <w:t>Subscribers</w:t>
            </w:r>
          </w:p>
        </w:tc>
        <w:tc>
          <w:tcPr>
            <w:tcW w:w="260" w:type="dxa"/>
            <w:vAlign w:val="bottom"/>
          </w:tcPr>
          <w:p>
            <w:pPr>
              <w:spacing w:after="0"/>
              <w:rPr>
                <w:sz w:val="8"/>
                <w:szCs w:val="8"/>
                <w:color w:val="auto"/>
              </w:rPr>
            </w:pPr>
          </w:p>
        </w:tc>
        <w:tc>
          <w:tcPr>
            <w:tcW w:w="650" w:type="dxa"/>
            <w:vAlign w:val="bottom"/>
            <w:vMerge w:val="continue"/>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670" w:type="dxa"/>
            <w:vAlign w:val="bottom"/>
            <w:vMerge w:val="continue"/>
          </w:tcPr>
          <w:p>
            <w:pPr>
              <w:spacing w:after="0"/>
              <w:rPr>
                <w:sz w:val="8"/>
                <w:szCs w:val="8"/>
                <w:color w:val="auto"/>
              </w:rPr>
            </w:pPr>
          </w:p>
        </w:tc>
        <w:tc>
          <w:tcPr>
            <w:tcW w:w="310" w:type="dxa"/>
            <w:vAlign w:val="bottom"/>
          </w:tcPr>
          <w:p>
            <w:pPr>
              <w:spacing w:after="0"/>
              <w:rPr>
                <w:sz w:val="8"/>
                <w:szCs w:val="8"/>
                <w:color w:val="auto"/>
              </w:rPr>
            </w:pPr>
          </w:p>
        </w:tc>
        <w:tc>
          <w:tcPr>
            <w:tcW w:w="140" w:type="dxa"/>
            <w:vAlign w:val="bottom"/>
          </w:tcPr>
          <w:p>
            <w:pPr>
              <w:spacing w:after="0"/>
              <w:rPr>
                <w:sz w:val="8"/>
                <w:szCs w:val="8"/>
                <w:color w:val="auto"/>
              </w:rPr>
            </w:pPr>
          </w:p>
        </w:tc>
        <w:tc>
          <w:tcPr>
            <w:tcW w:w="730" w:type="dxa"/>
            <w:vAlign w:val="bottom"/>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650" w:type="dxa"/>
            <w:vAlign w:val="bottom"/>
          </w:tcPr>
          <w:p>
            <w:pPr>
              <w:spacing w:after="0"/>
              <w:rPr>
                <w:sz w:val="9"/>
                <w:szCs w:val="9"/>
                <w:color w:val="auto"/>
              </w:rPr>
            </w:pPr>
          </w:p>
        </w:tc>
        <w:tc>
          <w:tcPr>
            <w:tcW w:w="390" w:type="dxa"/>
            <w:vAlign w:val="bottom"/>
          </w:tcPr>
          <w:p>
            <w:pPr>
              <w:spacing w:after="0"/>
              <w:rPr>
                <w:sz w:val="9"/>
                <w:szCs w:val="9"/>
                <w:color w:val="auto"/>
              </w:rPr>
            </w:pPr>
          </w:p>
        </w:tc>
        <w:tc>
          <w:tcPr>
            <w:tcW w:w="160" w:type="dxa"/>
            <w:vAlign w:val="bottom"/>
          </w:tcPr>
          <w:p>
            <w:pPr>
              <w:spacing w:after="0"/>
              <w:rPr>
                <w:sz w:val="9"/>
                <w:szCs w:val="9"/>
                <w:color w:val="auto"/>
              </w:rPr>
            </w:pPr>
          </w:p>
        </w:tc>
        <w:tc>
          <w:tcPr>
            <w:tcW w:w="670" w:type="dxa"/>
            <w:vAlign w:val="bottom"/>
          </w:tcPr>
          <w:p>
            <w:pPr>
              <w:spacing w:after="0"/>
              <w:rPr>
                <w:sz w:val="9"/>
                <w:szCs w:val="9"/>
                <w:color w:val="auto"/>
              </w:rPr>
            </w:pPr>
          </w:p>
        </w:tc>
        <w:tc>
          <w:tcPr>
            <w:tcW w:w="310" w:type="dxa"/>
            <w:vAlign w:val="bottom"/>
          </w:tcPr>
          <w:p>
            <w:pPr>
              <w:spacing w:after="0"/>
              <w:rPr>
                <w:sz w:val="9"/>
                <w:szCs w:val="9"/>
                <w:color w:val="auto"/>
              </w:rPr>
            </w:pPr>
          </w:p>
        </w:tc>
        <w:tc>
          <w:tcPr>
            <w:tcW w:w="140" w:type="dxa"/>
            <w:vAlign w:val="bottom"/>
          </w:tcPr>
          <w:p>
            <w:pPr>
              <w:spacing w:after="0"/>
              <w:rPr>
                <w:sz w:val="9"/>
                <w:szCs w:val="9"/>
                <w:color w:val="auto"/>
              </w:rPr>
            </w:pPr>
          </w:p>
        </w:tc>
        <w:tc>
          <w:tcPr>
            <w:tcW w:w="730" w:type="dxa"/>
            <w:vAlign w:val="bottom"/>
          </w:tcPr>
          <w:p>
            <w:pPr>
              <w:spacing w:after="0"/>
              <w:rPr>
                <w:sz w:val="9"/>
                <w:szCs w:val="9"/>
                <w:color w:val="auto"/>
              </w:rPr>
            </w:pPr>
          </w:p>
        </w:tc>
        <w:tc>
          <w:tcPr>
            <w:tcW w:w="57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7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6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5"/>
                <w:szCs w:val="15"/>
                <w:i w:val="1"/>
                <w:iCs w:val="1"/>
                <w:color w:val="auto"/>
              </w:rPr>
              <w:t>11 %</w:t>
            </w:r>
          </w:p>
        </w:tc>
        <w:tc>
          <w:tcPr>
            <w:tcW w:w="39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5"/>
                <w:szCs w:val="15"/>
                <w:i w:val="1"/>
                <w:iCs w:val="1"/>
                <w:color w:val="auto"/>
              </w:rPr>
              <w:t>14 %</w:t>
            </w:r>
          </w:p>
        </w:tc>
        <w:tc>
          <w:tcPr>
            <w:tcW w:w="31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3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i w:val="1"/>
                <w:iCs w:val="1"/>
                <w:color w:val="auto"/>
              </w:rPr>
              <w:t>4 %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2 %</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76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50" w:type="dxa"/>
            <w:vAlign w:val="bottom"/>
            <w:tcBorders>
              <w:bottom w:val="single" w:sz="8" w:color="auto"/>
            </w:tcBorders>
          </w:tcPr>
          <w:p>
            <w:pPr>
              <w:spacing w:after="0"/>
              <w:rPr>
                <w:sz w:val="3"/>
                <w:szCs w:val="3"/>
                <w:color w:val="auto"/>
              </w:rPr>
            </w:pPr>
          </w:p>
        </w:tc>
        <w:tc>
          <w:tcPr>
            <w:tcW w:w="39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70" w:type="dxa"/>
            <w:vAlign w:val="bottom"/>
            <w:tcBorders>
              <w:bottom w:val="single" w:sz="8" w:color="auto"/>
            </w:tcBorders>
          </w:tcPr>
          <w:p>
            <w:pPr>
              <w:spacing w:after="0"/>
              <w:rPr>
                <w:sz w:val="3"/>
                <w:szCs w:val="3"/>
                <w:color w:val="auto"/>
              </w:rPr>
            </w:pPr>
          </w:p>
        </w:tc>
        <w:tc>
          <w:tcPr>
            <w:tcW w:w="31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30" w:type="dxa"/>
            <w:vAlign w:val="bottom"/>
            <w:tcBorders>
              <w:bottom w:val="single" w:sz="8" w:color="auto"/>
            </w:tcBorders>
          </w:tcPr>
          <w:p>
            <w:pPr>
              <w:spacing w:after="0"/>
              <w:rPr>
                <w:sz w:val="3"/>
                <w:szCs w:val="3"/>
                <w:color w:val="auto"/>
              </w:rPr>
            </w:pPr>
          </w:p>
        </w:tc>
        <w:tc>
          <w:tcPr>
            <w:tcW w:w="57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-145415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-128270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-111125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-93980</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-76835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-59690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-42545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-419735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-402590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-385445</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-368300</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-351155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-334010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-316865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-299720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-282575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-265430</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-248285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-231140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-213995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-196850</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-179705</wp:posOffset>
            </wp:positionV>
            <wp:extent cx="825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-565150</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-548005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-530860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-513715</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-496570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-479425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-462280</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-445135</wp:posOffset>
            </wp:positionV>
            <wp:extent cx="82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-719455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-702310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-685165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-668020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-650875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-633730</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-616585</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-599440</wp:posOffset>
            </wp:positionV>
            <wp:extent cx="825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-822325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-805180</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-788035</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-770890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-753745</wp:posOffset>
            </wp:positionV>
            <wp:extent cx="825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-967740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-951230</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-934085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-916940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-899795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-882015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-865505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-848360</wp:posOffset>
            </wp:positionV>
            <wp:extent cx="82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-1122045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-1105535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-1088390</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-1071245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-1053465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-1036955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-1019810</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-1002665</wp:posOffset>
            </wp:positionV>
            <wp:extent cx="825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-1516380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-1499870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-1482725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-1464945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-1448435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-1430655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-1414145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-1397000</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-1379220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-1362710</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-1345565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-1328420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-1310640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-1293495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-1276985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-1259840</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-1242695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-1224915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-1207770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-1191260</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-1174115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-1156970</wp:posOffset>
            </wp:positionV>
            <wp:extent cx="825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-1610995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-1593850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-1576705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-1559560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-1542415</wp:posOffset>
            </wp:positionV>
            <wp:extent cx="82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-1877060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-1859280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-1842770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-1825625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-1807845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-1791335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-1773555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-1757045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-1739900</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-1722120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-1705610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-1687830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-1671320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-1654175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-1636395</wp:posOffset>
            </wp:positionV>
            <wp:extent cx="82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-2022475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-2005330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-1988185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-1971040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-1953895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-1936750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-1919605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-1902460</wp:posOffset>
            </wp:positionV>
            <wp:extent cx="82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-2176780</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-2159635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-2142490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-2125345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-2108200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-2091055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-2073910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-2056765</wp:posOffset>
            </wp:positionV>
            <wp:extent cx="8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-2279650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-2262505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-2245360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-2228215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-2211070</wp:posOffset>
            </wp:positionV>
            <wp:extent cx="825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-2425065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-2407920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-2391410</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-2373630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-2357120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-2339340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-2322195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-2305685</wp:posOffset>
            </wp:positionV>
            <wp:extent cx="82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-2579370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-2562860</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-2545080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-2528570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-2510790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-2493645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-2477135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-2459355</wp:posOffset>
            </wp:positionV>
            <wp:extent cx="825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-2734310</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-2716530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-2700020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-2682240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-2665095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-2648585</wp:posOffset>
            </wp:positionV>
            <wp:extent cx="8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-2630805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-2614295</wp:posOffset>
            </wp:positionV>
            <wp:extent cx="825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-3007995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-2991485</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-2973705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-2957195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-2939415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-2922270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-2905760</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-2887980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-2871470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-2853690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-2836545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-2820035</wp:posOffset>
            </wp:positionV>
            <wp:extent cx="8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-2802255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-2785745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-2767965</wp:posOffset>
            </wp:positionV>
            <wp:extent cx="825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-3154045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-3136900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-3119755</wp:posOffset>
            </wp:positionV>
            <wp:extent cx="8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-3102610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-3085465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-3068320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-3051175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-3034030</wp:posOffset>
            </wp:positionV>
            <wp:extent cx="82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-3308350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-3291205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-3274060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-3256915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-3239770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-3222625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-3205480</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-3188335</wp:posOffset>
            </wp:positionV>
            <wp:extent cx="825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-3462655</wp:posOffset>
            </wp:positionV>
            <wp:extent cx="8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-3445510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-3428365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-3411220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-3394075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-3376930</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-3359785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-3342640</wp:posOffset>
            </wp:positionV>
            <wp:extent cx="825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-3616960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-3599815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-3582670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-3565525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-3548380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-3531235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-3514090</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-3496945</wp:posOffset>
            </wp:positionV>
            <wp:extent cx="825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-3771265</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-3754120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-3736975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-3719830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-3702685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-3685540</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-3668395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-3651250</wp:posOffset>
            </wp:positionV>
            <wp:extent cx="825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-3925570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-3908425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-3891280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-3874135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-3856990</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-3839845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-3822700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-3805555</wp:posOffset>
            </wp:positionV>
            <wp:extent cx="825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-4079875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-4062730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-4045585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-4028440</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-4011295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-3994150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-3977005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-3959860</wp:posOffset>
            </wp:positionV>
            <wp:extent cx="825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-4234180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-4217035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-4199890</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-4182745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-4165600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-4148455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-4131310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-4114165</wp:posOffset>
            </wp:positionV>
            <wp:extent cx="825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-4414520</wp:posOffset>
            </wp:positionV>
            <wp:extent cx="825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-4388485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-4371340</wp:posOffset>
            </wp:positionV>
            <wp:extent cx="8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-4354195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-4337050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-4319905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-4302760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-4285615</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-4268470</wp:posOffset>
            </wp:positionV>
            <wp:extent cx="825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-4937125</wp:posOffset>
            </wp:positionV>
            <wp:extent cx="5949315" cy="514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49315" cy="514350"/>
                    </a:xfrm>
                    <a:prstGeom prst="rect">
                      <a:avLst/>
                    </a:prstGeom>
                    <a:noFill/>
                  </pic:spPr>
                </pic:pic>
              </a:graphicData>
            </a:graphic>
          </wp:anchor>
        </w:drawing>
      </w:r>
    </w:p>
    <w:p>
      <w:pPr>
        <w:spacing w:after="0" w:line="116" w:lineRule="exact"/>
        <w:rPr>
          <w:sz w:val="20"/>
          <w:szCs w:val="20"/>
          <w:color w:val="auto"/>
        </w:rPr>
      </w:pPr>
    </w:p>
    <w:p>
      <w:pPr>
        <w:ind w:right="140"/>
        <w:spacing w:after="0" w:line="242" w:lineRule="exact"/>
        <w:rPr>
          <w:sz w:val="20"/>
          <w:szCs w:val="20"/>
          <w:color w:val="auto"/>
        </w:rPr>
      </w:pPr>
      <w:r>
        <w:rPr>
          <w:rFonts w:ascii="Arial" w:cs="Arial" w:eastAsia="Arial" w:hAnsi="Arial"/>
          <w:sz w:val="22"/>
          <w:szCs w:val="22"/>
          <w:color w:val="auto"/>
        </w:rPr>
        <w:t>Note</w:t>
      </w:r>
      <w:r>
        <w:rPr>
          <w:rFonts w:ascii="Arial" w:cs="Arial" w:eastAsia="Arial" w:hAnsi="Arial"/>
          <w:sz w:val="19"/>
          <w:szCs w:val="19"/>
          <w:i w:val="1"/>
          <w:iCs w:val="1"/>
          <w:color w:val="auto"/>
        </w:rPr>
        <w:t>: (1) As a result of the new accounting basis established upon the closing of the Skydance Transactions, the GAAP basis</w:t>
      </w:r>
      <w:r>
        <w:rPr>
          <w:rFonts w:ascii="Arial" w:cs="Arial" w:eastAsia="Arial" w:hAnsi="Arial"/>
          <w:sz w:val="22"/>
          <w:szCs w:val="22"/>
          <w:color w:val="auto"/>
        </w:rPr>
        <w:t xml:space="preserve"> </w:t>
      </w:r>
      <w:r>
        <w:rPr>
          <w:rFonts w:ascii="Arial" w:cs="Arial" w:eastAsia="Arial" w:hAnsi="Arial"/>
          <w:sz w:val="19"/>
          <w:szCs w:val="19"/>
          <w:i w:val="1"/>
          <w:iCs w:val="1"/>
          <w:color w:val="auto"/>
        </w:rPr>
        <w:t>for our segment information for the predecessor period is based on our previous segments. To provide information consistent with how management reviews results, the 2025 revenues by segment in each of the predecessor periods presented above reflect amounts recast under the new segment presentation and therefore constitute a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GAAP presentation. Reconciliations from the historical segment presentation to the new segment presentation are provided in Supplemental Disclosures Regarding 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GAAP Financial Measures. (2) Diluted EPS from continuing operations attributable to Paramount or Paramount Skydance;</w:t>
      </w:r>
    </w:p>
    <w:p>
      <w:pPr>
        <w:spacing w:after="0" w:line="2" w:lineRule="exact"/>
        <w:rPr>
          <w:sz w:val="20"/>
          <w:szCs w:val="20"/>
          <w:color w:val="auto"/>
        </w:rPr>
      </w:pPr>
    </w:p>
    <w:p>
      <w:pPr>
        <w:ind w:right="300" w:firstLine="8"/>
        <w:spacing w:after="0" w:line="267" w:lineRule="auto"/>
        <w:tabs>
          <w:tab w:leader="none" w:pos="297"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See Supplemental Disclosures Regarding Non-GAAP Financial Measures (4) Weighted average number of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960120" cy="291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976" w:right="31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Q1’26</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22"/>
          <w:szCs w:val="22"/>
          <w:color w:val="auto"/>
        </w:rPr>
        <w:t>In Q1, total revenue of $7.3 billion increased 2% versus revenue of $7.2 billion in Q1'25 for the predecessor company, led by growth in DTC and Studios revenues, partially offset by a continued decline in TV Media. Operating income was $616 million (8% margin) including $103 million of transaction-related costs. Adj. EBITDA was $1.2 billion, a 16% margin, and increased 59% year-over-year with outperformance driven by disciplined expense management while we continue to invest for growth across the business. The below discussion by segment includes comparisons to 2025 recast under the new segment presentation</w:t>
      </w:r>
      <w:r>
        <w:rPr>
          <w:rFonts w:ascii="Arial" w:cs="Arial" w:eastAsia="Arial" w:hAnsi="Arial"/>
          <w:sz w:val="28"/>
          <w:szCs w:val="28"/>
          <w:color w:val="auto"/>
          <w:vertAlign w:val="superscript"/>
        </w:rPr>
        <w:t>2</w:t>
      </w:r>
      <w:r>
        <w:rPr>
          <w:rFonts w:ascii="Arial" w:cs="Arial" w:eastAsia="Arial" w:hAnsi="Arial"/>
          <w:sz w:val="22"/>
          <w:szCs w:val="22"/>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Direct-to-Consumer</w:t>
      </w:r>
    </w:p>
    <w:p>
      <w:pPr>
        <w:spacing w:after="0" w:line="24" w:lineRule="exact"/>
        <w:rPr>
          <w:sz w:val="20"/>
          <w:szCs w:val="20"/>
          <w:color w:val="auto"/>
        </w:rPr>
      </w:pPr>
    </w:p>
    <w:p>
      <w:pPr>
        <w:ind w:left="660" w:right="160" w:hanging="328"/>
        <w:spacing w:after="0" w:line="234"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DTC revenue increased 11% year-over-year to $2.4 billion, led by Paramount+ revenue growth of 17% year-over-year. Paramount+ revenue growth reflected 14% ARPU </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growth and 2% subscriber growth. Our underlying subscriber base grew by nearly 2 million, partially offset by the exit of over 1 million international hard bundle subscribers in Q1, in-line with our plan. This impacted reported net adds but improved the quality and economics of our subscriber base.</w:t>
      </w:r>
    </w:p>
    <w:p>
      <w:pPr>
        <w:spacing w:after="0" w:line="29" w:lineRule="exact"/>
        <w:rPr>
          <w:rFonts w:ascii="Arial" w:cs="Arial" w:eastAsia="Arial" w:hAnsi="Arial"/>
          <w:sz w:val="22"/>
          <w:szCs w:val="22"/>
          <w:color w:val="auto"/>
        </w:rPr>
      </w:pPr>
    </w:p>
    <w:p>
      <w:pPr>
        <w:ind w:left="660" w:right="80" w:hanging="328"/>
        <w:spacing w:after="0" w:line="263" w:lineRule="auto"/>
        <w:tabs>
          <w:tab w:leader="none" w:pos="628" w:val="left"/>
        </w:tabs>
        <w:numPr>
          <w:ilvl w:val="0"/>
          <w:numId w:val="3"/>
        </w:numPr>
        <w:rPr>
          <w:rFonts w:ascii="Arial" w:cs="Arial" w:eastAsia="Arial" w:hAnsi="Arial"/>
          <w:sz w:val="21"/>
          <w:szCs w:val="21"/>
          <w:color w:val="auto"/>
        </w:rPr>
      </w:pPr>
      <w:r>
        <w:rPr>
          <w:rFonts w:ascii="Arial" w:cs="Arial" w:eastAsia="Arial" w:hAnsi="Arial"/>
          <w:sz w:val="21"/>
          <w:szCs w:val="21"/>
          <w:color w:val="auto"/>
        </w:rPr>
        <w:t>DTC adj. EBITDA was $251 million (10% margin) and improved compared to -$4 million in Q1'25, reflecting continued subscription and advertising growth, and including a content expense benefit from reductions in content assets resulting from the change in accounting basis resulting from the Skydance transaction, partially</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offset by continued content investment.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Studios</w:t>
      </w:r>
    </w:p>
    <w:p>
      <w:pPr>
        <w:spacing w:after="0" w:line="4" w:lineRule="exact"/>
        <w:rPr>
          <w:sz w:val="20"/>
          <w:szCs w:val="20"/>
          <w:color w:val="auto"/>
        </w:rPr>
      </w:pPr>
    </w:p>
    <w:p>
      <w:pPr>
        <w:ind w:left="660" w:right="460" w:hanging="328"/>
        <w:spacing w:after="0" w:line="271" w:lineRule="auto"/>
        <w:tabs>
          <w:tab w:leader="none" w:pos="628"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Studios revenue increased 11% year-over-year to $1.3 billion, including strong theatrical performance from </w:t>
      </w:r>
      <w:r>
        <w:rPr>
          <w:rFonts w:ascii="Arial" w:cs="Arial" w:eastAsia="Arial" w:hAnsi="Arial"/>
          <w:sz w:val="21"/>
          <w:szCs w:val="21"/>
          <w:i w:val="1"/>
          <w:iCs w:val="1"/>
          <w:color w:val="auto"/>
        </w:rPr>
        <w:t xml:space="preserve">Scream 7 </w:t>
      </w:r>
      <w:r>
        <w:rPr>
          <w:rFonts w:ascii="Arial" w:cs="Arial" w:eastAsia="Arial" w:hAnsi="Arial"/>
          <w:sz w:val="21"/>
          <w:szCs w:val="21"/>
          <w:color w:val="auto"/>
        </w:rPr>
        <w:t>and the consolidation of Skydance licensing revenues into Paramount Television Studios.</w:t>
      </w:r>
    </w:p>
    <w:p>
      <w:pPr>
        <w:spacing w:after="0" w:line="1" w:lineRule="exact"/>
        <w:rPr>
          <w:rFonts w:ascii="Arial" w:cs="Arial" w:eastAsia="Arial" w:hAnsi="Arial"/>
          <w:sz w:val="21"/>
          <w:szCs w:val="21"/>
          <w:color w:val="auto"/>
        </w:rPr>
      </w:pPr>
    </w:p>
    <w:p>
      <w:pPr>
        <w:ind w:left="620" w:hanging="288"/>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21"/>
          <w:szCs w:val="21"/>
          <w:color w:val="auto"/>
        </w:rPr>
        <w:t>Studios adj. EBITDA was $164 million (13% margin), up significantly year-over-year from $82 million in Q1’25,</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driven by licensing deals in the quarter.</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TV Media</w:t>
      </w:r>
    </w:p>
    <w:p>
      <w:pPr>
        <w:spacing w:after="0" w:line="4" w:lineRule="exact"/>
        <w:rPr>
          <w:sz w:val="20"/>
          <w:szCs w:val="20"/>
          <w:color w:val="auto"/>
        </w:rPr>
      </w:pPr>
    </w:p>
    <w:p>
      <w:pPr>
        <w:ind w:left="660" w:right="40" w:hanging="328"/>
        <w:spacing w:after="0" w:line="250" w:lineRule="auto"/>
        <w:tabs>
          <w:tab w:leader="none" w:pos="628" w:val="left"/>
        </w:tabs>
        <w:numPr>
          <w:ilvl w:val="0"/>
          <w:numId w:val="5"/>
        </w:numPr>
        <w:rPr>
          <w:rFonts w:ascii="Arial" w:cs="Arial" w:eastAsia="Arial" w:hAnsi="Arial"/>
          <w:sz w:val="22"/>
          <w:szCs w:val="22"/>
          <w:color w:val="auto"/>
        </w:rPr>
      </w:pPr>
      <w:r>
        <w:rPr>
          <w:rFonts w:ascii="Arial" w:cs="Arial" w:eastAsia="Arial" w:hAnsi="Arial"/>
          <w:sz w:val="22"/>
          <w:szCs w:val="22"/>
          <w:color w:val="auto"/>
        </w:rPr>
        <w:t>TV Media revenue declined 6% year-over-year to $3.7 billion. Both advertising and affiliate revenue declined 6% year-over-year. Advertising revenue trends included a two percentage point impact from international exits, partially offset by a one percentage point benefit from political advertising in the quarter. Affiliate trends were consistent with continued pay TV subscriber erosion.</w:t>
      </w:r>
    </w:p>
    <w:p>
      <w:pPr>
        <w:spacing w:after="0" w:line="19" w:lineRule="exact"/>
        <w:rPr>
          <w:rFonts w:ascii="Arial" w:cs="Arial" w:eastAsia="Arial" w:hAnsi="Arial"/>
          <w:sz w:val="22"/>
          <w:szCs w:val="22"/>
          <w:color w:val="auto"/>
        </w:rPr>
      </w:pPr>
    </w:p>
    <w:p>
      <w:pPr>
        <w:ind w:left="660" w:right="20" w:hanging="328"/>
        <w:spacing w:after="0" w:line="272" w:lineRule="auto"/>
        <w:tabs>
          <w:tab w:leader="none" w:pos="628" w:val="left"/>
        </w:tabs>
        <w:numPr>
          <w:ilvl w:val="0"/>
          <w:numId w:val="5"/>
        </w:numPr>
        <w:rPr>
          <w:rFonts w:ascii="Arial" w:cs="Arial" w:eastAsia="Arial" w:hAnsi="Arial"/>
          <w:sz w:val="22"/>
          <w:szCs w:val="22"/>
          <w:color w:val="auto"/>
        </w:rPr>
      </w:pPr>
      <w:r>
        <w:rPr>
          <w:rFonts w:ascii="Arial" w:cs="Arial" w:eastAsia="Arial" w:hAnsi="Arial"/>
          <w:sz w:val="22"/>
          <w:szCs w:val="22"/>
          <w:color w:val="auto"/>
        </w:rPr>
        <w:t>TV Media adj. EBITDA was $1.1 billion, a 29% margin vs a 24% margin for Q1 2025, demonstrating disciplined expense management to more than offset revenue declines.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22631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hanging="112"/>
        <w:spacing w:after="0" w:line="265" w:lineRule="exact"/>
        <w:tabs>
          <w:tab w:leader="none" w:pos="1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See Supplemental Disclosures Regarding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w:t>
      </w:r>
    </w:p>
    <w:p>
      <w:pPr>
        <w:spacing w:after="0" w:line="10" w:lineRule="exact"/>
        <w:rPr>
          <w:sz w:val="20"/>
          <w:szCs w:val="20"/>
          <w:color w:val="auto"/>
        </w:rPr>
      </w:pPr>
    </w:p>
    <w:p>
      <w:pPr>
        <w:ind w:right="140" w:firstLine="8"/>
        <w:spacing w:after="0" w:line="222" w:lineRule="auto"/>
        <w:tabs>
          <w:tab w:leader="none" w:pos="115"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We calculate average revenue per subscriber (“ARPU”) as total Paramount+ revenues during the applicable period divided by the average of Paramount+ subscribers at the beginning and end of the period, further divided by the number of months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960120" cy="291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37"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i w:val="1"/>
          <w:iCs w:val="1"/>
          <w:color w:val="auto"/>
        </w:rPr>
        <w:t>Q2’26</w:t>
      </w:r>
    </w:p>
    <w:p>
      <w:pPr>
        <w:spacing w:after="0" w:line="152"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 xml:space="preserve">As previously noted in our Q4 letter, we expected total company revenue to be relatively more weighted to the second half of the year, though we now expect profitability will skew slightly towards the first half of the year. In Q2’26, we expect total revenue of $6.75 billion to $6.95 billion or -1% to 1% growth year-over-year versus Q2’25 for the predecessor company, led by DTC revenue growth and, to a lesser degree, an increase in Studios revenue, offset by declines in TV Media. The Q2 revenue growth outlook reflects a difficult comparison to theatrical revenue in Q2’25 with the release of </w:t>
      </w:r>
      <w:r>
        <w:rPr>
          <w:rFonts w:ascii="Arial" w:cs="Arial" w:eastAsia="Arial" w:hAnsi="Arial"/>
          <w:sz w:val="22"/>
          <w:szCs w:val="22"/>
          <w:i w:val="1"/>
          <w:iCs w:val="1"/>
          <w:color w:val="auto"/>
        </w:rPr>
        <w:t>Mission: Impossible—The Final Reckoning</w:t>
      </w:r>
      <w:r>
        <w:rPr>
          <w:rFonts w:ascii="Arial" w:cs="Arial" w:eastAsia="Arial" w:hAnsi="Arial"/>
          <w:sz w:val="22"/>
          <w:szCs w:val="22"/>
          <w:color w:val="auto"/>
        </w:rPr>
        <w:t xml:space="preserve"> as well as decelerating ad revenue including lapping the NCAA Final Four and Championship games in Q2’25. We continue to expect healthy underlying subscriber growth for Paramount+, but similar to Q1, we expect Paramount+ quarter-over-quarter subscribers will be flattish due to the strategic exit of approximately 2 million international hard bundle subscribers.</w:t>
      </w:r>
    </w:p>
    <w:p>
      <w:pPr>
        <w:spacing w:after="0" w:line="226"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We expect adj. EBITDA of $0.9 billion to $1.0 billion, or a 13.9% margin at the midpoint, with approximately $75 million of stock-based compensation in the quarter. We expect continued year-over-year improvement in total DTC margin and total profitability in Q2. We anticipate transformation costs of several hundred million in Q2, which will impact our reported free cash flow.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2026</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For 2026, we continue to expect total revenue of $30 billion, or 4% growth year-over-year, inclusive of predecessor and successor periods. Our expectations by segment are largely consistent with those we outlined in our Q4’25 letter. We forecast adj. EBITDA of $3.8 billion, or a 12.7% margin. We will balance near-term profitability with reinvestment as we make progress against our $3 billion-plus efficiencies. We continue to expect free cash flow conversion of approximately 5% before roughly $800 million of transformation costs, as previously noted. 2026 is an important year of investment—in business transformation, and in content and technology, which we expect will contribute to our growth in 2027 and beyond. Across segments:</w:t>
      </w:r>
    </w:p>
    <w:p>
      <w:pPr>
        <w:spacing w:after="0" w:line="207" w:lineRule="exact"/>
        <w:rPr>
          <w:sz w:val="20"/>
          <w:szCs w:val="20"/>
          <w:color w:val="auto"/>
        </w:rPr>
      </w:pPr>
    </w:p>
    <w:p>
      <w:pPr>
        <w:ind w:left="660" w:right="280" w:hanging="328"/>
        <w:spacing w:after="0" w:line="236" w:lineRule="auto"/>
        <w:tabs>
          <w:tab w:leader="none" w:pos="628" w:val="left"/>
        </w:tabs>
        <w:numPr>
          <w:ilvl w:val="0"/>
          <w:numId w:val="8"/>
        </w:numPr>
        <w:rPr>
          <w:rFonts w:ascii="Arial" w:cs="Arial" w:eastAsia="Arial" w:hAnsi="Arial"/>
          <w:sz w:val="22"/>
          <w:szCs w:val="22"/>
          <w:color w:val="auto"/>
        </w:rPr>
      </w:pPr>
      <w:r>
        <w:rPr>
          <w:rFonts w:ascii="Arial" w:cs="Arial" w:eastAsia="Arial" w:hAnsi="Arial"/>
          <w:sz w:val="22"/>
          <w:szCs w:val="22"/>
          <w:color w:val="auto"/>
        </w:rPr>
        <w:t>For DTC, we continue to expect accelerating revenue growth</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across subscription and advertising revenue excluding the impact of Showtime declines. Underlying subscriber growth will be healthy and accelerating year-over-year, though total paid subscribers will only be modestly higher compared to 2025 due to strategic hard bundle exits. We continue to expect to grow our DTC profit in 2026 relative to 2025.</w:t>
      </w:r>
    </w:p>
    <w:p>
      <w:pPr>
        <w:spacing w:after="0" w:line="30" w:lineRule="exact"/>
        <w:rPr>
          <w:rFonts w:ascii="Arial" w:cs="Arial" w:eastAsia="Arial" w:hAnsi="Arial"/>
          <w:sz w:val="22"/>
          <w:szCs w:val="22"/>
          <w:color w:val="auto"/>
        </w:rPr>
      </w:pPr>
    </w:p>
    <w:p>
      <w:pPr>
        <w:ind w:left="660" w:right="40" w:hanging="328"/>
        <w:spacing w:after="0" w:line="251" w:lineRule="auto"/>
        <w:tabs>
          <w:tab w:leader="none" w:pos="628"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We expect growth in our new Studios segment driven by accelerating licensing and other revenues, including a full-year impact of legacy Skydance revenue, as well as higher licensing across Paramount Television Studios and CBS Studios. While we saw better-than-expected theatrical performance from </w:t>
      </w:r>
      <w:r>
        <w:rPr>
          <w:rFonts w:ascii="Arial" w:cs="Arial" w:eastAsia="Arial" w:hAnsi="Arial"/>
          <w:sz w:val="22"/>
          <w:szCs w:val="22"/>
          <w:i w:val="1"/>
          <w:iCs w:val="1"/>
          <w:color w:val="auto"/>
        </w:rPr>
        <w:t>Scream 7</w:t>
      </w:r>
      <w:r>
        <w:rPr>
          <w:rFonts w:ascii="Arial" w:cs="Arial" w:eastAsia="Arial" w:hAnsi="Arial"/>
          <w:sz w:val="22"/>
          <w:szCs w:val="22"/>
          <w:color w:val="auto"/>
        </w:rPr>
        <w:t>, we continue to expect significantly lower theatrical revenue year-over-year due to lower average box office revenue per film across more releases in 2026 as we build into our 2027+ slates. We expect Studio segment profitability will increase in 2026 versus 2025.</w:t>
      </w:r>
    </w:p>
    <w:p>
      <w:pPr>
        <w:spacing w:after="0" w:line="19" w:lineRule="exact"/>
        <w:rPr>
          <w:rFonts w:ascii="Arial" w:cs="Arial" w:eastAsia="Arial" w:hAnsi="Arial"/>
          <w:sz w:val="22"/>
          <w:szCs w:val="22"/>
          <w:color w:val="auto"/>
        </w:rPr>
      </w:pPr>
    </w:p>
    <w:p>
      <w:pPr>
        <w:ind w:left="660" w:right="100" w:hanging="328"/>
        <w:spacing w:after="0" w:line="264" w:lineRule="auto"/>
        <w:tabs>
          <w:tab w:leader="none" w:pos="628"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TV Media, we expect continued headwinds to affiliate revenue due to pay TV subscriber declines with some moderation in linear advertising declines versus 2025, including expected political spending in 2026. We expect to have stable-to-improving margins in TV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22631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2220" w:firstLine="8"/>
        <w:spacing w:after="0" w:line="231" w:lineRule="auto"/>
        <w:tabs>
          <w:tab w:leader="none" w:pos="115"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Excluding Paramount+ with Showtime, our premium cable channel, which was previously reported under the TV Media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960120" cy="291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37"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i w:val="1"/>
          <w:iCs w:val="1"/>
          <w:color w:val="0F4761"/>
        </w:rPr>
        <w:t>Capital Structure &amp; Capital Allocation</w:t>
      </w:r>
    </w:p>
    <w:p>
      <w:pPr>
        <w:spacing w:after="0" w:line="15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We ended the quarter with $1.9 billion in cash and cash equivalents and $15.5 billion in gross debt. Our debt went up in the quarter as we drew $2.15 billion on our revolving credit facility to pay the $2.8 billion termination fee WBD owed to Netflix upon entering into our merger agreement. This amount will be repaid by us from proceeds we will receive from the private placement we entered into in connection with the WBD transaction. This increase in our debt was offset partially as we repaid $347 million of debt maturing early in Q1 with cash on hand. We have $86 million in debt maturing for the remainder of 2026.</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Acquiring Warner Bros. Discovery</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On February 27, we announced our definitive merger agreement under which Paramount will acquire WBD, which will accelerate our ambition of building a next-generation media and entertainment company.</w:t>
      </w:r>
    </w:p>
    <w:p>
      <w:pPr>
        <w:spacing w:after="0" w:line="18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We’re making great progress on our plan to close the transaction by the end of Q3’26 with a number of important milestones. In April, we announced that a group of select strategic investors were assigned a portion of the $47 billion equity investment. This syndication does not relieve the original equity investors of their contractual commitments made to the company. As detailed in the 8-K, the PIPE subscription price was updated from a fixed $16.02 per share to a market-referenced price at close—floored at $12.00 and capped at $16.02. Additionally, we replaced the previously planned rights offering with a dividend of one 10-year warrant per Class B share, exercisable at the syndication price and expected to trade separately on Nasdaq, which we believe is a greater value to our shareholders than the prior rights offering structure.</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Subsequently, we also announced that we successfully secured long-term financing commitments consisting of $5 billion in term loans and a $5 billion revolving credit facility, secured against the assets of the combined company at close. We successfully syndicated the remaining $49 billion of bridge financing to 18 global financial institutions to fund the transaction, which we intend to replace with additional secured debt across the investment grade and high yield markets prior to closing the transaction. Existing Paramount notes will remain in place as unsecured obligations following close.</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Most recently, on April 23, WBD shareholders voted to approve the merger agreement, another critical step in our path towards closing. We look forward to closing the transaction in the coming months and sharing future updates as we work to create a company that serves the creative community and consumers.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Closing</w:t>
      </w:r>
    </w:p>
    <w:p>
      <w:pPr>
        <w:spacing w:after="0" w:line="152" w:lineRule="exact"/>
        <w:rPr>
          <w:sz w:val="20"/>
          <w:szCs w:val="20"/>
          <w:color w:val="auto"/>
        </w:rPr>
      </w:pPr>
    </w:p>
    <w:p>
      <w:pPr>
        <w:ind w:right="100"/>
        <w:spacing w:after="0" w:line="264" w:lineRule="auto"/>
        <w:rPr>
          <w:sz w:val="20"/>
          <w:szCs w:val="20"/>
          <w:color w:val="auto"/>
        </w:rPr>
      </w:pPr>
      <w:r>
        <w:rPr>
          <w:rFonts w:ascii="Arial" w:cs="Arial" w:eastAsia="Arial" w:hAnsi="Arial"/>
          <w:sz w:val="22"/>
          <w:szCs w:val="22"/>
          <w:color w:val="auto"/>
        </w:rPr>
        <w:t>The first quarter demonstrated what this company is capable of when strategy, content, and execution align. The WBD transaction, on track for a Q3 close, will amplify that potential significantly and unite two world-class teams. We are building something lasting—and we are just getting started.</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David Ellison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Chairman &amp; 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Paramount, a Skydance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960120" cy="291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letter contains both historical and forward-looking statements, including statements related to our future financial results and performance, potential achievements and transactions (including in connection with our pending merger with Warner Bros. Discovery, Inc.) and their expected benefits, and industry trends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can generally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our decisions to invest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our intellectual property rights; domestic and global political, economic and regulatory factors affecting our businesses generally; the inability to hire or retain key employees or secure creative talent; disruptions to our operations as a result of labor disputes; risks and costs associated with the integration of, and our ability to integrate, the businesses of Paramount Global and Skydance Media, LLC successfully and to achieve anticipated synergies; litigation relating to the Skydance Transactions potentially resulting in substantial costs; volatility in the price of our Class B common stock; the effect our dual-class capital structure and the concentrated ownership may have on the price of our Class B common stock or business; risks related to a private sale of a controlling interest in our Company, including that our stockholders may not realize any change of control premium on shares of our Class B common stock and that we may become subject to the control of a presently unknown third party; risks associated with our status as a “controlled company” under Nasdaq rules, including our exemption from certain corporate governance requirements; risks associated with the lack of voting rights of our Class B common stock; risks that anti-takeover provisions in our amended and restated certificate of incorporation (“Charter”) and amended and restated bylaws, and under Delaware law could deter, delay, or prevent a change of control; risks that exclusive forum provisions in our Charter could limit a stockholder’s choice of forum for certain claims and discourage lawsuits against our directors and officers; risks that corporate opportunity provisions in our Charter could permit certain persons to pursue competitive opportunities that might otherwise be available to us; risks associated with our holding company structure, including our dependence on distributions from our subsidiaries to meet our tax obligations and other cash requirements; disruptions the WBD Merger may cause to our and WBD’s business and commercial relationships; the negative impact that a failure to consummate the WBD Merger could have on our business, financial condition, results of operations and stock price; the risk that the WBD Merger may be prevented or delayed or the anticipated benefits reduced if we do not obtain certain regulatory approvals; the risk that the WBD Merger Agreement may be terminated in accordance with its terms, including if any conditions to the closing of the WBD Merger are not satisfied; the risk that litigation relating to the WBD Merger could prevent or delay the closing of the WBD Merger or result in the payment of damages after closing; challenges realizing synergies and other anticipated benefits expected from the WBD Merger, including integrating WBD’s business successfully; risks to our business, financial condition or results of operations as a result of the incurrence of substantial costs and indebtedness in connection with the WBD Merger; risks of reduced ownership and economic interest by our existing stockholders as a result of the WBD Merger; and other factors described in our news releases and filings with the Securities and Exchange Commission, including but not limited to our most recent Annual Report on Form 10-K and our reports on Form 10-Q and Form 8-K. There may be additional risks, uncertainties and factors that we do not currently view as material or that are not necessarily known. The forward-looking statements included in this letter are made only as of the date hereof, and we do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960120" cy="291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601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Financial Statement Presentation</w:t>
      </w:r>
    </w:p>
    <w:p>
      <w:pPr>
        <w:spacing w:after="0" w:line="154"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On August 7, 2025, Paramount Global and Skydance Media, LLC (“Skydance”) became subsidiaries of Paramount Skydance Corporation, pursuant to a transaction agreement entered into on July 7, 2024 (the transactions contemplated by the Transaction Agreement, the “Skydance Transactions”).</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As a result of the new accounting basis established for Paramount Global’s net assets upon the closing of the Skydance Transactions, the results of operations and cash flows are not comparable between the Successor and Predecessor periods. Accordingly, our consolidated financial statements within our Form 10-Q for the first quarter of 2026 are presented in two distinct periods. The periods prior to August 7, 2025 include only Paramount Global and are identified as “Predecessor”, and the periods beginning on August 7, 2025 reflect Paramount Skydance Corporation and are identified as “Successor”. The presentation in this letter, the accompanying financial statements, and supplemental disclosures of non-GAAP financial measures also reflect the distinction between the Successor and Predecessor periods.</w:t>
      </w:r>
    </w:p>
    <w:p>
      <w:pPr>
        <w:spacing w:after="0" w:line="211" w:lineRule="exact"/>
        <w:rPr>
          <w:sz w:val="20"/>
          <w:szCs w:val="20"/>
          <w:color w:val="auto"/>
        </w:rPr>
      </w:pPr>
    </w:p>
    <w:p>
      <w:pPr>
        <w:ind w:right="120"/>
        <w:spacing w:after="0" w:line="272" w:lineRule="auto"/>
        <w:rPr>
          <w:sz w:val="20"/>
          <w:szCs w:val="20"/>
          <w:color w:val="auto"/>
        </w:rPr>
      </w:pPr>
      <w:r>
        <w:rPr>
          <w:rFonts w:ascii="Arial" w:cs="Arial" w:eastAsia="Arial" w:hAnsi="Arial"/>
          <w:sz w:val="22"/>
          <w:szCs w:val="22"/>
          <w:color w:val="auto"/>
        </w:rPr>
        <w:t>Refer to Note 1 of our Form 10-Q for the first quarter of 2026 for additional information regarding the new accounting basis established in connection with the Skydance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7" w:right="339" w:bottom="1440" w:gutter="0" w:footer="0" w:header="0"/>
        </w:sectPr>
      </w:pPr>
    </w:p>
    <w:bookmarkStart w:id="15" w:name="page16"/>
    <w:bookmarkEnd w:id="15"/>
    <w:p>
      <w:pPr>
        <w:jc w:val="center"/>
        <w:ind w:right="320"/>
        <w:spacing w:after="0"/>
        <w:rPr>
          <w:sz w:val="20"/>
          <w:szCs w:val="20"/>
          <w:color w:val="auto"/>
        </w:rPr>
      </w:pPr>
      <w:r>
        <w:rPr>
          <w:rFonts w:ascii="Arial" w:cs="Arial" w:eastAsia="Arial" w:hAnsi="Arial"/>
          <w:sz w:val="22"/>
          <w:szCs w:val="22"/>
          <w:b w:val="1"/>
          <w:bCs w:val="1"/>
          <w:color w:val="auto"/>
        </w:rPr>
        <w:t>PARAMOUNT SKYDANCE CORPORATION AND SUBSIDIARIES</w:t>
      </w:r>
    </w:p>
    <w:p>
      <w:pPr>
        <w:spacing w:after="0" w:line="15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6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940" w:type="dxa"/>
            <w:vAlign w:val="bottom"/>
            <w:tcBorders>
              <w:top w:val="single" w:sz="8" w:color="auto"/>
              <w:right w:val="single" w:sz="8" w:color="auto"/>
            </w:tcBorders>
          </w:tcPr>
          <w:p>
            <w:pPr>
              <w:jc w:val="center"/>
              <w:ind w:right="201"/>
              <w:spacing w:after="0"/>
              <w:rPr>
                <w:sz w:val="20"/>
                <w:szCs w:val="20"/>
                <w:color w:val="auto"/>
              </w:rPr>
            </w:pPr>
            <w:r>
              <w:rPr>
                <w:rFonts w:ascii="Arial" w:cs="Arial" w:eastAsia="Arial" w:hAnsi="Arial"/>
                <w:sz w:val="20"/>
                <w:szCs w:val="20"/>
                <w:b w:val="1"/>
                <w:bCs w:val="1"/>
                <w:color w:val="auto"/>
                <w:w w:val="98"/>
              </w:rPr>
              <w:t>Successor</w:t>
            </w: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Predecessor</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b w:val="1"/>
                <w:bCs w:val="1"/>
                <w:color w:val="auto"/>
                <w:w w:val="99"/>
              </w:rPr>
              <w:t>Three Months</w:t>
            </w:r>
          </w:p>
        </w:tc>
        <w:tc>
          <w:tcPr>
            <w:tcW w:w="260" w:type="dxa"/>
            <w:vAlign w:val="bottom"/>
          </w:tcPr>
          <w:p>
            <w:pPr>
              <w:spacing w:after="0"/>
              <w:rPr>
                <w:sz w:val="20"/>
                <w:szCs w:val="20"/>
                <w:color w:val="auto"/>
              </w:rPr>
            </w:pPr>
          </w:p>
        </w:tc>
        <w:tc>
          <w:tcPr>
            <w:tcW w:w="1800" w:type="dxa"/>
            <w:vAlign w:val="bottom"/>
          </w:tcPr>
          <w:p>
            <w:pPr>
              <w:jc w:val="center"/>
              <w:ind w:right="81"/>
              <w:spacing w:after="0"/>
              <w:rPr>
                <w:sz w:val="20"/>
                <w:szCs w:val="20"/>
                <w:color w:val="auto"/>
              </w:rPr>
            </w:pPr>
            <w:r>
              <w:rPr>
                <w:rFonts w:ascii="Arial" w:cs="Arial" w:eastAsia="Arial" w:hAnsi="Arial"/>
                <w:sz w:val="20"/>
                <w:szCs w:val="20"/>
                <w:b w:val="1"/>
                <w:bCs w:val="1"/>
                <w:color w:val="auto"/>
                <w:w w:val="99"/>
              </w:rPr>
              <w:t>Three Months</w:t>
            </w:r>
          </w:p>
        </w:tc>
        <w:tc>
          <w:tcPr>
            <w:tcW w:w="0" w:type="dxa"/>
            <w:vAlign w:val="bottom"/>
          </w:tcPr>
          <w:p>
            <w:pPr>
              <w:spacing w:after="0"/>
              <w:rPr>
                <w:sz w:val="1"/>
                <w:szCs w:val="1"/>
                <w:color w:val="auto"/>
              </w:rPr>
            </w:pPr>
          </w:p>
        </w:tc>
      </w:tr>
      <w:tr>
        <w:trPr>
          <w:trHeight w:val="277"/>
        </w:trPr>
        <w:tc>
          <w:tcPr>
            <w:tcW w:w="6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20"/>
                <w:szCs w:val="20"/>
                <w:b w:val="1"/>
                <w:bCs w:val="1"/>
                <w:color w:val="auto"/>
                <w:w w:val="98"/>
              </w:rPr>
              <w:t>Ended March 31,</w:t>
            </w: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8"/>
              </w:rPr>
              <w:t>Ended March 31,</w:t>
            </w:r>
          </w:p>
        </w:tc>
        <w:tc>
          <w:tcPr>
            <w:tcW w:w="0" w:type="dxa"/>
            <w:vAlign w:val="bottom"/>
          </w:tcPr>
          <w:p>
            <w:pPr>
              <w:spacing w:after="0"/>
              <w:rPr>
                <w:sz w:val="1"/>
                <w:szCs w:val="1"/>
                <w:color w:val="auto"/>
              </w:rPr>
            </w:pPr>
          </w:p>
        </w:tc>
      </w:tr>
      <w:tr>
        <w:trPr>
          <w:trHeight w:val="274"/>
        </w:trPr>
        <w:tc>
          <w:tcPr>
            <w:tcW w:w="6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Borders>
              <w:right w:val="single" w:sz="8" w:color="auto"/>
            </w:tcBorders>
          </w:tcPr>
          <w:p>
            <w:pPr>
              <w:jc w:val="center"/>
              <w:ind w:right="201"/>
              <w:spacing w:after="0"/>
              <w:rPr>
                <w:sz w:val="20"/>
                <w:szCs w:val="20"/>
                <w:color w:val="auto"/>
              </w:rPr>
            </w:pPr>
            <w:r>
              <w:rPr>
                <w:rFonts w:ascii="Arial" w:cs="Arial" w:eastAsia="Arial" w:hAnsi="Arial"/>
                <w:sz w:val="20"/>
                <w:szCs w:val="20"/>
                <w:b w:val="1"/>
                <w:bCs w:val="1"/>
                <w:color w:val="auto"/>
                <w:w w:val="98"/>
              </w:rPr>
              <w:t>2026</w:t>
            </w:r>
          </w:p>
        </w:tc>
        <w:tc>
          <w:tcPr>
            <w:tcW w:w="260" w:type="dxa"/>
            <w:vAlign w:val="bottom"/>
          </w:tcPr>
          <w:p>
            <w:pPr>
              <w:spacing w:after="0"/>
              <w:rPr>
                <w:sz w:val="23"/>
                <w:szCs w:val="23"/>
                <w:color w:val="auto"/>
              </w:rPr>
            </w:pPr>
          </w:p>
        </w:tc>
        <w:tc>
          <w:tcPr>
            <w:tcW w:w="1800" w:type="dxa"/>
            <w:vAlign w:val="bottom"/>
          </w:tcPr>
          <w:p>
            <w:pPr>
              <w:jc w:val="center"/>
              <w:ind w:right="6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20"/>
              <w:spacing w:after="0"/>
              <w:rPr>
                <w:sz w:val="20"/>
                <w:szCs w:val="20"/>
                <w:color w:val="auto"/>
              </w:rPr>
            </w:pPr>
            <w:r>
              <w:rPr>
                <w:rFonts w:ascii="Arial" w:cs="Arial" w:eastAsia="Arial" w:hAnsi="Arial"/>
                <w:sz w:val="20"/>
                <w:szCs w:val="20"/>
                <w:color w:val="auto"/>
              </w:rPr>
              <w:t>Revenues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7,347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7,192</w:t>
            </w:r>
          </w:p>
        </w:tc>
        <w:tc>
          <w:tcPr>
            <w:tcW w:w="0" w:type="dxa"/>
            <w:vAlign w:val="bottom"/>
          </w:tcPr>
          <w:p>
            <w:pPr>
              <w:spacing w:after="0"/>
              <w:rPr>
                <w:sz w:val="1"/>
                <w:szCs w:val="1"/>
                <w:color w:val="auto"/>
              </w:rPr>
            </w:pPr>
          </w:p>
        </w:tc>
      </w:tr>
      <w:tr>
        <w:trPr>
          <w:trHeight w:val="30"/>
        </w:trPr>
        <w:tc>
          <w:tcPr>
            <w:tcW w:w="6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20"/>
              <w:spacing w:after="0"/>
              <w:rPr>
                <w:sz w:val="20"/>
                <w:szCs w:val="20"/>
                <w:color w:val="auto"/>
              </w:rPr>
            </w:pPr>
            <w:r>
              <w:rPr>
                <w:rFonts w:ascii="Arial" w:cs="Arial" w:eastAsia="Arial" w:hAnsi="Arial"/>
                <w:sz w:val="20"/>
                <w:szCs w:val="20"/>
                <w:color w:val="auto"/>
              </w:rPr>
              <w:t>Costs and expenses:</w:t>
            </w:r>
          </w:p>
        </w:tc>
        <w:tc>
          <w:tcPr>
            <w:tcW w:w="18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420" w:type="dxa"/>
            <w:vAlign w:val="bottom"/>
          </w:tcPr>
          <w:p>
            <w:pPr>
              <w:ind w:left="140"/>
              <w:spacing w:after="0"/>
              <w:rPr>
                <w:sz w:val="20"/>
                <w:szCs w:val="20"/>
                <w:color w:val="auto"/>
              </w:rPr>
            </w:pPr>
            <w:r>
              <w:rPr>
                <w:rFonts w:ascii="Arial" w:cs="Arial" w:eastAsia="Arial" w:hAnsi="Arial"/>
                <w:sz w:val="20"/>
                <w:szCs w:val="20"/>
                <w:color w:val="auto"/>
              </w:rPr>
              <w:t>Operating</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4,855</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4,961</w:t>
            </w:r>
          </w:p>
        </w:tc>
        <w:tc>
          <w:tcPr>
            <w:tcW w:w="0" w:type="dxa"/>
            <w:vAlign w:val="bottom"/>
          </w:tcPr>
          <w:p>
            <w:pPr>
              <w:spacing w:after="0"/>
              <w:rPr>
                <w:sz w:val="1"/>
                <w:szCs w:val="1"/>
                <w:color w:val="auto"/>
              </w:rPr>
            </w:pPr>
          </w:p>
        </w:tc>
      </w:tr>
      <w:tr>
        <w:trPr>
          <w:trHeight w:val="297"/>
        </w:trPr>
        <w:tc>
          <w:tcPr>
            <w:tcW w:w="6420" w:type="dxa"/>
            <w:vAlign w:val="bottom"/>
          </w:tcPr>
          <w:p>
            <w:pPr>
              <w:ind w:left="140"/>
              <w:spacing w:after="0"/>
              <w:rPr>
                <w:sz w:val="20"/>
                <w:szCs w:val="20"/>
                <w:color w:val="auto"/>
              </w:rPr>
            </w:pPr>
            <w:r>
              <w:rPr>
                <w:rFonts w:ascii="Arial" w:cs="Arial" w:eastAsia="Arial" w:hAnsi="Arial"/>
                <w:sz w:val="20"/>
                <w:szCs w:val="20"/>
                <w:color w:val="auto"/>
              </w:rPr>
              <w:t>Selling, general and administrative</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1,411</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1,543</w:t>
            </w:r>
          </w:p>
        </w:tc>
        <w:tc>
          <w:tcPr>
            <w:tcW w:w="0" w:type="dxa"/>
            <w:vAlign w:val="bottom"/>
          </w:tcPr>
          <w:p>
            <w:pPr>
              <w:spacing w:after="0"/>
              <w:rPr>
                <w:sz w:val="1"/>
                <w:szCs w:val="1"/>
                <w:color w:val="auto"/>
              </w:rPr>
            </w:pPr>
          </w:p>
        </w:tc>
      </w:tr>
      <w:tr>
        <w:trPr>
          <w:trHeight w:val="297"/>
        </w:trPr>
        <w:tc>
          <w:tcPr>
            <w:tcW w:w="6420" w:type="dxa"/>
            <w:vAlign w:val="bottom"/>
          </w:tcPr>
          <w:p>
            <w:pPr>
              <w:ind w:left="140"/>
              <w:spacing w:after="0"/>
              <w:rPr>
                <w:sz w:val="20"/>
                <w:szCs w:val="20"/>
                <w:color w:val="auto"/>
              </w:rPr>
            </w:pPr>
            <w:r>
              <w:rPr>
                <w:rFonts w:ascii="Arial" w:cs="Arial" w:eastAsia="Arial" w:hAnsi="Arial"/>
                <w:sz w:val="20"/>
                <w:szCs w:val="20"/>
                <w:color w:val="auto"/>
              </w:rPr>
              <w:t>Depreciation and amortization</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362</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97"/>
        </w:trPr>
        <w:tc>
          <w:tcPr>
            <w:tcW w:w="6420" w:type="dxa"/>
            <w:vAlign w:val="bottom"/>
          </w:tcPr>
          <w:p>
            <w:pPr>
              <w:ind w:left="140"/>
              <w:spacing w:after="0"/>
              <w:rPr>
                <w:sz w:val="20"/>
                <w:szCs w:val="20"/>
                <w:color w:val="auto"/>
              </w:rPr>
            </w:pPr>
            <w:r>
              <w:rPr>
                <w:rFonts w:ascii="Arial" w:cs="Arial" w:eastAsia="Arial" w:hAnsi="Arial"/>
                <w:sz w:val="20"/>
                <w:szCs w:val="20"/>
                <w:color w:val="auto"/>
              </w:rPr>
              <w:t>Restructuring and transaction-related items</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103</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31"/>
        </w:trPr>
        <w:tc>
          <w:tcPr>
            <w:tcW w:w="6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340"/>
              <w:spacing w:after="0"/>
              <w:rPr>
                <w:sz w:val="20"/>
                <w:szCs w:val="20"/>
                <w:color w:val="auto"/>
              </w:rPr>
            </w:pPr>
            <w:r>
              <w:rPr>
                <w:rFonts w:ascii="Arial" w:cs="Arial" w:eastAsia="Arial" w:hAnsi="Arial"/>
                <w:sz w:val="20"/>
                <w:szCs w:val="20"/>
                <w:color w:val="auto"/>
              </w:rPr>
              <w:t>Total costs and expenses</w:t>
            </w:r>
          </w:p>
        </w:tc>
        <w:tc>
          <w:tcPr>
            <w:tcW w:w="180" w:type="dxa"/>
            <w:vAlign w:val="bottom"/>
          </w:tcPr>
          <w:p>
            <w:pPr>
              <w:spacing w:after="0"/>
              <w:rPr>
                <w:sz w:val="22"/>
                <w:szCs w:val="22"/>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6,731</w:t>
            </w:r>
          </w:p>
        </w:tc>
        <w:tc>
          <w:tcPr>
            <w:tcW w:w="26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6,677</w:t>
            </w:r>
          </w:p>
        </w:tc>
        <w:tc>
          <w:tcPr>
            <w:tcW w:w="0" w:type="dxa"/>
            <w:vAlign w:val="bottom"/>
          </w:tcPr>
          <w:p>
            <w:pPr>
              <w:spacing w:after="0"/>
              <w:rPr>
                <w:sz w:val="1"/>
                <w:szCs w:val="1"/>
                <w:color w:val="auto"/>
              </w:rPr>
            </w:pPr>
          </w:p>
        </w:tc>
      </w:tr>
      <w:tr>
        <w:trPr>
          <w:trHeight w:val="297"/>
        </w:trPr>
        <w:tc>
          <w:tcPr>
            <w:tcW w:w="6420" w:type="dxa"/>
            <w:vAlign w:val="bottom"/>
          </w:tcPr>
          <w:p>
            <w:pPr>
              <w:ind w:left="140"/>
              <w:spacing w:after="0"/>
              <w:rPr>
                <w:sz w:val="20"/>
                <w:szCs w:val="20"/>
                <w:color w:val="auto"/>
              </w:rPr>
            </w:pPr>
            <w:r>
              <w:rPr>
                <w:rFonts w:ascii="Arial" w:cs="Arial" w:eastAsia="Arial" w:hAnsi="Arial"/>
                <w:sz w:val="20"/>
                <w:szCs w:val="20"/>
                <w:color w:val="auto"/>
              </w:rPr>
              <w:t>Gain on dispositions</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31"/>
        </w:trPr>
        <w:tc>
          <w:tcPr>
            <w:tcW w:w="6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20"/>
              <w:spacing w:after="0"/>
              <w:rPr>
                <w:sz w:val="20"/>
                <w:szCs w:val="20"/>
                <w:color w:val="auto"/>
              </w:rPr>
            </w:pPr>
            <w:r>
              <w:rPr>
                <w:rFonts w:ascii="Arial" w:cs="Arial" w:eastAsia="Arial" w:hAnsi="Arial"/>
                <w:sz w:val="20"/>
                <w:szCs w:val="20"/>
                <w:color w:val="auto"/>
              </w:rPr>
              <w:t>Operating income</w:t>
            </w:r>
          </w:p>
        </w:tc>
        <w:tc>
          <w:tcPr>
            <w:tcW w:w="180" w:type="dxa"/>
            <w:vAlign w:val="bottom"/>
          </w:tcPr>
          <w:p>
            <w:pPr>
              <w:spacing w:after="0"/>
              <w:rPr>
                <w:sz w:val="22"/>
                <w:szCs w:val="22"/>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616</w:t>
            </w:r>
          </w:p>
        </w:tc>
        <w:tc>
          <w:tcPr>
            <w:tcW w:w="26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550</w:t>
            </w:r>
          </w:p>
        </w:tc>
        <w:tc>
          <w:tcPr>
            <w:tcW w:w="0" w:type="dxa"/>
            <w:vAlign w:val="bottom"/>
          </w:tcPr>
          <w:p>
            <w:pPr>
              <w:spacing w:after="0"/>
              <w:rPr>
                <w:sz w:val="1"/>
                <w:szCs w:val="1"/>
                <w:color w:val="auto"/>
              </w:rPr>
            </w:pPr>
          </w:p>
        </w:tc>
      </w:tr>
      <w:tr>
        <w:trPr>
          <w:trHeight w:val="297"/>
        </w:trPr>
        <w:tc>
          <w:tcPr>
            <w:tcW w:w="642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rPr>
              <w:t>(238)</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(217)</w:t>
            </w:r>
          </w:p>
        </w:tc>
        <w:tc>
          <w:tcPr>
            <w:tcW w:w="0" w:type="dxa"/>
            <w:vAlign w:val="bottom"/>
          </w:tcPr>
          <w:p>
            <w:pPr>
              <w:spacing w:after="0"/>
              <w:rPr>
                <w:sz w:val="1"/>
                <w:szCs w:val="1"/>
                <w:color w:val="auto"/>
              </w:rPr>
            </w:pPr>
          </w:p>
        </w:tc>
      </w:tr>
      <w:tr>
        <w:trPr>
          <w:trHeight w:val="297"/>
        </w:trPr>
        <w:tc>
          <w:tcPr>
            <w:tcW w:w="642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38</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97"/>
        </w:trPr>
        <w:tc>
          <w:tcPr>
            <w:tcW w:w="6420" w:type="dxa"/>
            <w:vAlign w:val="bottom"/>
          </w:tcPr>
          <w:p>
            <w:pPr>
              <w:ind w:left="20"/>
              <w:spacing w:after="0"/>
              <w:rPr>
                <w:sz w:val="20"/>
                <w:szCs w:val="20"/>
                <w:color w:val="auto"/>
              </w:rPr>
            </w:pPr>
            <w:r>
              <w:rPr>
                <w:rFonts w:ascii="Arial" w:cs="Arial" w:eastAsia="Arial" w:hAnsi="Arial"/>
                <w:sz w:val="20"/>
                <w:szCs w:val="20"/>
                <w:color w:val="auto"/>
              </w:rPr>
              <w:t>Other items, net</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rPr>
              <w:t>(24)</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30"/>
        </w:trPr>
        <w:tc>
          <w:tcPr>
            <w:tcW w:w="6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420" w:type="dxa"/>
            <w:vAlign w:val="bottom"/>
          </w:tcPr>
          <w:p>
            <w:pPr>
              <w:ind w:left="20"/>
              <w:spacing w:after="0"/>
              <w:rPr>
                <w:sz w:val="20"/>
                <w:szCs w:val="20"/>
                <w:color w:val="auto"/>
              </w:rPr>
            </w:pPr>
            <w:r>
              <w:rPr>
                <w:rFonts w:ascii="Arial" w:cs="Arial" w:eastAsia="Arial" w:hAnsi="Arial"/>
                <w:sz w:val="20"/>
                <w:szCs w:val="20"/>
                <w:color w:val="auto"/>
              </w:rPr>
              <w:t>Earnings before income taxes and equity in loss of</w:t>
            </w:r>
          </w:p>
        </w:tc>
        <w:tc>
          <w:tcPr>
            <w:tcW w:w="180" w:type="dxa"/>
            <w:vAlign w:val="bottom"/>
          </w:tcPr>
          <w:p>
            <w:pPr>
              <w:spacing w:after="0"/>
              <w:rPr>
                <w:sz w:val="21"/>
                <w:szCs w:val="21"/>
                <w:color w:val="auto"/>
              </w:rPr>
            </w:pPr>
          </w:p>
        </w:tc>
        <w:tc>
          <w:tcPr>
            <w:tcW w:w="1940" w:type="dxa"/>
            <w:vAlign w:val="bottom"/>
            <w:tcBorders>
              <w:right w:val="single" w:sz="8" w:color="auto"/>
            </w:tcBorders>
            <w:vMerge w:val="restart"/>
          </w:tcPr>
          <w:p>
            <w:pPr>
              <w:jc w:val="right"/>
              <w:ind w:right="121"/>
              <w:spacing w:after="0"/>
              <w:rPr>
                <w:sz w:val="20"/>
                <w:szCs w:val="20"/>
                <w:color w:val="auto"/>
              </w:rPr>
            </w:pPr>
            <w:r>
              <w:rPr>
                <w:rFonts w:ascii="Arial" w:cs="Arial" w:eastAsia="Arial" w:hAnsi="Arial"/>
                <w:sz w:val="20"/>
                <w:szCs w:val="20"/>
                <w:color w:val="auto"/>
              </w:rPr>
              <w:t>392</w:t>
            </w:r>
          </w:p>
        </w:tc>
        <w:tc>
          <w:tcPr>
            <w:tcW w:w="260" w:type="dxa"/>
            <w:vAlign w:val="bottom"/>
          </w:tcPr>
          <w:p>
            <w:pPr>
              <w:spacing w:after="0"/>
              <w:rPr>
                <w:sz w:val="21"/>
                <w:szCs w:val="21"/>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61"/>
        </w:trPr>
        <w:tc>
          <w:tcPr>
            <w:tcW w:w="6420" w:type="dxa"/>
            <w:vAlign w:val="bottom"/>
          </w:tcPr>
          <w:p>
            <w:pPr>
              <w:ind w:left="180"/>
              <w:spacing w:after="0"/>
              <w:rPr>
                <w:sz w:val="20"/>
                <w:szCs w:val="20"/>
                <w:color w:val="auto"/>
              </w:rPr>
            </w:pPr>
            <w:r>
              <w:rPr>
                <w:rFonts w:ascii="Arial" w:cs="Arial" w:eastAsia="Arial" w:hAnsi="Arial"/>
                <w:sz w:val="20"/>
                <w:szCs w:val="20"/>
                <w:color w:val="auto"/>
              </w:rPr>
              <w:t>investee companies</w:t>
            </w:r>
          </w:p>
        </w:tc>
        <w:tc>
          <w:tcPr>
            <w:tcW w:w="180" w:type="dxa"/>
            <w:vAlign w:val="bottom"/>
          </w:tcPr>
          <w:p>
            <w:pPr>
              <w:spacing w:after="0"/>
              <w:rPr>
                <w:sz w:val="22"/>
                <w:szCs w:val="22"/>
                <w:color w:val="auto"/>
              </w:rPr>
            </w:pPr>
          </w:p>
        </w:tc>
        <w:tc>
          <w:tcPr>
            <w:tcW w:w="1940" w:type="dxa"/>
            <w:vAlign w:val="bottom"/>
            <w:tcBorders>
              <w:right w:val="single" w:sz="8" w:color="auto"/>
            </w:tcBorders>
            <w:vMerge w:val="continue"/>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420" w:type="dxa"/>
            <w:vAlign w:val="bottom"/>
          </w:tcPr>
          <w:p>
            <w:pPr>
              <w:ind w:left="20"/>
              <w:spacing w:after="0"/>
              <w:rPr>
                <w:sz w:val="20"/>
                <w:szCs w:val="20"/>
                <w:color w:val="auto"/>
              </w:rPr>
            </w:pPr>
            <w:r>
              <w:rPr>
                <w:rFonts w:ascii="Arial" w:cs="Arial" w:eastAsia="Arial" w:hAnsi="Arial"/>
                <w:sz w:val="20"/>
                <w:szCs w:val="20"/>
                <w:color w:val="auto"/>
              </w:rPr>
              <w:t>Provision for income taxes</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rPr>
              <w:t>(155)</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97"/>
        </w:trPr>
        <w:tc>
          <w:tcPr>
            <w:tcW w:w="6420" w:type="dxa"/>
            <w:vAlign w:val="bottom"/>
          </w:tcPr>
          <w:p>
            <w:pPr>
              <w:ind w:left="20"/>
              <w:spacing w:after="0"/>
              <w:rPr>
                <w:sz w:val="20"/>
                <w:szCs w:val="20"/>
                <w:color w:val="auto"/>
              </w:rPr>
            </w:pPr>
            <w:r>
              <w:rPr>
                <w:rFonts w:ascii="Arial" w:cs="Arial" w:eastAsia="Arial" w:hAnsi="Arial"/>
                <w:sz w:val="20"/>
                <w:szCs w:val="20"/>
                <w:color w:val="auto"/>
              </w:rPr>
              <w:t>Equity in loss of investee companies, net of tax</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rPr>
              <w:t>(62)</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30"/>
        </w:trPr>
        <w:tc>
          <w:tcPr>
            <w:tcW w:w="6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20"/>
              <w:spacing w:after="0"/>
              <w:rPr>
                <w:sz w:val="20"/>
                <w:szCs w:val="20"/>
                <w:color w:val="auto"/>
              </w:rPr>
            </w:pPr>
            <w:r>
              <w:rPr>
                <w:rFonts w:ascii="Arial" w:cs="Arial" w:eastAsia="Arial" w:hAnsi="Arial"/>
                <w:sz w:val="20"/>
                <w:szCs w:val="20"/>
                <w:color w:val="auto"/>
              </w:rPr>
              <w:t>Net earnings (Parent and noncontrolling interests)</w:t>
            </w:r>
          </w:p>
        </w:tc>
        <w:tc>
          <w:tcPr>
            <w:tcW w:w="180" w:type="dxa"/>
            <w:vAlign w:val="bottom"/>
          </w:tcPr>
          <w:p>
            <w:pPr>
              <w:spacing w:after="0"/>
              <w:rPr>
                <w:sz w:val="22"/>
                <w:szCs w:val="22"/>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175</w:t>
            </w:r>
          </w:p>
        </w:tc>
        <w:tc>
          <w:tcPr>
            <w:tcW w:w="26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97"/>
        </w:trPr>
        <w:tc>
          <w:tcPr>
            <w:tcW w:w="6420" w:type="dxa"/>
            <w:vAlign w:val="bottom"/>
          </w:tcPr>
          <w:p>
            <w:pPr>
              <w:ind w:left="20"/>
              <w:spacing w:after="0"/>
              <w:rPr>
                <w:sz w:val="20"/>
                <w:szCs w:val="20"/>
                <w:color w:val="auto"/>
              </w:rPr>
            </w:pPr>
            <w:r>
              <w:rPr>
                <w:rFonts w:ascii="Arial" w:cs="Arial" w:eastAsia="Arial" w:hAnsi="Arial"/>
                <w:sz w:val="20"/>
                <w:szCs w:val="20"/>
                <w:color w:val="auto"/>
              </w:rPr>
              <w:t>Net earnings attributable to noncontrolling interests</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rPr>
              <w:t>(7)</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30"/>
        </w:trPr>
        <w:tc>
          <w:tcPr>
            <w:tcW w:w="6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20"/>
              <w:spacing w:after="0"/>
              <w:rPr>
                <w:sz w:val="20"/>
                <w:szCs w:val="20"/>
                <w:color w:val="auto"/>
              </w:rPr>
            </w:pPr>
            <w:r>
              <w:rPr>
                <w:rFonts w:ascii="Arial" w:cs="Arial" w:eastAsia="Arial" w:hAnsi="Arial"/>
                <w:sz w:val="20"/>
                <w:szCs w:val="20"/>
                <w:color w:val="auto"/>
              </w:rPr>
              <w:t>Net earnings attributable to Parent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168</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37"/>
        </w:trPr>
        <w:tc>
          <w:tcPr>
            <w:tcW w:w="6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6420" w:type="dxa"/>
            <w:vAlign w:val="bottom"/>
          </w:tcPr>
          <w:p>
            <w:pPr>
              <w:ind w:left="20"/>
              <w:spacing w:after="0"/>
              <w:rPr>
                <w:sz w:val="20"/>
                <w:szCs w:val="20"/>
                <w:color w:val="auto"/>
              </w:rPr>
            </w:pPr>
            <w:r>
              <w:rPr>
                <w:rFonts w:ascii="Arial" w:cs="Arial" w:eastAsia="Arial" w:hAnsi="Arial"/>
                <w:sz w:val="20"/>
                <w:szCs w:val="20"/>
                <w:color w:val="auto"/>
              </w:rPr>
              <w:t>Basic net earnings per common share attributable to Parent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.15</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405"/>
        </w:trPr>
        <w:tc>
          <w:tcPr>
            <w:tcW w:w="6420" w:type="dxa"/>
            <w:vAlign w:val="bottom"/>
          </w:tcPr>
          <w:p>
            <w:pPr>
              <w:ind w:left="40"/>
              <w:spacing w:after="0"/>
              <w:rPr>
                <w:sz w:val="20"/>
                <w:szCs w:val="20"/>
                <w:color w:val="auto"/>
              </w:rPr>
            </w:pPr>
            <w:r>
              <w:rPr>
                <w:rFonts w:ascii="Arial" w:cs="Arial" w:eastAsia="Arial" w:hAnsi="Arial"/>
                <w:sz w:val="20"/>
                <w:szCs w:val="20"/>
                <w:color w:val="auto"/>
              </w:rPr>
              <w:t>Diluted net earnings per common share attributable to Parent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.15</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405"/>
        </w:trPr>
        <w:tc>
          <w:tcPr>
            <w:tcW w:w="6420" w:type="dxa"/>
            <w:vAlign w:val="bottom"/>
          </w:tcPr>
          <w:p>
            <w:pPr>
              <w:ind w:left="20"/>
              <w:spacing w:after="0"/>
              <w:rPr>
                <w:sz w:val="20"/>
                <w:szCs w:val="20"/>
                <w:color w:val="auto"/>
              </w:rPr>
            </w:pPr>
            <w:r>
              <w:rPr>
                <w:rFonts w:ascii="Arial" w:cs="Arial" w:eastAsia="Arial" w:hAnsi="Arial"/>
                <w:sz w:val="20"/>
                <w:szCs w:val="20"/>
                <w:color w:val="auto"/>
              </w:rPr>
              <w:t>Weighted average number of common shares outstanding:</w:t>
            </w:r>
          </w:p>
        </w:tc>
        <w:tc>
          <w:tcPr>
            <w:tcW w:w="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20" w:type="dxa"/>
            <w:vAlign w:val="bottom"/>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1,110</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672</w:t>
            </w:r>
          </w:p>
        </w:tc>
        <w:tc>
          <w:tcPr>
            <w:tcW w:w="0" w:type="dxa"/>
            <w:vAlign w:val="bottom"/>
          </w:tcPr>
          <w:p>
            <w:pPr>
              <w:spacing w:after="0"/>
              <w:rPr>
                <w:sz w:val="1"/>
                <w:szCs w:val="1"/>
                <w:color w:val="auto"/>
              </w:rPr>
            </w:pPr>
          </w:p>
        </w:tc>
      </w:tr>
      <w:tr>
        <w:trPr>
          <w:trHeight w:val="297"/>
        </w:trPr>
        <w:tc>
          <w:tcPr>
            <w:tcW w:w="6420" w:type="dxa"/>
            <w:vAlign w:val="bottom"/>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tcPr>
          <w:p>
            <w:pPr>
              <w:spacing w:after="0"/>
              <w:rPr>
                <w:sz w:val="24"/>
                <w:szCs w:val="24"/>
                <w:color w:val="auto"/>
              </w:rPr>
            </w:pPr>
          </w:p>
        </w:tc>
        <w:tc>
          <w:tcPr>
            <w:tcW w:w="194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1,118</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678</w:t>
            </w:r>
          </w:p>
        </w:tc>
        <w:tc>
          <w:tcPr>
            <w:tcW w:w="0" w:type="dxa"/>
            <w:vAlign w:val="bottom"/>
          </w:tcPr>
          <w:p>
            <w:pPr>
              <w:spacing w:after="0"/>
              <w:rPr>
                <w:sz w:val="1"/>
                <w:szCs w:val="1"/>
                <w:color w:val="auto"/>
              </w:rPr>
            </w:pPr>
          </w:p>
        </w:tc>
      </w:tr>
      <w:tr>
        <w:trPr>
          <w:trHeight w:val="38"/>
        </w:trPr>
        <w:tc>
          <w:tcPr>
            <w:tcW w:w="6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640" w:top="1097" w:right="339" w:bottom="1440" w:gutter="0" w:footer="0" w:header="0"/>
        </w:sectPr>
      </w:pPr>
    </w:p>
    <w:bookmarkStart w:id="16" w:name="page17"/>
    <w:bookmarkEnd w:id="16"/>
    <w:p>
      <w:pPr>
        <w:spacing w:after="0" w:line="13"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PARAMOUNT SKYDANCE CORPORATION AND SUBSIDIARIES</w:t>
      </w:r>
    </w:p>
    <w:p>
      <w:pPr>
        <w:spacing w:after="0" w:line="15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At</w:t>
            </w:r>
          </w:p>
        </w:tc>
        <w:tc>
          <w:tcPr>
            <w:tcW w:w="8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At</w:t>
            </w:r>
          </w:p>
        </w:tc>
      </w:tr>
      <w:tr>
        <w:trPr>
          <w:trHeight w:val="279"/>
        </w:trPr>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March 31, 2026</w:t>
            </w:r>
          </w:p>
        </w:tc>
        <w:tc>
          <w:tcPr>
            <w:tcW w:w="21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December 31, 2025</w:t>
            </w:r>
          </w:p>
        </w:tc>
      </w:tr>
      <w:tr>
        <w:trPr>
          <w:trHeight w:val="255"/>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62"/>
        </w:trPr>
        <w:tc>
          <w:tcPr>
            <w:tcW w:w="6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1,941</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3,274</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6,850</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6,615</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Programming and other inventory</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1,461</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1,764</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1,970</w:t>
            </w:r>
          </w:p>
        </w:tc>
      </w:tr>
      <w:tr>
        <w:trPr>
          <w:trHeight w:val="23"/>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1"/>
        </w:trPr>
        <w:tc>
          <w:tcPr>
            <w:tcW w:w="66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20"/>
                <w:szCs w:val="20"/>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11,555</w:t>
            </w:r>
          </w:p>
        </w:tc>
        <w:tc>
          <w:tcPr>
            <w:tcW w:w="8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13,320</w:t>
            </w:r>
          </w:p>
        </w:tc>
      </w:tr>
      <w:tr>
        <w:trPr>
          <w:trHeight w:val="23"/>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1"/>
        </w:trPr>
        <w:tc>
          <w:tcPr>
            <w:tcW w:w="66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940" w:type="dxa"/>
            <w:vAlign w:val="bottom"/>
          </w:tcPr>
          <w:p>
            <w:pPr>
              <w:spacing w:after="0"/>
              <w:rPr>
                <w:sz w:val="20"/>
                <w:szCs w:val="20"/>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2,205</w:t>
            </w:r>
          </w:p>
        </w:tc>
        <w:tc>
          <w:tcPr>
            <w:tcW w:w="8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2,195</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Programming and other inventory</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15,472</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15,028</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1,622</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1,600</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5,954</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6,238</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1,084</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1,126</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1,241</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1,282</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Advance consideration for WBD acquisition</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2,800</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2,555</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2,553</w:t>
            </w:r>
          </w:p>
        </w:tc>
      </w:tr>
      <w:tr>
        <w:trPr>
          <w:trHeight w:val="23"/>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44,488</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43,342</w:t>
            </w:r>
          </w:p>
        </w:tc>
      </w:tr>
      <w:tr>
        <w:trPr>
          <w:trHeight w:val="30"/>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62"/>
        </w:trPr>
        <w:tc>
          <w:tcPr>
            <w:tcW w:w="6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707</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906</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1,730</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2,077</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Participants’ share and royalties payable</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2,613</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2,646</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Accrued programming and production costs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1,857</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1,832</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Deferred revenues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1,354</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1,355</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Debt</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662</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433</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1,580</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1,350</w:t>
            </w:r>
          </w:p>
        </w:tc>
      </w:tr>
      <w:tr>
        <w:trPr>
          <w:trHeight w:val="23"/>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0"/>
        </w:trPr>
        <w:tc>
          <w:tcPr>
            <w:tcW w:w="66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20"/>
                <w:szCs w:val="20"/>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10,503</w:t>
            </w:r>
          </w:p>
        </w:tc>
        <w:tc>
          <w:tcPr>
            <w:tcW w:w="8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10,599</w:t>
            </w:r>
          </w:p>
        </w:tc>
      </w:tr>
      <w:tr>
        <w:trPr>
          <w:trHeight w:val="23"/>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940" w:type="dxa"/>
            <w:vAlign w:val="bottom"/>
          </w:tcPr>
          <w:p>
            <w:pPr>
              <w:spacing w:after="0"/>
              <w:rPr>
                <w:sz w:val="20"/>
                <w:szCs w:val="20"/>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14,821</w:t>
            </w:r>
          </w:p>
        </w:tc>
        <w:tc>
          <w:tcPr>
            <w:tcW w:w="8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13,225</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Participants’ share and royalties payable</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1,404</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1,361</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Pension and postretirement benefit obligations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1,178</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1,185</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Deferred income tax liabilities, net</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90</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85</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1,112</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1,150</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Programming obligations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386</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400</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2,245</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2,450</w:t>
            </w:r>
          </w:p>
        </w:tc>
      </w:tr>
      <w:tr>
        <w:trPr>
          <w:trHeight w:val="324"/>
        </w:trPr>
        <w:tc>
          <w:tcPr>
            <w:tcW w:w="66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94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6620" w:type="dxa"/>
            <w:vAlign w:val="bottom"/>
          </w:tcPr>
          <w:p>
            <w:pPr>
              <w:ind w:left="20"/>
              <w:spacing w:after="0"/>
              <w:rPr>
                <w:sz w:val="20"/>
                <w:szCs w:val="20"/>
                <w:color w:val="auto"/>
              </w:rPr>
            </w:pPr>
            <w:r>
              <w:rPr>
                <w:rFonts w:ascii="Arial" w:cs="Arial" w:eastAsia="Arial" w:hAnsi="Arial"/>
                <w:sz w:val="18"/>
                <w:szCs w:val="18"/>
                <w:color w:val="auto"/>
              </w:rPr>
              <w:t>Parent stockholders’ equity:</w:t>
            </w:r>
          </w:p>
        </w:tc>
        <w:tc>
          <w:tcPr>
            <w:tcW w:w="94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7"/>
        </w:trPr>
        <w:tc>
          <w:tcPr>
            <w:tcW w:w="6620" w:type="dxa"/>
            <w:vAlign w:val="bottom"/>
          </w:tcPr>
          <w:p>
            <w:pPr>
              <w:ind w:left="140"/>
              <w:spacing w:after="0"/>
              <w:rPr>
                <w:sz w:val="20"/>
                <w:szCs w:val="20"/>
                <w:color w:val="auto"/>
              </w:rPr>
            </w:pPr>
            <w:r>
              <w:rPr>
                <w:rFonts w:ascii="Arial" w:cs="Arial" w:eastAsia="Arial" w:hAnsi="Arial"/>
                <w:sz w:val="18"/>
                <w:szCs w:val="18"/>
                <w:color w:val="auto"/>
              </w:rPr>
              <w:t>Class A Common Stock, par value $.001 per share; 55 shares authorized;</w:t>
            </w:r>
          </w:p>
        </w:tc>
        <w:tc>
          <w:tcPr>
            <w:tcW w:w="94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9"/>
        </w:trPr>
        <w:tc>
          <w:tcPr>
            <w:tcW w:w="6620" w:type="dxa"/>
            <w:vAlign w:val="bottom"/>
          </w:tcPr>
          <w:p>
            <w:pPr>
              <w:ind w:left="320"/>
              <w:spacing w:after="0"/>
              <w:rPr>
                <w:sz w:val="20"/>
                <w:szCs w:val="20"/>
                <w:color w:val="auto"/>
              </w:rPr>
            </w:pPr>
            <w:r>
              <w:rPr>
                <w:rFonts w:ascii="Arial" w:cs="Arial" w:eastAsia="Arial" w:hAnsi="Arial"/>
                <w:sz w:val="18"/>
                <w:szCs w:val="18"/>
                <w:color w:val="auto"/>
              </w:rPr>
              <w:t>32 (2026 and 2025) shares issued</w:t>
            </w:r>
          </w:p>
        </w:tc>
        <w:tc>
          <w:tcPr>
            <w:tcW w:w="940" w:type="dxa"/>
            <w:vAlign w:val="bottom"/>
          </w:tcPr>
          <w:p>
            <w:pPr>
              <w:spacing w:after="0"/>
              <w:rPr>
                <w:sz w:val="20"/>
                <w:szCs w:val="20"/>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247"/>
        </w:trPr>
        <w:tc>
          <w:tcPr>
            <w:tcW w:w="6620" w:type="dxa"/>
            <w:vAlign w:val="bottom"/>
          </w:tcPr>
          <w:p>
            <w:pPr>
              <w:ind w:left="140"/>
              <w:spacing w:after="0"/>
              <w:rPr>
                <w:sz w:val="20"/>
                <w:szCs w:val="20"/>
                <w:color w:val="auto"/>
              </w:rPr>
            </w:pPr>
            <w:r>
              <w:rPr>
                <w:rFonts w:ascii="Arial" w:cs="Arial" w:eastAsia="Arial" w:hAnsi="Arial"/>
                <w:sz w:val="18"/>
                <w:szCs w:val="18"/>
                <w:color w:val="auto"/>
              </w:rPr>
              <w:t>Class B Common Stock, par value $.001 per share; 5,500 shares</w:t>
            </w:r>
          </w:p>
        </w:tc>
        <w:tc>
          <w:tcPr>
            <w:tcW w:w="94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9"/>
        </w:trPr>
        <w:tc>
          <w:tcPr>
            <w:tcW w:w="6620" w:type="dxa"/>
            <w:vAlign w:val="bottom"/>
          </w:tcPr>
          <w:p>
            <w:pPr>
              <w:ind w:left="300"/>
              <w:spacing w:after="0"/>
              <w:rPr>
                <w:sz w:val="20"/>
                <w:szCs w:val="20"/>
                <w:color w:val="auto"/>
              </w:rPr>
            </w:pPr>
            <w:r>
              <w:rPr>
                <w:rFonts w:ascii="Arial" w:cs="Arial" w:eastAsia="Arial" w:hAnsi="Arial"/>
                <w:sz w:val="18"/>
                <w:szCs w:val="18"/>
                <w:color w:val="auto"/>
              </w:rPr>
              <w:t>authorized; 1,086 (2026) and 1,076 (2025) shares issued</w:t>
            </w:r>
          </w:p>
        </w:tc>
        <w:tc>
          <w:tcPr>
            <w:tcW w:w="940" w:type="dxa"/>
            <w:vAlign w:val="bottom"/>
          </w:tcPr>
          <w:p>
            <w:pPr>
              <w:spacing w:after="0"/>
              <w:rPr>
                <w:sz w:val="20"/>
                <w:szCs w:val="20"/>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13,316</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13,386</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(1,585)</w:t>
            </w:r>
          </w:p>
        </w:tc>
        <w:tc>
          <w:tcPr>
            <w:tcW w:w="860" w:type="dxa"/>
            <w:vAlign w:val="bottom"/>
          </w:tcPr>
          <w:p>
            <w:pPr>
              <w:spacing w:after="0"/>
              <w:rPr>
                <w:sz w:val="23"/>
                <w:szCs w:val="23"/>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(1,753)</w:t>
            </w:r>
          </w:p>
        </w:tc>
      </w:tr>
      <w:tr>
        <w:trPr>
          <w:trHeight w:val="270"/>
        </w:trPr>
        <w:tc>
          <w:tcPr>
            <w:tcW w:w="66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(27)</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59</w:t>
            </w:r>
          </w:p>
        </w:tc>
      </w:tr>
      <w:tr>
        <w:trPr>
          <w:trHeight w:val="23"/>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0"/>
        </w:trPr>
        <w:tc>
          <w:tcPr>
            <w:tcW w:w="6620" w:type="dxa"/>
            <w:vAlign w:val="bottom"/>
          </w:tcPr>
          <w:p>
            <w:pPr>
              <w:ind w:left="220"/>
              <w:spacing w:after="0"/>
              <w:rPr>
                <w:sz w:val="20"/>
                <w:szCs w:val="20"/>
                <w:color w:val="auto"/>
              </w:rPr>
            </w:pPr>
            <w:r>
              <w:rPr>
                <w:rFonts w:ascii="Arial" w:cs="Arial" w:eastAsia="Arial" w:hAnsi="Arial"/>
                <w:sz w:val="18"/>
                <w:szCs w:val="18"/>
                <w:color w:val="auto"/>
              </w:rPr>
              <w:t>Total Parent stockholders’ equity</w:t>
            </w:r>
          </w:p>
        </w:tc>
        <w:tc>
          <w:tcPr>
            <w:tcW w:w="940" w:type="dxa"/>
            <w:vAlign w:val="bottom"/>
          </w:tcPr>
          <w:p>
            <w:pPr>
              <w:spacing w:after="0"/>
              <w:rPr>
                <w:sz w:val="20"/>
                <w:szCs w:val="20"/>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11,705</w:t>
            </w:r>
          </w:p>
        </w:tc>
        <w:tc>
          <w:tcPr>
            <w:tcW w:w="8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11,693</w:t>
            </w:r>
          </w:p>
        </w:tc>
      </w:tr>
      <w:tr>
        <w:trPr>
          <w:trHeight w:val="270"/>
        </w:trPr>
        <w:tc>
          <w:tcPr>
            <w:tcW w:w="66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940" w:type="dxa"/>
            <w:vAlign w:val="bottom"/>
          </w:tcPr>
          <w:p>
            <w:pPr>
              <w:spacing w:after="0"/>
              <w:rPr>
                <w:sz w:val="23"/>
                <w:szCs w:val="23"/>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1,044</w:t>
            </w:r>
          </w:p>
        </w:tc>
        <w:tc>
          <w:tcPr>
            <w:tcW w:w="86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1,194</w:t>
            </w:r>
          </w:p>
        </w:tc>
      </w:tr>
      <w:tr>
        <w:trPr>
          <w:trHeight w:val="23"/>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1"/>
        </w:trPr>
        <w:tc>
          <w:tcPr>
            <w:tcW w:w="662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940" w:type="dxa"/>
            <w:vAlign w:val="bottom"/>
          </w:tcPr>
          <w:p>
            <w:pPr>
              <w:spacing w:after="0"/>
              <w:rPr>
                <w:sz w:val="20"/>
                <w:szCs w:val="20"/>
                <w:color w:val="auto"/>
              </w:rPr>
            </w:pP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12,749</w:t>
            </w:r>
          </w:p>
        </w:tc>
        <w:tc>
          <w:tcPr>
            <w:tcW w:w="8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12,887</w:t>
            </w:r>
          </w:p>
        </w:tc>
      </w:tr>
      <w:tr>
        <w:trPr>
          <w:trHeight w:val="23"/>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1"/>
        </w:trPr>
        <w:tc>
          <w:tcPr>
            <w:tcW w:w="662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44,488</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43,342</w:t>
            </w:r>
          </w:p>
        </w:tc>
      </w:tr>
      <w:tr>
        <w:trPr>
          <w:trHeight w:val="30"/>
        </w:trPr>
        <w:tc>
          <w:tcPr>
            <w:tcW w:w="6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52" w:orient="portrait"/>
          <w:cols w:equalWidth="0" w:num="1">
            <w:col w:w="11240"/>
          </w:cols>
          <w:pgMar w:left="320" w:top="109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14</w:t>
      </w:r>
    </w:p>
    <w:p>
      <w:pPr>
        <w:sectPr>
          <w:pgSz w:w="11900" w:h="16852" w:orient="portrait"/>
          <w:cols w:equalWidth="0" w:num="1">
            <w:col w:w="11240"/>
          </w:cols>
          <w:pgMar w:left="320" w:top="1097" w:right="339" w:bottom="0" w:gutter="0" w:footer="0" w:header="0"/>
          <w:type w:val="continuous"/>
        </w:sectPr>
      </w:pPr>
    </w:p>
    <w:bookmarkStart w:id="17" w:name="page18"/>
    <w:bookmarkEnd w:id="17"/>
    <w:p>
      <w:pPr>
        <w:ind w:left="2100"/>
        <w:spacing w:after="0"/>
        <w:rPr>
          <w:sz w:val="20"/>
          <w:szCs w:val="20"/>
          <w:color w:val="auto"/>
        </w:rPr>
      </w:pPr>
      <w:r>
        <w:rPr>
          <w:rFonts w:ascii="Arial" w:cs="Arial" w:eastAsia="Arial" w:hAnsi="Arial"/>
          <w:sz w:val="22"/>
          <w:szCs w:val="22"/>
          <w:b w:val="1"/>
          <w:bCs w:val="1"/>
          <w:color w:val="auto"/>
        </w:rPr>
        <w:t>PARAMOUNT SKYDANCE CORPORATION AND SUBSIDIARIES</w:t>
      </w:r>
    </w:p>
    <w:p>
      <w:pPr>
        <w:spacing w:after="0" w:line="15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6"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(Unaudited;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6400" w:type="dxa"/>
            <w:vAlign w:val="bottom"/>
            <w:tcBorders>
              <w:top w:val="single" w:sz="8" w:color="auto"/>
            </w:tcBorders>
          </w:tcPr>
          <w:p>
            <w:pPr>
              <w:spacing w:after="0"/>
              <w:rPr>
                <w:sz w:val="24"/>
                <w:szCs w:val="24"/>
                <w:color w:val="auto"/>
              </w:rPr>
            </w:pPr>
          </w:p>
        </w:tc>
        <w:tc>
          <w:tcPr>
            <w:tcW w:w="2080" w:type="dxa"/>
            <w:vAlign w:val="bottom"/>
            <w:tcBorders>
              <w:top w:val="single" w:sz="8" w:color="auto"/>
              <w:right w:val="single" w:sz="8" w:color="auto"/>
            </w:tcBorders>
            <w:gridSpan w:val="2"/>
          </w:tcPr>
          <w:p>
            <w:pPr>
              <w:jc w:val="center"/>
              <w:ind w:right="1"/>
              <w:spacing w:after="0"/>
              <w:rPr>
                <w:sz w:val="20"/>
                <w:szCs w:val="20"/>
                <w:color w:val="auto"/>
              </w:rPr>
            </w:pPr>
            <w:r>
              <w:rPr>
                <w:rFonts w:ascii="Arial" w:cs="Arial" w:eastAsia="Arial" w:hAnsi="Arial"/>
                <w:sz w:val="20"/>
                <w:szCs w:val="20"/>
                <w:b w:val="1"/>
                <w:bCs w:val="1"/>
                <w:color w:val="auto"/>
              </w:rPr>
              <w:t>Successor</w:t>
            </w:r>
          </w:p>
        </w:tc>
        <w:tc>
          <w:tcPr>
            <w:tcW w:w="2160" w:type="dxa"/>
            <w:vAlign w:val="bottom"/>
            <w:tcBorders>
              <w:top w:val="single" w:sz="8" w:color="auto"/>
            </w:tcBorders>
            <w:gridSpan w:val="2"/>
          </w:tcPr>
          <w:p>
            <w:pPr>
              <w:jc w:val="right"/>
              <w:ind w:right="341"/>
              <w:spacing w:after="0"/>
              <w:rPr>
                <w:sz w:val="20"/>
                <w:szCs w:val="20"/>
                <w:color w:val="auto"/>
              </w:rPr>
            </w:pPr>
            <w:r>
              <w:rPr>
                <w:rFonts w:ascii="Arial" w:cs="Arial" w:eastAsia="Arial" w:hAnsi="Arial"/>
                <w:sz w:val="20"/>
                <w:szCs w:val="20"/>
                <w:b w:val="1"/>
                <w:bCs w:val="1"/>
                <w:color w:val="auto"/>
              </w:rPr>
              <w:t>Predecessor</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2080" w:type="dxa"/>
            <w:vAlign w:val="bottom"/>
            <w:tcBorders>
              <w:bottom w:val="single" w:sz="8" w:color="auto"/>
              <w:right w:val="single" w:sz="8" w:color="auto"/>
            </w:tcBorders>
            <w:gridSpan w:val="2"/>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2080" w:type="dxa"/>
            <w:vAlign w:val="bottom"/>
            <w:tcBorders>
              <w:right w:val="single" w:sz="8" w:color="auto"/>
            </w:tcBorders>
            <w:gridSpan w:val="2"/>
          </w:tcPr>
          <w:p>
            <w:pPr>
              <w:jc w:val="center"/>
              <w:ind w:right="1"/>
              <w:spacing w:after="0"/>
              <w:rPr>
                <w:sz w:val="20"/>
                <w:szCs w:val="20"/>
                <w:color w:val="auto"/>
              </w:rPr>
            </w:pPr>
            <w:r>
              <w:rPr>
                <w:rFonts w:ascii="Arial" w:cs="Arial" w:eastAsia="Arial" w:hAnsi="Arial"/>
                <w:sz w:val="20"/>
                <w:szCs w:val="20"/>
                <w:b w:val="1"/>
                <w:bCs w:val="1"/>
                <w:color w:val="auto"/>
                <w:w w:val="99"/>
              </w:rPr>
              <w:t>Three Months</w:t>
            </w:r>
          </w:p>
        </w:tc>
        <w:tc>
          <w:tcPr>
            <w:tcW w:w="2160" w:type="dxa"/>
            <w:vAlign w:val="bottom"/>
            <w:gridSpan w:val="2"/>
          </w:tcPr>
          <w:p>
            <w:pPr>
              <w:jc w:val="center"/>
              <w:ind w:left="81"/>
              <w:spacing w:after="0"/>
              <w:rPr>
                <w:sz w:val="20"/>
                <w:szCs w:val="20"/>
                <w:color w:val="auto"/>
              </w:rPr>
            </w:pPr>
            <w:r>
              <w:rPr>
                <w:rFonts w:ascii="Arial" w:cs="Arial" w:eastAsia="Arial" w:hAnsi="Arial"/>
                <w:sz w:val="20"/>
                <w:szCs w:val="20"/>
                <w:b w:val="1"/>
                <w:bCs w:val="1"/>
                <w:color w:val="auto"/>
                <w:w w:val="99"/>
              </w:rPr>
              <w:t>Three Months</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gridSpan w:val="2"/>
          </w:tcPr>
          <w:p>
            <w:pPr>
              <w:jc w:val="center"/>
              <w:ind w:right="1"/>
              <w:spacing w:after="0"/>
              <w:rPr>
                <w:sz w:val="20"/>
                <w:szCs w:val="20"/>
                <w:color w:val="auto"/>
              </w:rPr>
            </w:pPr>
            <w:r>
              <w:rPr>
                <w:rFonts w:ascii="Arial" w:cs="Arial" w:eastAsia="Arial" w:hAnsi="Arial"/>
                <w:sz w:val="20"/>
                <w:szCs w:val="20"/>
                <w:b w:val="1"/>
                <w:bCs w:val="1"/>
                <w:color w:val="auto"/>
                <w:w w:val="99"/>
              </w:rPr>
              <w:t>Ended March 31,</w:t>
            </w:r>
          </w:p>
        </w:tc>
        <w:tc>
          <w:tcPr>
            <w:tcW w:w="216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20"/>
                <w:szCs w:val="20"/>
                <w:b w:val="1"/>
                <w:bCs w:val="1"/>
                <w:color w:val="auto"/>
                <w:w w:val="99"/>
              </w:rPr>
              <w:t>Ended March 31,</w:t>
            </w:r>
          </w:p>
        </w:tc>
        <w:tc>
          <w:tcPr>
            <w:tcW w:w="0" w:type="dxa"/>
            <w:vAlign w:val="bottom"/>
          </w:tcPr>
          <w:p>
            <w:pPr>
              <w:spacing w:after="0"/>
              <w:rPr>
                <w:sz w:val="1"/>
                <w:szCs w:val="1"/>
                <w:color w:val="auto"/>
              </w:rPr>
            </w:pPr>
          </w:p>
        </w:tc>
      </w:tr>
      <w:tr>
        <w:trPr>
          <w:trHeight w:val="273"/>
        </w:trPr>
        <w:tc>
          <w:tcPr>
            <w:tcW w:w="6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tcBorders>
              <w:right w:val="single" w:sz="8" w:color="auto"/>
            </w:tcBorders>
          </w:tcPr>
          <w:p>
            <w:pPr>
              <w:jc w:val="center"/>
              <w:ind w:right="701"/>
              <w:spacing w:after="0"/>
              <w:rPr>
                <w:sz w:val="20"/>
                <w:szCs w:val="20"/>
                <w:color w:val="auto"/>
              </w:rPr>
            </w:pPr>
            <w:r>
              <w:rPr>
                <w:rFonts w:ascii="Arial" w:cs="Arial" w:eastAsia="Arial" w:hAnsi="Arial"/>
                <w:sz w:val="20"/>
                <w:szCs w:val="20"/>
                <w:b w:val="1"/>
                <w:bCs w:val="1"/>
                <w:color w:val="auto"/>
                <w:w w:val="98"/>
              </w:rPr>
              <w:t>2026</w:t>
            </w:r>
          </w:p>
        </w:tc>
        <w:tc>
          <w:tcPr>
            <w:tcW w:w="860" w:type="dxa"/>
            <w:vAlign w:val="bottom"/>
          </w:tcPr>
          <w:p>
            <w:pPr>
              <w:spacing w:after="0"/>
              <w:rPr>
                <w:sz w:val="23"/>
                <w:szCs w:val="23"/>
                <w:color w:val="auto"/>
              </w:rPr>
            </w:pPr>
          </w:p>
        </w:tc>
        <w:tc>
          <w:tcPr>
            <w:tcW w:w="1300" w:type="dxa"/>
            <w:vAlign w:val="bottom"/>
          </w:tcPr>
          <w:p>
            <w:pPr>
              <w:jc w:val="center"/>
              <w:ind w:right="56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20"/>
              <w:spacing w:after="0"/>
              <w:rPr>
                <w:sz w:val="20"/>
                <w:szCs w:val="20"/>
                <w:color w:val="auto"/>
              </w:rPr>
            </w:pPr>
            <w:r>
              <w:rPr>
                <w:rFonts w:ascii="Arial" w:cs="Arial" w:eastAsia="Arial" w:hAnsi="Arial"/>
                <w:sz w:val="20"/>
                <w:szCs w:val="20"/>
                <w:b w:val="1"/>
                <w:bCs w:val="1"/>
                <w:color w:val="auto"/>
              </w:rPr>
              <w:t>Operating Activities:</w:t>
            </w:r>
          </w:p>
        </w:tc>
        <w:tc>
          <w:tcPr>
            <w:tcW w:w="680" w:type="dxa"/>
            <w:vAlign w:val="bottom"/>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400" w:type="dxa"/>
            <w:vAlign w:val="bottom"/>
          </w:tcPr>
          <w:p>
            <w:pPr>
              <w:ind w:left="20"/>
              <w:spacing w:after="0"/>
              <w:rPr>
                <w:sz w:val="20"/>
                <w:szCs w:val="20"/>
                <w:color w:val="auto"/>
              </w:rPr>
            </w:pPr>
            <w:r>
              <w:rPr>
                <w:rFonts w:ascii="Arial" w:cs="Arial" w:eastAsia="Arial" w:hAnsi="Arial"/>
                <w:sz w:val="20"/>
                <w:szCs w:val="20"/>
                <w:color w:val="auto"/>
              </w:rPr>
              <w:t>Net earnings (Parent and noncontrolling interests)</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175</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79"/>
        </w:trPr>
        <w:tc>
          <w:tcPr>
            <w:tcW w:w="6400" w:type="dxa"/>
            <w:vAlign w:val="bottom"/>
          </w:tcPr>
          <w:p>
            <w:pPr>
              <w:ind w:left="20"/>
              <w:spacing w:after="0"/>
              <w:rPr>
                <w:sz w:val="20"/>
                <w:szCs w:val="20"/>
                <w:color w:val="auto"/>
              </w:rPr>
            </w:pPr>
            <w:r>
              <w:rPr>
                <w:rFonts w:ascii="Arial" w:cs="Arial" w:eastAsia="Arial" w:hAnsi="Arial"/>
                <w:sz w:val="20"/>
                <w:szCs w:val="20"/>
                <w:color w:val="auto"/>
              </w:rPr>
              <w:t>Adjustments to reconcile net earnings to net cash flow</w:t>
            </w:r>
          </w:p>
        </w:tc>
        <w:tc>
          <w:tcPr>
            <w:tcW w:w="68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400" w:type="dxa"/>
            <w:vAlign w:val="bottom"/>
          </w:tcPr>
          <w:p>
            <w:pPr>
              <w:ind w:left="300"/>
              <w:spacing w:after="0"/>
              <w:rPr>
                <w:sz w:val="20"/>
                <w:szCs w:val="20"/>
                <w:color w:val="auto"/>
              </w:rPr>
            </w:pPr>
            <w:r>
              <w:rPr>
                <w:rFonts w:ascii="Arial" w:cs="Arial" w:eastAsia="Arial" w:hAnsi="Arial"/>
                <w:sz w:val="20"/>
                <w:szCs w:val="20"/>
                <w:color w:val="auto"/>
              </w:rPr>
              <w:t>provided by operating activities:</w:t>
            </w:r>
          </w:p>
        </w:tc>
        <w:tc>
          <w:tcPr>
            <w:tcW w:w="68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400" w:type="dxa"/>
            <w:vAlign w:val="bottom"/>
          </w:tcPr>
          <w:p>
            <w:pPr>
              <w:ind w:left="140"/>
              <w:spacing w:after="0"/>
              <w:rPr>
                <w:sz w:val="20"/>
                <w:szCs w:val="20"/>
                <w:color w:val="auto"/>
              </w:rPr>
            </w:pPr>
            <w:r>
              <w:rPr>
                <w:rFonts w:ascii="Arial" w:cs="Arial" w:eastAsia="Arial" w:hAnsi="Arial"/>
                <w:sz w:val="20"/>
                <w:szCs w:val="20"/>
                <w:color w:val="auto"/>
              </w:rPr>
              <w:t>Depreciation and amortization</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362</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Deferred tax provision</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37</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Stock-based compensation</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80</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Gain on dispositions</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860" w:type="dxa"/>
            <w:vAlign w:val="bottom"/>
          </w:tcPr>
          <w:p>
            <w:pPr>
              <w:spacing w:after="0"/>
              <w:rPr>
                <w:sz w:val="24"/>
                <w:szCs w:val="24"/>
                <w:color w:val="auto"/>
              </w:rPr>
            </w:pPr>
          </w:p>
        </w:tc>
        <w:tc>
          <w:tcPr>
            <w:tcW w:w="1300" w:type="dxa"/>
            <w:vAlign w:val="bottom"/>
          </w:tcPr>
          <w:p>
            <w:pPr>
              <w:jc w:val="right"/>
              <w:ind w:right="401"/>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79"/>
        </w:trPr>
        <w:tc>
          <w:tcPr>
            <w:tcW w:w="6400" w:type="dxa"/>
            <w:vAlign w:val="bottom"/>
          </w:tcPr>
          <w:p>
            <w:pPr>
              <w:ind w:left="140"/>
              <w:spacing w:after="0"/>
              <w:rPr>
                <w:sz w:val="20"/>
                <w:szCs w:val="20"/>
                <w:color w:val="auto"/>
              </w:rPr>
            </w:pPr>
            <w:r>
              <w:rPr>
                <w:rFonts w:ascii="Arial" w:cs="Arial" w:eastAsia="Arial" w:hAnsi="Arial"/>
                <w:sz w:val="20"/>
                <w:szCs w:val="20"/>
                <w:color w:val="auto"/>
              </w:rPr>
              <w:t>Equity in loss of investee companies, net of tax and</w:t>
            </w:r>
          </w:p>
        </w:tc>
        <w:tc>
          <w:tcPr>
            <w:tcW w:w="680" w:type="dxa"/>
            <w:vAlign w:val="bottom"/>
          </w:tcPr>
          <w:p>
            <w:pPr>
              <w:spacing w:after="0"/>
              <w:rPr>
                <w:sz w:val="24"/>
                <w:szCs w:val="24"/>
                <w:color w:val="auto"/>
              </w:rPr>
            </w:pPr>
          </w:p>
        </w:tc>
        <w:tc>
          <w:tcPr>
            <w:tcW w:w="1400" w:type="dxa"/>
            <w:vAlign w:val="bottom"/>
            <w:tcBorders>
              <w:right w:val="single" w:sz="8" w:color="auto"/>
            </w:tcBorders>
            <w:vMerge w:val="restart"/>
          </w:tcPr>
          <w:p>
            <w:pPr>
              <w:jc w:val="right"/>
              <w:ind w:right="541"/>
              <w:spacing w:after="0"/>
              <w:rPr>
                <w:sz w:val="20"/>
                <w:szCs w:val="20"/>
                <w:color w:val="auto"/>
              </w:rPr>
            </w:pPr>
            <w:r>
              <w:rPr>
                <w:rFonts w:ascii="Arial" w:cs="Arial" w:eastAsia="Arial" w:hAnsi="Arial"/>
                <w:sz w:val="20"/>
                <w:szCs w:val="20"/>
                <w:color w:val="auto"/>
              </w:rPr>
              <w:t>64</w:t>
            </w:r>
          </w:p>
        </w:tc>
        <w:tc>
          <w:tcPr>
            <w:tcW w:w="860" w:type="dxa"/>
            <w:vAlign w:val="bottom"/>
          </w:tcPr>
          <w:p>
            <w:pPr>
              <w:spacing w:after="0"/>
              <w:rPr>
                <w:sz w:val="24"/>
                <w:szCs w:val="24"/>
                <w:color w:val="auto"/>
              </w:rPr>
            </w:pPr>
          </w:p>
        </w:tc>
        <w:tc>
          <w:tcPr>
            <w:tcW w:w="1300" w:type="dxa"/>
            <w:vAlign w:val="bottom"/>
            <w:vMerge w:val="restart"/>
          </w:tcPr>
          <w:p>
            <w:pPr>
              <w:jc w:val="right"/>
              <w:ind w:right="461"/>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61"/>
        </w:trPr>
        <w:tc>
          <w:tcPr>
            <w:tcW w:w="6400" w:type="dxa"/>
            <w:vAlign w:val="bottom"/>
          </w:tcPr>
          <w:p>
            <w:pPr>
              <w:ind w:left="300"/>
              <w:spacing w:after="0"/>
              <w:rPr>
                <w:sz w:val="20"/>
                <w:szCs w:val="20"/>
                <w:color w:val="auto"/>
              </w:rPr>
            </w:pPr>
            <w:r>
              <w:rPr>
                <w:rFonts w:ascii="Arial" w:cs="Arial" w:eastAsia="Arial" w:hAnsi="Arial"/>
                <w:sz w:val="20"/>
                <w:szCs w:val="20"/>
                <w:color w:val="auto"/>
              </w:rPr>
              <w:t>distributions</w:t>
            </w:r>
          </w:p>
        </w:tc>
        <w:tc>
          <w:tcPr>
            <w:tcW w:w="680" w:type="dxa"/>
            <w:vAlign w:val="bottom"/>
          </w:tcPr>
          <w:p>
            <w:pPr>
              <w:spacing w:after="0"/>
              <w:rPr>
                <w:sz w:val="22"/>
                <w:szCs w:val="22"/>
                <w:color w:val="auto"/>
              </w:rPr>
            </w:pPr>
          </w:p>
        </w:tc>
        <w:tc>
          <w:tcPr>
            <w:tcW w:w="1400" w:type="dxa"/>
            <w:vAlign w:val="bottom"/>
            <w:tcBorders>
              <w:right w:val="single" w:sz="8" w:color="auto"/>
            </w:tcBorders>
            <w:vMerge w:val="continue"/>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400" w:type="dxa"/>
            <w:vAlign w:val="bottom"/>
          </w:tcPr>
          <w:p>
            <w:pPr>
              <w:ind w:left="140"/>
              <w:spacing w:after="0"/>
              <w:rPr>
                <w:sz w:val="20"/>
                <w:szCs w:val="20"/>
                <w:color w:val="auto"/>
              </w:rPr>
            </w:pPr>
            <w:r>
              <w:rPr>
                <w:rFonts w:ascii="Arial" w:cs="Arial" w:eastAsia="Arial" w:hAnsi="Arial"/>
                <w:sz w:val="20"/>
                <w:szCs w:val="20"/>
                <w:color w:val="auto"/>
              </w:rPr>
              <w:t>Change in assets and liabilities</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(533)</w:t>
            </w:r>
          </w:p>
        </w:tc>
        <w:tc>
          <w:tcPr>
            <w:tcW w:w="860" w:type="dxa"/>
            <w:vAlign w:val="bottom"/>
          </w:tcPr>
          <w:p>
            <w:pPr>
              <w:spacing w:after="0"/>
              <w:rPr>
                <w:sz w:val="24"/>
                <w:szCs w:val="24"/>
                <w:color w:val="auto"/>
              </w:rPr>
            </w:pPr>
          </w:p>
        </w:tc>
        <w:tc>
          <w:tcPr>
            <w:tcW w:w="1300" w:type="dxa"/>
            <w:vAlign w:val="bottom"/>
          </w:tcPr>
          <w:p>
            <w:pPr>
              <w:jc w:val="right"/>
              <w:ind w:right="401"/>
              <w:spacing w:after="0"/>
              <w:rPr>
                <w:sz w:val="20"/>
                <w:szCs w:val="20"/>
                <w:color w:val="auto"/>
              </w:rPr>
            </w:pPr>
            <w:r>
              <w:rPr>
                <w:rFonts w:ascii="Arial" w:cs="Arial" w:eastAsia="Arial" w:hAnsi="Arial"/>
                <w:sz w:val="20"/>
                <w:szCs w:val="20"/>
                <w:color w:val="auto"/>
              </w:rPr>
              <w:t>(196)</w:t>
            </w:r>
          </w:p>
        </w:tc>
        <w:tc>
          <w:tcPr>
            <w:tcW w:w="0" w:type="dxa"/>
            <w:vAlign w:val="bottom"/>
          </w:tcPr>
          <w:p>
            <w:pPr>
              <w:spacing w:after="0"/>
              <w:rPr>
                <w:sz w:val="1"/>
                <w:szCs w:val="1"/>
                <w:color w:val="auto"/>
              </w:rPr>
            </w:pPr>
          </w:p>
        </w:tc>
      </w:tr>
      <w:tr>
        <w:trPr>
          <w:trHeight w:val="31"/>
        </w:trPr>
        <w:tc>
          <w:tcPr>
            <w:tcW w:w="6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00" w:type="dxa"/>
            <w:vAlign w:val="bottom"/>
          </w:tcPr>
          <w:p>
            <w:pPr>
              <w:ind w:left="20"/>
              <w:spacing w:after="0"/>
              <w:rPr>
                <w:sz w:val="20"/>
                <w:szCs w:val="20"/>
                <w:color w:val="auto"/>
              </w:rPr>
            </w:pPr>
            <w:r>
              <w:rPr>
                <w:rFonts w:ascii="Arial" w:cs="Arial" w:eastAsia="Arial" w:hAnsi="Arial"/>
                <w:sz w:val="20"/>
                <w:szCs w:val="20"/>
                <w:color w:val="auto"/>
              </w:rPr>
              <w:t>Net cash flow provided by operating activities</w:t>
            </w:r>
          </w:p>
        </w:tc>
        <w:tc>
          <w:tcPr>
            <w:tcW w:w="680" w:type="dxa"/>
            <w:vAlign w:val="bottom"/>
          </w:tcPr>
          <w:p>
            <w:pPr>
              <w:spacing w:after="0"/>
              <w:rPr>
                <w:sz w:val="22"/>
                <w:szCs w:val="22"/>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185</w:t>
            </w:r>
          </w:p>
        </w:tc>
        <w:tc>
          <w:tcPr>
            <w:tcW w:w="860" w:type="dxa"/>
            <w:vAlign w:val="bottom"/>
          </w:tcPr>
          <w:p>
            <w:pPr>
              <w:spacing w:after="0"/>
              <w:rPr>
                <w:sz w:val="22"/>
                <w:szCs w:val="22"/>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180</w:t>
            </w:r>
          </w:p>
        </w:tc>
        <w:tc>
          <w:tcPr>
            <w:tcW w:w="0" w:type="dxa"/>
            <w:vAlign w:val="bottom"/>
          </w:tcPr>
          <w:p>
            <w:pPr>
              <w:spacing w:after="0"/>
              <w:rPr>
                <w:sz w:val="1"/>
                <w:szCs w:val="1"/>
                <w:color w:val="auto"/>
              </w:rPr>
            </w:pPr>
          </w:p>
        </w:tc>
      </w:tr>
      <w:tr>
        <w:trPr>
          <w:trHeight w:val="30"/>
        </w:trPr>
        <w:tc>
          <w:tcPr>
            <w:tcW w:w="6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20"/>
              <w:spacing w:after="0"/>
              <w:rPr>
                <w:sz w:val="20"/>
                <w:szCs w:val="20"/>
                <w:color w:val="auto"/>
              </w:rPr>
            </w:pPr>
            <w:r>
              <w:rPr>
                <w:rFonts w:ascii="Arial" w:cs="Arial" w:eastAsia="Arial" w:hAnsi="Arial"/>
                <w:sz w:val="20"/>
                <w:szCs w:val="20"/>
                <w:b w:val="1"/>
                <w:bCs w:val="1"/>
                <w:color w:val="auto"/>
              </w:rPr>
              <w:t>Investing Activities:</w:t>
            </w:r>
          </w:p>
        </w:tc>
        <w:tc>
          <w:tcPr>
            <w:tcW w:w="680" w:type="dxa"/>
            <w:vAlign w:val="bottom"/>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400" w:type="dxa"/>
            <w:vAlign w:val="bottom"/>
          </w:tcPr>
          <w:p>
            <w:pPr>
              <w:ind w:left="140"/>
              <w:spacing w:after="0"/>
              <w:rPr>
                <w:sz w:val="20"/>
                <w:szCs w:val="20"/>
                <w:color w:val="auto"/>
              </w:rPr>
            </w:pPr>
            <w:r>
              <w:rPr>
                <w:rFonts w:ascii="Arial" w:cs="Arial" w:eastAsia="Arial" w:hAnsi="Arial"/>
                <w:sz w:val="20"/>
                <w:szCs w:val="20"/>
                <w:color w:val="auto"/>
              </w:rPr>
              <w:t>Investments</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(92)</w:t>
            </w:r>
          </w:p>
        </w:tc>
        <w:tc>
          <w:tcPr>
            <w:tcW w:w="860" w:type="dxa"/>
            <w:vAlign w:val="bottom"/>
          </w:tcPr>
          <w:p>
            <w:pPr>
              <w:spacing w:after="0"/>
              <w:rPr>
                <w:sz w:val="24"/>
                <w:szCs w:val="24"/>
                <w:color w:val="auto"/>
              </w:rPr>
            </w:pPr>
          </w:p>
        </w:tc>
        <w:tc>
          <w:tcPr>
            <w:tcW w:w="1300" w:type="dxa"/>
            <w:vAlign w:val="bottom"/>
          </w:tcPr>
          <w:p>
            <w:pPr>
              <w:jc w:val="right"/>
              <w:ind w:right="401"/>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Capital expenditures</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(89)</w:t>
            </w:r>
          </w:p>
        </w:tc>
        <w:tc>
          <w:tcPr>
            <w:tcW w:w="860" w:type="dxa"/>
            <w:vAlign w:val="bottom"/>
          </w:tcPr>
          <w:p>
            <w:pPr>
              <w:spacing w:after="0"/>
              <w:rPr>
                <w:sz w:val="24"/>
                <w:szCs w:val="24"/>
                <w:color w:val="auto"/>
              </w:rPr>
            </w:pPr>
          </w:p>
        </w:tc>
        <w:tc>
          <w:tcPr>
            <w:tcW w:w="1300" w:type="dxa"/>
            <w:vAlign w:val="bottom"/>
          </w:tcPr>
          <w:p>
            <w:pPr>
              <w:jc w:val="right"/>
              <w:ind w:right="401"/>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Advance consideration for WBD acquisition</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(2,800)</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Proceeds from dispositions</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11</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Other investing activities</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(6)</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6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00" w:type="dxa"/>
            <w:vAlign w:val="bottom"/>
          </w:tcPr>
          <w:p>
            <w:pPr>
              <w:ind w:left="20"/>
              <w:spacing w:after="0"/>
              <w:rPr>
                <w:sz w:val="20"/>
                <w:szCs w:val="20"/>
                <w:color w:val="auto"/>
              </w:rPr>
            </w:pPr>
            <w:r>
              <w:rPr>
                <w:rFonts w:ascii="Arial" w:cs="Arial" w:eastAsia="Arial" w:hAnsi="Arial"/>
                <w:sz w:val="20"/>
                <w:szCs w:val="20"/>
                <w:color w:val="auto"/>
              </w:rPr>
              <w:t>Net cash flow used for investing activities</w:t>
            </w:r>
          </w:p>
        </w:tc>
        <w:tc>
          <w:tcPr>
            <w:tcW w:w="680" w:type="dxa"/>
            <w:vAlign w:val="bottom"/>
          </w:tcPr>
          <w:p>
            <w:pPr>
              <w:spacing w:after="0"/>
              <w:rPr>
                <w:sz w:val="22"/>
                <w:szCs w:val="22"/>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(2,976)</w:t>
            </w:r>
          </w:p>
        </w:tc>
        <w:tc>
          <w:tcPr>
            <w:tcW w:w="860" w:type="dxa"/>
            <w:vAlign w:val="bottom"/>
          </w:tcPr>
          <w:p>
            <w:pPr>
              <w:spacing w:after="0"/>
              <w:rPr>
                <w:sz w:val="22"/>
                <w:szCs w:val="22"/>
                <w:color w:val="auto"/>
              </w:rPr>
            </w:pPr>
          </w:p>
        </w:tc>
        <w:tc>
          <w:tcPr>
            <w:tcW w:w="1300" w:type="dxa"/>
            <w:vAlign w:val="bottom"/>
          </w:tcPr>
          <w:p>
            <w:pPr>
              <w:jc w:val="right"/>
              <w:ind w:right="401"/>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30"/>
        </w:trPr>
        <w:tc>
          <w:tcPr>
            <w:tcW w:w="6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20"/>
              <w:spacing w:after="0"/>
              <w:rPr>
                <w:sz w:val="20"/>
                <w:szCs w:val="20"/>
                <w:color w:val="auto"/>
              </w:rPr>
            </w:pPr>
            <w:r>
              <w:rPr>
                <w:rFonts w:ascii="Arial" w:cs="Arial" w:eastAsia="Arial" w:hAnsi="Arial"/>
                <w:sz w:val="20"/>
                <w:szCs w:val="20"/>
                <w:b w:val="1"/>
                <w:bCs w:val="1"/>
                <w:color w:val="auto"/>
              </w:rPr>
              <w:t>Financing Activities:</w:t>
            </w:r>
          </w:p>
        </w:tc>
        <w:tc>
          <w:tcPr>
            <w:tcW w:w="680" w:type="dxa"/>
            <w:vAlign w:val="bottom"/>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400" w:type="dxa"/>
            <w:vAlign w:val="bottom"/>
          </w:tcPr>
          <w:p>
            <w:pPr>
              <w:ind w:left="140"/>
              <w:spacing w:after="0"/>
              <w:rPr>
                <w:sz w:val="20"/>
                <w:szCs w:val="20"/>
                <w:color w:val="auto"/>
              </w:rPr>
            </w:pPr>
            <w:r>
              <w:rPr>
                <w:rFonts w:ascii="Arial" w:cs="Arial" w:eastAsia="Arial" w:hAnsi="Arial"/>
                <w:sz w:val="20"/>
                <w:szCs w:val="20"/>
                <w:color w:val="auto"/>
              </w:rPr>
              <w:t>Borrowings under credit facility</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2,150</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Repayment of debt</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(347)</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Dividends paid on common stock</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(61)</w:t>
            </w:r>
          </w:p>
        </w:tc>
        <w:tc>
          <w:tcPr>
            <w:tcW w:w="860" w:type="dxa"/>
            <w:vAlign w:val="bottom"/>
          </w:tcPr>
          <w:p>
            <w:pPr>
              <w:spacing w:after="0"/>
              <w:rPr>
                <w:sz w:val="24"/>
                <w:szCs w:val="24"/>
                <w:color w:val="auto"/>
              </w:rPr>
            </w:pPr>
          </w:p>
        </w:tc>
        <w:tc>
          <w:tcPr>
            <w:tcW w:w="1300" w:type="dxa"/>
            <w:vAlign w:val="bottom"/>
          </w:tcPr>
          <w:p>
            <w:pPr>
              <w:jc w:val="right"/>
              <w:ind w:right="401"/>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79"/>
        </w:trPr>
        <w:tc>
          <w:tcPr>
            <w:tcW w:w="6400" w:type="dxa"/>
            <w:vAlign w:val="bottom"/>
          </w:tcPr>
          <w:p>
            <w:pPr>
              <w:ind w:left="140"/>
              <w:spacing w:after="0"/>
              <w:rPr>
                <w:sz w:val="20"/>
                <w:szCs w:val="20"/>
                <w:color w:val="auto"/>
              </w:rPr>
            </w:pPr>
            <w:r>
              <w:rPr>
                <w:rFonts w:ascii="Arial" w:cs="Arial" w:eastAsia="Arial" w:hAnsi="Arial"/>
                <w:sz w:val="20"/>
                <w:szCs w:val="20"/>
                <w:color w:val="auto"/>
              </w:rPr>
              <w:t>Payment of payroll taxes in lieu of issuing shares for</w:t>
            </w:r>
          </w:p>
        </w:tc>
        <w:tc>
          <w:tcPr>
            <w:tcW w:w="680" w:type="dxa"/>
            <w:vAlign w:val="bottom"/>
          </w:tcPr>
          <w:p>
            <w:pPr>
              <w:spacing w:after="0"/>
              <w:rPr>
                <w:sz w:val="24"/>
                <w:szCs w:val="24"/>
                <w:color w:val="auto"/>
              </w:rPr>
            </w:pPr>
          </w:p>
        </w:tc>
        <w:tc>
          <w:tcPr>
            <w:tcW w:w="1400" w:type="dxa"/>
            <w:vAlign w:val="bottom"/>
            <w:tcBorders>
              <w:right w:val="single" w:sz="8" w:color="auto"/>
            </w:tcBorders>
            <w:vMerge w:val="restart"/>
          </w:tcPr>
          <w:p>
            <w:pPr>
              <w:jc w:val="right"/>
              <w:ind w:right="501"/>
              <w:spacing w:after="0"/>
              <w:rPr>
                <w:sz w:val="20"/>
                <w:szCs w:val="20"/>
                <w:color w:val="auto"/>
              </w:rPr>
            </w:pPr>
            <w:r>
              <w:rPr>
                <w:rFonts w:ascii="Arial" w:cs="Arial" w:eastAsia="Arial" w:hAnsi="Arial"/>
                <w:sz w:val="20"/>
                <w:szCs w:val="20"/>
                <w:color w:val="auto"/>
              </w:rPr>
              <w:t>(74)</w:t>
            </w:r>
          </w:p>
        </w:tc>
        <w:tc>
          <w:tcPr>
            <w:tcW w:w="860" w:type="dxa"/>
            <w:vAlign w:val="bottom"/>
          </w:tcPr>
          <w:p>
            <w:pPr>
              <w:spacing w:after="0"/>
              <w:rPr>
                <w:sz w:val="24"/>
                <w:szCs w:val="24"/>
                <w:color w:val="auto"/>
              </w:rPr>
            </w:pPr>
          </w:p>
        </w:tc>
        <w:tc>
          <w:tcPr>
            <w:tcW w:w="1300" w:type="dxa"/>
            <w:vAlign w:val="bottom"/>
            <w:vMerge w:val="restart"/>
          </w:tcPr>
          <w:p>
            <w:pPr>
              <w:jc w:val="right"/>
              <w:ind w:right="401"/>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61"/>
        </w:trPr>
        <w:tc>
          <w:tcPr>
            <w:tcW w:w="6400" w:type="dxa"/>
            <w:vAlign w:val="bottom"/>
          </w:tcPr>
          <w:p>
            <w:pPr>
              <w:ind w:left="300"/>
              <w:spacing w:after="0"/>
              <w:rPr>
                <w:sz w:val="20"/>
                <w:szCs w:val="20"/>
                <w:color w:val="auto"/>
              </w:rPr>
            </w:pPr>
            <w:r>
              <w:rPr>
                <w:rFonts w:ascii="Arial" w:cs="Arial" w:eastAsia="Arial" w:hAnsi="Arial"/>
                <w:sz w:val="20"/>
                <w:szCs w:val="20"/>
                <w:color w:val="auto"/>
              </w:rPr>
              <w:t>stock-based compensation</w:t>
            </w:r>
          </w:p>
        </w:tc>
        <w:tc>
          <w:tcPr>
            <w:tcW w:w="680" w:type="dxa"/>
            <w:vAlign w:val="bottom"/>
          </w:tcPr>
          <w:p>
            <w:pPr>
              <w:spacing w:after="0"/>
              <w:rPr>
                <w:sz w:val="22"/>
                <w:szCs w:val="22"/>
                <w:color w:val="auto"/>
              </w:rPr>
            </w:pPr>
          </w:p>
        </w:tc>
        <w:tc>
          <w:tcPr>
            <w:tcW w:w="1400" w:type="dxa"/>
            <w:vAlign w:val="bottom"/>
            <w:tcBorders>
              <w:right w:val="single" w:sz="8" w:color="auto"/>
            </w:tcBorders>
            <w:vMerge w:val="continue"/>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400" w:type="dxa"/>
            <w:vAlign w:val="bottom"/>
          </w:tcPr>
          <w:p>
            <w:pPr>
              <w:ind w:left="140"/>
              <w:spacing w:after="0"/>
              <w:rPr>
                <w:sz w:val="20"/>
                <w:szCs w:val="20"/>
                <w:color w:val="auto"/>
              </w:rPr>
            </w:pPr>
            <w:r>
              <w:rPr>
                <w:rFonts w:ascii="Arial" w:cs="Arial" w:eastAsia="Arial" w:hAnsi="Arial"/>
                <w:sz w:val="20"/>
                <w:szCs w:val="20"/>
                <w:color w:val="auto"/>
              </w:rPr>
              <w:t>Payments to noncontrolling interests</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(183)</w:t>
            </w:r>
          </w:p>
        </w:tc>
        <w:tc>
          <w:tcPr>
            <w:tcW w:w="860" w:type="dxa"/>
            <w:vAlign w:val="bottom"/>
          </w:tcPr>
          <w:p>
            <w:pPr>
              <w:spacing w:after="0"/>
              <w:rPr>
                <w:sz w:val="24"/>
                <w:szCs w:val="24"/>
                <w:color w:val="auto"/>
              </w:rPr>
            </w:pPr>
          </w:p>
        </w:tc>
        <w:tc>
          <w:tcPr>
            <w:tcW w:w="1300" w:type="dxa"/>
            <w:vAlign w:val="bottom"/>
          </w:tcPr>
          <w:p>
            <w:pPr>
              <w:jc w:val="right"/>
              <w:ind w:right="401"/>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97"/>
        </w:trPr>
        <w:tc>
          <w:tcPr>
            <w:tcW w:w="6400" w:type="dxa"/>
            <w:vAlign w:val="bottom"/>
          </w:tcPr>
          <w:p>
            <w:pPr>
              <w:ind w:left="140"/>
              <w:spacing w:after="0"/>
              <w:rPr>
                <w:sz w:val="20"/>
                <w:szCs w:val="20"/>
                <w:color w:val="auto"/>
              </w:rPr>
            </w:pPr>
            <w:r>
              <w:rPr>
                <w:rFonts w:ascii="Arial" w:cs="Arial" w:eastAsia="Arial" w:hAnsi="Arial"/>
                <w:sz w:val="20"/>
                <w:szCs w:val="20"/>
                <w:color w:val="auto"/>
              </w:rPr>
              <w:t>Other financing activities</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(1)</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6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00" w:type="dxa"/>
            <w:vAlign w:val="bottom"/>
          </w:tcPr>
          <w:p>
            <w:pPr>
              <w:ind w:left="20"/>
              <w:spacing w:after="0"/>
              <w:rPr>
                <w:sz w:val="20"/>
                <w:szCs w:val="20"/>
                <w:color w:val="auto"/>
              </w:rPr>
            </w:pPr>
            <w:r>
              <w:rPr>
                <w:rFonts w:ascii="Arial" w:cs="Arial" w:eastAsia="Arial" w:hAnsi="Arial"/>
                <w:sz w:val="20"/>
                <w:szCs w:val="20"/>
                <w:color w:val="auto"/>
              </w:rPr>
              <w:t>Net cash flow provided by (used for) financing activities</w:t>
            </w:r>
          </w:p>
        </w:tc>
        <w:tc>
          <w:tcPr>
            <w:tcW w:w="680" w:type="dxa"/>
            <w:vAlign w:val="bottom"/>
          </w:tcPr>
          <w:p>
            <w:pPr>
              <w:spacing w:after="0"/>
              <w:rPr>
                <w:sz w:val="22"/>
                <w:szCs w:val="22"/>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1,484</w:t>
            </w:r>
          </w:p>
        </w:tc>
        <w:tc>
          <w:tcPr>
            <w:tcW w:w="860" w:type="dxa"/>
            <w:vAlign w:val="bottom"/>
          </w:tcPr>
          <w:p>
            <w:pPr>
              <w:spacing w:after="0"/>
              <w:rPr>
                <w:sz w:val="22"/>
                <w:szCs w:val="22"/>
                <w:color w:val="auto"/>
              </w:rPr>
            </w:pPr>
          </w:p>
        </w:tc>
        <w:tc>
          <w:tcPr>
            <w:tcW w:w="1300" w:type="dxa"/>
            <w:vAlign w:val="bottom"/>
          </w:tcPr>
          <w:p>
            <w:pPr>
              <w:jc w:val="right"/>
              <w:ind w:right="401"/>
              <w:spacing w:after="0"/>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r>
        <w:trPr>
          <w:trHeight w:val="30"/>
        </w:trPr>
        <w:tc>
          <w:tcPr>
            <w:tcW w:w="6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00" w:type="dxa"/>
            <w:vAlign w:val="bottom"/>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680" w:type="dxa"/>
            <w:vAlign w:val="bottom"/>
          </w:tcPr>
          <w:p>
            <w:pPr>
              <w:spacing w:after="0"/>
              <w:rPr>
                <w:sz w:val="22"/>
                <w:szCs w:val="22"/>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(26)</w:t>
            </w:r>
          </w:p>
        </w:tc>
        <w:tc>
          <w:tcPr>
            <w:tcW w:w="860" w:type="dxa"/>
            <w:vAlign w:val="bottom"/>
          </w:tcPr>
          <w:p>
            <w:pPr>
              <w:spacing w:after="0"/>
              <w:rPr>
                <w:sz w:val="22"/>
                <w:szCs w:val="22"/>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1"/>
        </w:trPr>
        <w:tc>
          <w:tcPr>
            <w:tcW w:w="6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00" w:type="dxa"/>
            <w:vAlign w:val="bottom"/>
          </w:tcPr>
          <w:p>
            <w:pPr>
              <w:ind w:left="20"/>
              <w:spacing w:after="0"/>
              <w:rPr>
                <w:sz w:val="20"/>
                <w:szCs w:val="20"/>
                <w:color w:val="auto"/>
              </w:rPr>
            </w:pPr>
            <w:r>
              <w:rPr>
                <w:rFonts w:ascii="Arial" w:cs="Arial" w:eastAsia="Arial" w:hAnsi="Arial"/>
                <w:sz w:val="20"/>
                <w:szCs w:val="20"/>
                <w:color w:val="auto"/>
              </w:rPr>
              <w:t>Net (decrease) increase in cash and cash equivalents</w:t>
            </w:r>
          </w:p>
        </w:tc>
        <w:tc>
          <w:tcPr>
            <w:tcW w:w="680" w:type="dxa"/>
            <w:vAlign w:val="bottom"/>
          </w:tcPr>
          <w:p>
            <w:pPr>
              <w:spacing w:after="0"/>
              <w:rPr>
                <w:sz w:val="22"/>
                <w:szCs w:val="22"/>
                <w:color w:val="auto"/>
              </w:rPr>
            </w:pPr>
          </w:p>
        </w:tc>
        <w:tc>
          <w:tcPr>
            <w:tcW w:w="14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(1,333)</w:t>
            </w:r>
          </w:p>
        </w:tc>
        <w:tc>
          <w:tcPr>
            <w:tcW w:w="860" w:type="dxa"/>
            <w:vAlign w:val="bottom"/>
          </w:tcPr>
          <w:p>
            <w:pPr>
              <w:spacing w:after="0"/>
              <w:rPr>
                <w:sz w:val="22"/>
                <w:szCs w:val="22"/>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97"/>
        </w:trPr>
        <w:tc>
          <w:tcPr>
            <w:tcW w:w="6400" w:type="dxa"/>
            <w:vAlign w:val="bottom"/>
          </w:tcPr>
          <w:p>
            <w:pPr>
              <w:ind w:left="20"/>
              <w:spacing w:after="0"/>
              <w:rPr>
                <w:sz w:val="20"/>
                <w:szCs w:val="20"/>
                <w:color w:val="auto"/>
              </w:rPr>
            </w:pPr>
            <w:r>
              <w:rPr>
                <w:rFonts w:ascii="Arial" w:cs="Arial" w:eastAsia="Arial" w:hAnsi="Arial"/>
                <w:sz w:val="20"/>
                <w:szCs w:val="20"/>
                <w:color w:val="auto"/>
              </w:rPr>
              <w:t>Cash and cash equivalents at beginning of year</w:t>
            </w:r>
          </w:p>
        </w:tc>
        <w:tc>
          <w:tcPr>
            <w:tcW w:w="680" w:type="dxa"/>
            <w:vAlign w:val="bottom"/>
          </w:tcPr>
          <w:p>
            <w:pPr>
              <w:spacing w:after="0"/>
              <w:rPr>
                <w:sz w:val="24"/>
                <w:szCs w:val="24"/>
                <w:color w:val="auto"/>
              </w:rPr>
            </w:pP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3,274</w:t>
            </w:r>
          </w:p>
        </w:tc>
        <w:tc>
          <w:tcPr>
            <w:tcW w:w="86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2,661</w:t>
            </w:r>
          </w:p>
        </w:tc>
        <w:tc>
          <w:tcPr>
            <w:tcW w:w="0" w:type="dxa"/>
            <w:vAlign w:val="bottom"/>
          </w:tcPr>
          <w:p>
            <w:pPr>
              <w:spacing w:after="0"/>
              <w:rPr>
                <w:sz w:val="1"/>
                <w:szCs w:val="1"/>
                <w:color w:val="auto"/>
              </w:rPr>
            </w:pPr>
          </w:p>
        </w:tc>
      </w:tr>
      <w:tr>
        <w:trPr>
          <w:trHeight w:val="31"/>
        </w:trPr>
        <w:tc>
          <w:tcPr>
            <w:tcW w:w="6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400" w:type="dxa"/>
            <w:vAlign w:val="bottom"/>
          </w:tcPr>
          <w:p>
            <w:pPr>
              <w:ind w:left="20"/>
              <w:spacing w:after="0"/>
              <w:rPr>
                <w:sz w:val="20"/>
                <w:szCs w:val="20"/>
                <w:color w:val="auto"/>
              </w:rPr>
            </w:pPr>
            <w:r>
              <w:rPr>
                <w:rFonts w:ascii="Arial" w:cs="Arial" w:eastAsia="Arial" w:hAnsi="Arial"/>
                <w:sz w:val="20"/>
                <w:szCs w:val="20"/>
                <w:color w:val="auto"/>
              </w:rPr>
              <w:t>Cash and cash equivalents at end of period</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tcPr>
          <w:p>
            <w:pPr>
              <w:jc w:val="right"/>
              <w:ind w:right="541"/>
              <w:spacing w:after="0"/>
              <w:rPr>
                <w:sz w:val="20"/>
                <w:szCs w:val="20"/>
                <w:color w:val="auto"/>
              </w:rPr>
            </w:pPr>
            <w:r>
              <w:rPr>
                <w:rFonts w:ascii="Arial" w:cs="Arial" w:eastAsia="Arial" w:hAnsi="Arial"/>
                <w:sz w:val="20"/>
                <w:szCs w:val="20"/>
                <w:color w:val="auto"/>
              </w:rPr>
              <w:t>1,941</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61"/>
              <w:spacing w:after="0"/>
              <w:rPr>
                <w:sz w:val="20"/>
                <w:szCs w:val="20"/>
                <w:color w:val="auto"/>
              </w:rPr>
            </w:pPr>
            <w:r>
              <w:rPr>
                <w:rFonts w:ascii="Arial" w:cs="Arial" w:eastAsia="Arial" w:hAnsi="Arial"/>
                <w:sz w:val="20"/>
                <w:szCs w:val="20"/>
                <w:color w:val="auto"/>
              </w:rPr>
              <w:t>2,673</w:t>
            </w:r>
          </w:p>
        </w:tc>
        <w:tc>
          <w:tcPr>
            <w:tcW w:w="0" w:type="dxa"/>
            <w:vAlign w:val="bottom"/>
          </w:tcPr>
          <w:p>
            <w:pPr>
              <w:spacing w:after="0"/>
              <w:rPr>
                <w:sz w:val="1"/>
                <w:szCs w:val="1"/>
                <w:color w:val="auto"/>
              </w:rPr>
            </w:pPr>
          </w:p>
        </w:tc>
      </w:tr>
      <w:tr>
        <w:trPr>
          <w:trHeight w:val="38"/>
        </w:trPr>
        <w:tc>
          <w:tcPr>
            <w:tcW w:w="6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6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7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40"/>
          </w:cols>
          <w:pgMar w:left="620" w:top="1097"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303"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In the first quarter of 2026 we transitioned our non-GAAP profitability measure from Adjusted operating income before depreciation and amortization (Adjusted OIBDA) to Adjusted EBITDA, which we define as net earnings (loss) attributable to parent before interest expense and income; (provision for) benefit from income taxes; other items; equity in earnings (loss) of investee companies, net of tax; and depreciation and amortization, adjusted to exclude stock-based compensation expense and certain items identified as affecting comparability that are not part of our normal operations. This change was made to align with how management began measuring the Company’s ongoing operating performance in 2026. While both adjusted measures exclude items identified as affecting comparability that are not part of our normal operations, including programming charges, impairment charges, restructuring charges, transaction-related items, other corporate matters, and gain (loss) on dispositions, each where applicable, Adjusted EBITDA, as we define it, also excludes stock-based compensation, which is a noncash expense that management does not consider to be part of our underlying operating performance. Net earnings (loss) attributable to parent is the most directly comparable financial measure in accordance with accounting principles generally accepted in the United States (“U.S. GAAP” or “GAAP”). Adjusted earnings before income taxes, adjusted provision for income taxes, adjusted net earnings attributable to parent, and adjusted diluted EPS are also measures of performance not calculated in accordance with U.S. GAAP (together with Adjusted EBITDA, the “adjusted measures”), and exclude certain items identified as affecting comparability that are not part of our normal operations, including the items described above, as well as gain (loss) from investments and discrete tax items, each where applicable.</w:t>
      </w:r>
    </w:p>
    <w:p>
      <w:pPr>
        <w:spacing w:after="0" w:line="170" w:lineRule="exact"/>
        <w:rPr>
          <w:sz w:val="20"/>
          <w:szCs w:val="20"/>
          <w:color w:val="auto"/>
        </w:rPr>
      </w:pPr>
    </w:p>
    <w:p>
      <w:pPr>
        <w:ind w:right="120"/>
        <w:spacing w:after="0" w:line="262" w:lineRule="auto"/>
        <w:rPr>
          <w:sz w:val="20"/>
          <w:szCs w:val="20"/>
          <w:color w:val="auto"/>
        </w:rPr>
      </w:pPr>
      <w:r>
        <w:rPr>
          <w:rFonts w:ascii="Arial" w:cs="Arial" w:eastAsia="Arial" w:hAnsi="Arial"/>
          <w:sz w:val="21"/>
          <w:szCs w:val="21"/>
          <w:color w:val="auto"/>
        </w:rPr>
        <w:t>We use these adjusted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EBITDA to, among other things, value prospective acquisitions. We believe these measures are relevant and useful for investors because they allow investors to view our performance in a manner consistent with the method used by our management; and because they exclude items that are not representative of our normal operations, they provide a clearer perspective on underlying performance, and make it easier for investors, analysts and peers to compare our operating performance to other companies in the industry and to compare our results across reporting periods.</w:t>
      </w:r>
    </w:p>
    <w:p>
      <w:pPr>
        <w:spacing w:after="0" w:line="200"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Because the adjusted measures are measures of performance not calculated in accordance with U.S. GAAP, they should not be considered in isolation of, or as a substitute for, our results as reported under U.S. GAAP, including net earnings (loss), (provision for) benefit from income taxes, net earnings (loss) attributable to Parent, and diluted EPS, as applicable, as indicators of operating performance and undue reliance should not be placed on these adjusted measures. Other companies may define these measures, including Adjusted EBITDA, differently and, as a result, our adjusted measures may not be directly comparable to similarly titled measures of other companies.</w:t>
      </w:r>
    </w:p>
    <w:p>
      <w:pPr>
        <w:spacing w:after="0" w:line="222" w:lineRule="exact"/>
        <w:rPr>
          <w:sz w:val="20"/>
          <w:szCs w:val="20"/>
          <w:color w:val="auto"/>
        </w:rPr>
      </w:pPr>
    </w:p>
    <w:p>
      <w:pPr>
        <w:ind w:right="380"/>
        <w:spacing w:after="0" w:line="257" w:lineRule="auto"/>
        <w:rPr>
          <w:sz w:val="20"/>
          <w:szCs w:val="20"/>
          <w:color w:val="auto"/>
        </w:rPr>
      </w:pPr>
      <w:r>
        <w:rPr>
          <w:rFonts w:ascii="Arial" w:cs="Arial" w:eastAsia="Arial" w:hAnsi="Arial"/>
          <w:sz w:val="22"/>
          <w:szCs w:val="22"/>
          <w:color w:val="auto"/>
        </w:rPr>
        <w:t>We are not able to reconcile forward-looking non-GAAP financial measures because we are unable without unreasonable efforts to accurately estimate the individual adjustments for such reconciliations, as applicable, or to quantify the probable significance of these items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9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49" w:lineRule="exact"/>
        <w:rPr>
          <w:sz w:val="20"/>
          <w:szCs w:val="20"/>
          <w:color w:val="auto"/>
        </w:rPr>
      </w:pPr>
    </w:p>
    <w:p>
      <w:pPr>
        <w:ind w:right="420"/>
        <w:spacing w:after="0" w:line="264" w:lineRule="auto"/>
        <w:rPr>
          <w:sz w:val="20"/>
          <w:szCs w:val="20"/>
          <w:color w:val="auto"/>
        </w:rPr>
      </w:pPr>
      <w:r>
        <w:rPr>
          <w:rFonts w:ascii="Arial" w:cs="Arial" w:eastAsia="Arial" w:hAnsi="Arial"/>
          <w:sz w:val="22"/>
          <w:szCs w:val="22"/>
          <w:color w:val="auto"/>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spacing w:after="0" w:line="184" w:lineRule="exact"/>
        <w:rPr>
          <w:sz w:val="20"/>
          <w:szCs w:val="20"/>
          <w:color w:val="auto"/>
        </w:rPr>
      </w:pPr>
    </w:p>
    <w:tbl>
      <w:tblPr>
        <w:tblLayout w:type="fixed"/>
        <w:tblInd w:w="940" w:type="dxa"/>
        <w:tblCellMar>
          <w:top w:w="0" w:type="dxa"/>
          <w:left w:w="0" w:type="dxa"/>
          <w:bottom w:w="0" w:type="dxa"/>
          <w:right w:w="0" w:type="dxa"/>
        </w:tblCellMar>
      </w:tblPr>
      <w:tr>
        <w:trPr>
          <w:trHeight w:val="291"/>
        </w:trPr>
        <w:tc>
          <w:tcPr>
            <w:tcW w:w="5740" w:type="dxa"/>
            <w:vAlign w:val="bottom"/>
            <w:tcBorders>
              <w:top w:val="single" w:sz="8" w:color="auto"/>
            </w:tcBorders>
          </w:tcPr>
          <w:p>
            <w:pPr>
              <w:spacing w:after="0"/>
              <w:rPr>
                <w:sz w:val="24"/>
                <w:szCs w:val="24"/>
                <w:color w:val="auto"/>
              </w:rPr>
            </w:pPr>
          </w:p>
        </w:tc>
        <w:tc>
          <w:tcPr>
            <w:tcW w:w="1840" w:type="dxa"/>
            <w:vAlign w:val="bottom"/>
            <w:tcBorders>
              <w:top w:val="single" w:sz="8" w:color="auto"/>
              <w:bottom w:val="single" w:sz="8" w:color="auto"/>
              <w:right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8"/>
              </w:rPr>
              <w:t>Successor</w:t>
            </w:r>
          </w:p>
        </w:tc>
        <w:tc>
          <w:tcPr>
            <w:tcW w:w="1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Predecessor</w:t>
            </w:r>
          </w:p>
        </w:tc>
      </w:tr>
      <w:tr>
        <w:trPr>
          <w:trHeight w:val="224"/>
        </w:trPr>
        <w:tc>
          <w:tcPr>
            <w:tcW w:w="57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9"/>
              </w:rPr>
              <w:t>Three Months</w:t>
            </w: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Three Months</w:t>
            </w:r>
          </w:p>
        </w:tc>
      </w:tr>
      <w:tr>
        <w:trPr>
          <w:trHeight w:val="255"/>
        </w:trPr>
        <w:tc>
          <w:tcPr>
            <w:tcW w:w="5740" w:type="dxa"/>
            <w:vAlign w:val="bottom"/>
          </w:tcPr>
          <w:p>
            <w:pPr>
              <w:spacing w:after="0"/>
              <w:rPr>
                <w:sz w:val="22"/>
                <w:szCs w:val="22"/>
                <w:color w:val="auto"/>
              </w:rPr>
            </w:pPr>
          </w:p>
        </w:tc>
        <w:tc>
          <w:tcPr>
            <w:tcW w:w="1840" w:type="dxa"/>
            <w:vAlign w:val="bottom"/>
            <w:tcBorders>
              <w:bottom w:val="single" w:sz="8" w:color="auto"/>
              <w:right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9"/>
              </w:rPr>
              <w:t>Ended March 31,</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Ended March 31,</w:t>
            </w:r>
          </w:p>
        </w:tc>
      </w:tr>
      <w:tr>
        <w:trPr>
          <w:trHeight w:val="264"/>
        </w:trPr>
        <w:tc>
          <w:tcPr>
            <w:tcW w:w="57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9"/>
              </w:rPr>
              <w:t>2026</w:t>
            </w: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9"/>
              </w:rPr>
              <w:t>2025</w:t>
            </w:r>
          </w:p>
        </w:tc>
      </w:tr>
      <w:tr>
        <w:trPr>
          <w:trHeight w:val="247"/>
        </w:trPr>
        <w:tc>
          <w:tcPr>
            <w:tcW w:w="5740" w:type="dxa"/>
            <w:vAlign w:val="bottom"/>
          </w:tcPr>
          <w:p>
            <w:pPr>
              <w:ind w:left="20"/>
              <w:spacing w:after="0"/>
              <w:rPr>
                <w:sz w:val="20"/>
                <w:szCs w:val="20"/>
                <w:color w:val="auto"/>
              </w:rPr>
            </w:pPr>
            <w:r>
              <w:rPr>
                <w:rFonts w:ascii="Arial" w:cs="Arial" w:eastAsia="Arial" w:hAnsi="Arial"/>
                <w:sz w:val="18"/>
                <w:szCs w:val="18"/>
                <w:color w:val="auto"/>
              </w:rPr>
              <w:t>Net earnings attributable to Parent (GAAP)</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168</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152</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Net earnings attributable to noncontrolling interests</w:t>
            </w:r>
          </w:p>
        </w:tc>
        <w:tc>
          <w:tcPr>
            <w:tcW w:w="540" w:type="dxa"/>
            <w:vAlign w:val="bottom"/>
          </w:tcPr>
          <w:p>
            <w:pPr>
              <w:spacing w:after="0"/>
              <w:rPr>
                <w:sz w:val="23"/>
                <w:szCs w:val="23"/>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3"/>
                <w:szCs w:val="23"/>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9</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Equity in loss of investee companies, net of tax</w:t>
            </w:r>
          </w:p>
        </w:tc>
        <w:tc>
          <w:tcPr>
            <w:tcW w:w="540" w:type="dxa"/>
            <w:vAlign w:val="bottom"/>
          </w:tcPr>
          <w:p>
            <w:pPr>
              <w:spacing w:after="0"/>
              <w:rPr>
                <w:sz w:val="23"/>
                <w:szCs w:val="23"/>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3"/>
                <w:szCs w:val="23"/>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73</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23"/>
                <w:szCs w:val="23"/>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155</w:t>
            </w:r>
          </w:p>
        </w:tc>
        <w:tc>
          <w:tcPr>
            <w:tcW w:w="620" w:type="dxa"/>
            <w:vAlign w:val="bottom"/>
          </w:tcPr>
          <w:p>
            <w:pPr>
              <w:spacing w:after="0"/>
              <w:rPr>
                <w:sz w:val="23"/>
                <w:szCs w:val="23"/>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100</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Other items, net</w:t>
            </w:r>
          </w:p>
        </w:tc>
        <w:tc>
          <w:tcPr>
            <w:tcW w:w="540" w:type="dxa"/>
            <w:vAlign w:val="bottom"/>
          </w:tcPr>
          <w:p>
            <w:pPr>
              <w:spacing w:after="0"/>
              <w:rPr>
                <w:sz w:val="23"/>
                <w:szCs w:val="23"/>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3"/>
                <w:szCs w:val="23"/>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37</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23"/>
                <w:szCs w:val="23"/>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200</w:t>
            </w:r>
          </w:p>
        </w:tc>
        <w:tc>
          <w:tcPr>
            <w:tcW w:w="620" w:type="dxa"/>
            <w:vAlign w:val="bottom"/>
          </w:tcPr>
          <w:p>
            <w:pPr>
              <w:spacing w:after="0"/>
              <w:rPr>
                <w:sz w:val="23"/>
                <w:szCs w:val="23"/>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179</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Gain on dispositions</w:t>
            </w:r>
          </w:p>
        </w:tc>
        <w:tc>
          <w:tcPr>
            <w:tcW w:w="540" w:type="dxa"/>
            <w:vAlign w:val="bottom"/>
          </w:tcPr>
          <w:p>
            <w:pPr>
              <w:spacing w:after="0"/>
              <w:rPr>
                <w:sz w:val="23"/>
                <w:szCs w:val="23"/>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(35)</w:t>
            </w:r>
          </w:p>
        </w:tc>
      </w:tr>
      <w:tr>
        <w:trPr>
          <w:trHeight w:val="299"/>
        </w:trPr>
        <w:tc>
          <w:tcPr>
            <w:tcW w:w="5740" w:type="dxa"/>
            <w:vAlign w:val="bottom"/>
          </w:tcPr>
          <w:p>
            <w:pPr>
              <w:ind w:left="220"/>
              <w:spacing w:after="0"/>
              <w:rPr>
                <w:sz w:val="20"/>
                <w:szCs w:val="20"/>
                <w:color w:val="auto"/>
              </w:rPr>
            </w:pPr>
            <w:r>
              <w:rPr>
                <w:rFonts w:ascii="Arial" w:cs="Arial" w:eastAsia="Arial" w:hAnsi="Arial"/>
                <w:sz w:val="18"/>
                <w:szCs w:val="18"/>
                <w:color w:val="auto"/>
              </w:rPr>
              <w:t xml:space="preserve">Transaction-related items </w:t>
            </w:r>
            <w:r>
              <w:rPr>
                <w:rFonts w:ascii="Arial" w:cs="Arial" w:eastAsia="Arial" w:hAnsi="Arial"/>
                <w:sz w:val="23"/>
                <w:szCs w:val="23"/>
                <w:color w:val="auto"/>
                <w:vertAlign w:val="superscript"/>
              </w:rPr>
              <w:t>(a)</w:t>
            </w:r>
          </w:p>
        </w:tc>
        <w:tc>
          <w:tcPr>
            <w:tcW w:w="540" w:type="dxa"/>
            <w:vAlign w:val="bottom"/>
          </w:tcPr>
          <w:p>
            <w:pPr>
              <w:spacing w:after="0"/>
              <w:rPr>
                <w:sz w:val="24"/>
                <w:szCs w:val="24"/>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20</w:t>
            </w:r>
          </w:p>
        </w:tc>
      </w:tr>
      <w:tr>
        <w:trPr>
          <w:trHeight w:val="272"/>
        </w:trPr>
        <w:tc>
          <w:tcPr>
            <w:tcW w:w="574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(a)</w:t>
            </w:r>
          </w:p>
        </w:tc>
        <w:tc>
          <w:tcPr>
            <w:tcW w:w="540" w:type="dxa"/>
            <w:vAlign w:val="bottom"/>
          </w:tcPr>
          <w:p>
            <w:pPr>
              <w:spacing w:after="0"/>
              <w:rPr>
                <w:sz w:val="23"/>
                <w:szCs w:val="23"/>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65</w:t>
            </w:r>
          </w:p>
        </w:tc>
      </w:tr>
      <w:tr>
        <w:trPr>
          <w:trHeight w:val="239"/>
        </w:trPr>
        <w:tc>
          <w:tcPr>
            <w:tcW w:w="57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20"/>
                <w:szCs w:val="20"/>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44</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23"/>
                <w:szCs w:val="23"/>
                <w:color w:val="auto"/>
              </w:rPr>
            </w:pP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362</w:t>
            </w:r>
          </w:p>
        </w:tc>
        <w:tc>
          <w:tcPr>
            <w:tcW w:w="620" w:type="dxa"/>
            <w:vAlign w:val="bottom"/>
          </w:tcPr>
          <w:p>
            <w:pPr>
              <w:spacing w:after="0"/>
              <w:rPr>
                <w:sz w:val="23"/>
                <w:szCs w:val="23"/>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88</w:t>
            </w:r>
          </w:p>
        </w:tc>
      </w:tr>
      <w:tr>
        <w:trPr>
          <w:trHeight w:val="23"/>
        </w:trPr>
        <w:tc>
          <w:tcPr>
            <w:tcW w:w="5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1"/>
        </w:trPr>
        <w:tc>
          <w:tcPr>
            <w:tcW w:w="5740" w:type="dxa"/>
            <w:vAlign w:val="bottom"/>
          </w:tcPr>
          <w:p>
            <w:pPr>
              <w:ind w:left="20"/>
              <w:spacing w:after="0"/>
              <w:rPr>
                <w:sz w:val="20"/>
                <w:szCs w:val="20"/>
                <w:color w:val="auto"/>
              </w:rPr>
            </w:pPr>
            <w:r>
              <w:rPr>
                <w:rFonts w:ascii="Arial" w:cs="Arial" w:eastAsia="Arial" w:hAnsi="Arial"/>
                <w:sz w:val="18"/>
                <w:szCs w:val="18"/>
                <w:color w:val="auto"/>
              </w:rPr>
              <w:t>Adjusted EBITDA (Non-GAAP)</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1,161</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732</w:t>
            </w:r>
          </w:p>
        </w:tc>
      </w:tr>
      <w:tr>
        <w:trPr>
          <w:trHeight w:val="30"/>
        </w:trPr>
        <w:tc>
          <w:tcPr>
            <w:tcW w:w="5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 See notes on the following tables for additional information on items affecting comparability.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97" w:right="339" w:bottom="1440" w:gutter="0" w:footer="0" w:header="0"/>
        </w:sectPr>
      </w:pPr>
    </w:p>
    <w:bookmarkStart w:id="20" w:name="page21"/>
    <w:bookmarkEnd w:id="20"/>
    <w:p>
      <w:pPr>
        <w:spacing w:after="0" w:line="305"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SUPPLEMENTAL DISCLOSURES REGARDING NON-GAAP FINANCIAL MEASURES</w:t>
      </w:r>
    </w:p>
    <w:p>
      <w:pPr>
        <w:spacing w:after="0" w:line="26"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238125</wp:posOffset>
            </wp:positionV>
            <wp:extent cx="668655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pacing w:after="0" w:line="390" w:lineRule="exact"/>
        <w:rPr>
          <w:sz w:val="20"/>
          <w:szCs w:val="20"/>
          <w:color w:val="auto"/>
        </w:rPr>
      </w:pPr>
    </w:p>
    <w:tbl>
      <w:tblPr>
        <w:tblLayout w:type="fixed"/>
        <w:tblInd w:w="80" w:type="dxa"/>
        <w:tblCellMar>
          <w:top w:w="0" w:type="dxa"/>
          <w:left w:w="0" w:type="dxa"/>
          <w:bottom w:w="0" w:type="dxa"/>
          <w:right w:w="0" w:type="dxa"/>
        </w:tblCellMar>
      </w:tblPr>
      <w:tr>
        <w:trPr>
          <w:trHeight w:val="255"/>
        </w:trPr>
        <w:tc>
          <w:tcPr>
            <w:tcW w:w="36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Successor</w:t>
            </w:r>
          </w:p>
        </w:tc>
        <w:tc>
          <w:tcPr>
            <w:tcW w:w="1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63"/>
        </w:trPr>
        <w:tc>
          <w:tcPr>
            <w:tcW w:w="36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 March 31, 2026</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24"/>
        </w:trPr>
        <w:tc>
          <w:tcPr>
            <w:tcW w:w="3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rPr>
              <w:t>Net Earnings</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640" w:type="dxa"/>
            <w:vAlign w:val="bottom"/>
          </w:tcPr>
          <w:p>
            <w:pPr>
              <w:spacing w:after="0"/>
              <w:rPr>
                <w:sz w:val="18"/>
                <w:szCs w:val="18"/>
                <w:color w:val="auto"/>
              </w:rPr>
            </w:pPr>
          </w:p>
        </w:tc>
        <w:tc>
          <w:tcPr>
            <w:tcW w:w="17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Earnings Before</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Provision for</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Attributable to</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5"/>
        </w:trPr>
        <w:tc>
          <w:tcPr>
            <w:tcW w:w="36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Income Taxes</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Income Taxes</w:t>
            </w: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Parent</w:t>
            </w:r>
          </w:p>
        </w:tc>
        <w:tc>
          <w:tcPr>
            <w:tcW w:w="16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Diluted EPS</w:t>
            </w:r>
          </w:p>
        </w:tc>
      </w:tr>
      <w:tr>
        <w:trPr>
          <w:trHeight w:val="247"/>
        </w:trPr>
        <w:tc>
          <w:tcPr>
            <w:tcW w:w="364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392</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(155)</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168</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.15</w:t>
            </w:r>
          </w:p>
        </w:tc>
      </w:tr>
      <w:tr>
        <w:trPr>
          <w:trHeight w:val="270"/>
        </w:trPr>
        <w:tc>
          <w:tcPr>
            <w:tcW w:w="364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01"/>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Transaction-related items </w:t>
            </w:r>
            <w:r>
              <w:rPr>
                <w:rFonts w:ascii="Arial" w:cs="Arial" w:eastAsia="Arial" w:hAnsi="Arial"/>
                <w:sz w:val="23"/>
                <w:szCs w:val="23"/>
                <w:color w:val="auto"/>
                <w:vertAlign w:val="superscript"/>
              </w:rPr>
              <w:t>(a)</w:t>
            </w:r>
          </w:p>
        </w:tc>
        <w:tc>
          <w:tcPr>
            <w:tcW w:w="72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.08</w:t>
            </w:r>
          </w:p>
        </w:tc>
      </w:tr>
      <w:tr>
        <w:trPr>
          <w:trHeight w:val="239"/>
        </w:trPr>
        <w:tc>
          <w:tcPr>
            <w:tcW w:w="3640" w:type="dxa"/>
            <w:vAlign w:val="bottom"/>
          </w:tcPr>
          <w:p>
            <w:pPr>
              <w:ind w:left="220"/>
              <w:spacing w:after="0"/>
              <w:rPr>
                <w:sz w:val="20"/>
                <w:szCs w:val="20"/>
                <w:color w:val="auto"/>
              </w:rPr>
            </w:pPr>
            <w:r>
              <w:rPr>
                <w:rFonts w:ascii="Arial" w:cs="Arial" w:eastAsia="Arial" w:hAnsi="Arial"/>
                <w:sz w:val="18"/>
                <w:szCs w:val="18"/>
                <w:color w:val="auto"/>
              </w:rPr>
              <w:t>Discrete tax items</w:t>
            </w:r>
          </w:p>
        </w:tc>
        <w:tc>
          <w:tcPr>
            <w:tcW w:w="7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23"/>
        </w:trPr>
        <w:tc>
          <w:tcPr>
            <w:tcW w:w="3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1"/>
        </w:trPr>
        <w:tc>
          <w:tcPr>
            <w:tcW w:w="3640" w:type="dxa"/>
            <w:vAlign w:val="bottom"/>
          </w:tcPr>
          <w:p>
            <w:pPr>
              <w:ind w:left="20"/>
              <w:spacing w:after="0"/>
              <w:rPr>
                <w:sz w:val="20"/>
                <w:szCs w:val="20"/>
                <w:color w:val="auto"/>
              </w:rPr>
            </w:pPr>
            <w:r>
              <w:rPr>
                <w:rFonts w:ascii="Arial" w:cs="Arial" w:eastAsia="Arial" w:hAnsi="Arial"/>
                <w:sz w:val="18"/>
                <w:szCs w:val="18"/>
                <w:color w:val="auto"/>
              </w:rPr>
              <w:t>Adjusted (Non-GAAP)</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495</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(165)</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261</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.23</w:t>
            </w:r>
          </w:p>
        </w:tc>
      </w:tr>
      <w:tr>
        <w:trPr>
          <w:trHeight w:val="30"/>
        </w:trPr>
        <w:tc>
          <w:tcPr>
            <w:tcW w:w="3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Reflects legal, advisory, and other professional fees associated with the planned WBD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6351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34925</wp:posOffset>
            </wp:positionV>
            <wp:extent cx="436308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Three Months Ended March 31, 2025</w:t>
            </w: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1"/>
        </w:trPr>
        <w:tc>
          <w:tcPr>
            <w:tcW w:w="3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rPr>
              <w:t>Net Earnings</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580" w:type="dxa"/>
            <w:vAlign w:val="bottom"/>
          </w:tcPr>
          <w:p>
            <w:pPr>
              <w:spacing w:after="0"/>
              <w:rPr>
                <w:sz w:val="18"/>
                <w:szCs w:val="18"/>
                <w:color w:val="auto"/>
              </w:rPr>
            </w:pPr>
          </w:p>
        </w:tc>
        <w:tc>
          <w:tcPr>
            <w:tcW w:w="17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Earnings Before</w:t>
            </w: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Provision for</w:t>
            </w: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Attributable to</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5"/>
        </w:trPr>
        <w:tc>
          <w:tcPr>
            <w:tcW w:w="35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Income Taxes</w:t>
            </w:r>
          </w:p>
        </w:tc>
        <w:tc>
          <w:tcPr>
            <w:tcW w:w="16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Income Taxes</w:t>
            </w:r>
          </w:p>
        </w:tc>
        <w:tc>
          <w:tcPr>
            <w:tcW w:w="5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9"/>
              </w:rPr>
              <w:t>Parent</w:t>
            </w:r>
          </w:p>
        </w:tc>
        <w:tc>
          <w:tcPr>
            <w:tcW w:w="16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Diluted EPS</w:t>
            </w:r>
          </w:p>
        </w:tc>
      </w:tr>
      <w:tr>
        <w:trPr>
          <w:trHeight w:val="247"/>
        </w:trPr>
        <w:tc>
          <w:tcPr>
            <w:tcW w:w="358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334</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152</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.22</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9"/>
        </w:trPr>
        <w:tc>
          <w:tcPr>
            <w:tcW w:w="358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(a)</w:t>
            </w:r>
          </w:p>
        </w:tc>
        <w:tc>
          <w:tcPr>
            <w:tcW w:w="720" w:type="dxa"/>
            <w:vAlign w:val="bottom"/>
          </w:tcPr>
          <w:p>
            <w:pPr>
              <w:spacing w:after="0"/>
              <w:rPr>
                <w:sz w:val="24"/>
                <w:szCs w:val="24"/>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65</w:t>
            </w:r>
          </w:p>
        </w:tc>
        <w:tc>
          <w:tcPr>
            <w:tcW w:w="60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4"/>
                <w:szCs w:val="24"/>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.08</w:t>
            </w:r>
          </w:p>
        </w:tc>
      </w:tr>
      <w:tr>
        <w:trPr>
          <w:trHeight w:val="270"/>
        </w:trPr>
        <w:tc>
          <w:tcPr>
            <w:tcW w:w="3580" w:type="dxa"/>
            <w:vAlign w:val="bottom"/>
          </w:tcPr>
          <w:p>
            <w:pPr>
              <w:ind w:left="220"/>
              <w:spacing w:after="0"/>
              <w:rPr>
                <w:sz w:val="20"/>
                <w:szCs w:val="20"/>
                <w:color w:val="auto"/>
              </w:rPr>
            </w:pPr>
            <w:r>
              <w:rPr>
                <w:rFonts w:ascii="Arial" w:cs="Arial" w:eastAsia="Arial" w:hAnsi="Arial"/>
                <w:sz w:val="18"/>
                <w:szCs w:val="18"/>
                <w:color w:val="auto"/>
              </w:rPr>
              <w:t xml:space="preserve">Transaction-related items </w:t>
            </w:r>
            <w:r>
              <w:rPr>
                <w:rFonts w:ascii="Arial" w:cs="Arial" w:eastAsia="Arial" w:hAnsi="Arial"/>
                <w:sz w:val="23"/>
                <w:szCs w:val="23"/>
                <w:color w:val="auto"/>
                <w:vertAlign w:val="superscript"/>
              </w:rPr>
              <w:t>(b)</w:t>
            </w:r>
          </w:p>
        </w:tc>
        <w:tc>
          <w:tcPr>
            <w:tcW w:w="720" w:type="dxa"/>
            <w:vAlign w:val="bottom"/>
          </w:tcPr>
          <w:p>
            <w:pPr>
              <w:spacing w:after="0"/>
              <w:rPr>
                <w:sz w:val="23"/>
                <w:szCs w:val="23"/>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3"/>
                <w:szCs w:val="23"/>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.03</w:t>
            </w:r>
          </w:p>
        </w:tc>
      </w:tr>
      <w:tr>
        <w:trPr>
          <w:trHeight w:val="272"/>
        </w:trPr>
        <w:tc>
          <w:tcPr>
            <w:tcW w:w="3580" w:type="dxa"/>
            <w:vAlign w:val="bottom"/>
          </w:tcPr>
          <w:p>
            <w:pPr>
              <w:ind w:left="220"/>
              <w:spacing w:after="0"/>
              <w:rPr>
                <w:sz w:val="20"/>
                <w:szCs w:val="20"/>
                <w:color w:val="auto"/>
              </w:rPr>
            </w:pPr>
            <w:r>
              <w:rPr>
                <w:rFonts w:ascii="Arial" w:cs="Arial" w:eastAsia="Arial" w:hAnsi="Arial"/>
                <w:sz w:val="18"/>
                <w:szCs w:val="18"/>
                <w:color w:val="auto"/>
              </w:rPr>
              <w:t xml:space="preserve">Gain on dispositions </w:t>
            </w:r>
            <w:r>
              <w:rPr>
                <w:rFonts w:ascii="Arial" w:cs="Arial" w:eastAsia="Arial" w:hAnsi="Arial"/>
                <w:sz w:val="23"/>
                <w:szCs w:val="23"/>
                <w:color w:val="auto"/>
                <w:vertAlign w:val="superscript"/>
              </w:rPr>
              <w:t>(c)</w:t>
            </w:r>
          </w:p>
        </w:tc>
        <w:tc>
          <w:tcPr>
            <w:tcW w:w="720" w:type="dxa"/>
            <w:vAlign w:val="bottom"/>
          </w:tcPr>
          <w:p>
            <w:pPr>
              <w:spacing w:after="0"/>
              <w:rPr>
                <w:sz w:val="23"/>
                <w:szCs w:val="23"/>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23"/>
                <w:szCs w:val="23"/>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3"/>
                <w:szCs w:val="23"/>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(.05)</w:t>
            </w:r>
          </w:p>
        </w:tc>
      </w:tr>
      <w:tr>
        <w:trPr>
          <w:trHeight w:val="239"/>
        </w:trPr>
        <w:tc>
          <w:tcPr>
            <w:tcW w:w="3580" w:type="dxa"/>
            <w:vAlign w:val="bottom"/>
          </w:tcPr>
          <w:p>
            <w:pPr>
              <w:ind w:left="220"/>
              <w:spacing w:after="0"/>
              <w:rPr>
                <w:sz w:val="20"/>
                <w:szCs w:val="20"/>
                <w:color w:val="auto"/>
              </w:rPr>
            </w:pPr>
            <w:r>
              <w:rPr>
                <w:rFonts w:ascii="Arial" w:cs="Arial" w:eastAsia="Arial" w:hAnsi="Arial"/>
                <w:sz w:val="18"/>
                <w:szCs w:val="18"/>
                <w:color w:val="auto"/>
              </w:rPr>
              <w:t>Discrete tax items</w:t>
            </w:r>
          </w:p>
        </w:tc>
        <w:tc>
          <w:tcPr>
            <w:tcW w:w="7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.01</w:t>
            </w:r>
          </w:p>
        </w:tc>
      </w:tr>
      <w:tr>
        <w:trPr>
          <w:trHeight w:val="23"/>
        </w:trPr>
        <w:tc>
          <w:tcPr>
            <w:tcW w:w="3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0"/>
        </w:trPr>
        <w:tc>
          <w:tcPr>
            <w:tcW w:w="3580" w:type="dxa"/>
            <w:vAlign w:val="bottom"/>
          </w:tcPr>
          <w:p>
            <w:pPr>
              <w:ind w:left="20"/>
              <w:spacing w:after="0"/>
              <w:rPr>
                <w:sz w:val="20"/>
                <w:szCs w:val="20"/>
                <w:color w:val="auto"/>
              </w:rPr>
            </w:pPr>
            <w:r>
              <w:rPr>
                <w:rFonts w:ascii="Arial" w:cs="Arial" w:eastAsia="Arial" w:hAnsi="Arial"/>
                <w:sz w:val="18"/>
                <w:szCs w:val="18"/>
                <w:color w:val="auto"/>
              </w:rPr>
              <w:t>Adjusted (Non-GAAP)</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384</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(107)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195</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.29</w:t>
            </w:r>
          </w:p>
        </w:tc>
      </w:tr>
      <w:tr>
        <w:trPr>
          <w:trHeight w:val="30"/>
        </w:trPr>
        <w:tc>
          <w:tcPr>
            <w:tcW w:w="3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ind w:left="380" w:hanging="247"/>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Primarily reflects charges for the impairment of lease assets.</w:t>
      </w:r>
    </w:p>
    <w:p>
      <w:pPr>
        <w:spacing w:after="0" w:line="59" w:lineRule="exact"/>
        <w:rPr>
          <w:rFonts w:ascii="Arial" w:cs="Arial" w:eastAsia="Arial" w:hAnsi="Arial"/>
          <w:sz w:val="16"/>
          <w:szCs w:val="16"/>
          <w:color w:val="auto"/>
        </w:rPr>
      </w:pPr>
    </w:p>
    <w:p>
      <w:pPr>
        <w:ind w:left="380" w:hanging="247"/>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legal, advisory, and other professional fees relating to the Skydance Transactions.</w:t>
      </w:r>
    </w:p>
    <w:p>
      <w:pPr>
        <w:spacing w:after="0" w:line="72" w:lineRule="exact"/>
        <w:rPr>
          <w:rFonts w:ascii="Arial" w:cs="Arial" w:eastAsia="Arial" w:hAnsi="Arial"/>
          <w:sz w:val="16"/>
          <w:szCs w:val="16"/>
          <w:color w:val="auto"/>
        </w:rPr>
      </w:pPr>
    </w:p>
    <w:p>
      <w:pPr>
        <w:ind w:left="360" w:hanging="227"/>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Principally reflects a gain associated with the disposition of a noncore business.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600" w:top="144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w:t>
      </w:r>
    </w:p>
    <w:p>
      <w:pPr>
        <w:spacing w:after="0" w:line="227" w:lineRule="exact"/>
        <w:rPr>
          <w:sz w:val="20"/>
          <w:szCs w:val="20"/>
          <w:color w:val="auto"/>
        </w:rPr>
      </w:pPr>
    </w:p>
    <w:p>
      <w:pPr>
        <w:ind w:right="320"/>
        <w:spacing w:after="0" w:line="263" w:lineRule="exact"/>
        <w:rPr>
          <w:sz w:val="20"/>
          <w:szCs w:val="20"/>
          <w:color w:val="auto"/>
        </w:rPr>
      </w:pPr>
      <w:r>
        <w:rPr>
          <w:rFonts w:ascii="Arial" w:cs="Arial" w:eastAsia="Arial" w:hAnsi="Arial"/>
          <w:sz w:val="22"/>
          <w:szCs w:val="22"/>
          <w:color w:val="auto"/>
        </w:rPr>
        <w:t xml:space="preserve">Beginning in 2026, we transitioned our reporting structure into three new segments: </w:t>
      </w:r>
      <w:r>
        <w:rPr>
          <w:rFonts w:ascii="Arial" w:cs="Arial" w:eastAsia="Arial" w:hAnsi="Arial"/>
          <w:sz w:val="22"/>
          <w:szCs w:val="22"/>
          <w:i w:val="1"/>
          <w:iCs w:val="1"/>
          <w:color w:val="auto"/>
        </w:rPr>
        <w:t>Studios</w:t>
      </w:r>
      <w:r>
        <w:rPr>
          <w:rFonts w:ascii="Arial" w:cs="Arial" w:eastAsia="Arial" w:hAnsi="Arial"/>
          <w:sz w:val="22"/>
          <w:szCs w:val="22"/>
          <w:color w:val="auto"/>
        </w:rPr>
        <w:t xml:space="preserve">, </w:t>
      </w:r>
      <w:r>
        <w:rPr>
          <w:rFonts w:ascii="Arial" w:cs="Arial" w:eastAsia="Arial" w:hAnsi="Arial"/>
          <w:sz w:val="22"/>
          <w:szCs w:val="22"/>
          <w:i w:val="1"/>
          <w:iCs w:val="1"/>
          <w:color w:val="auto"/>
        </w:rPr>
        <w:t>Direct-to-Consumer</w:t>
      </w:r>
      <w:r>
        <w:rPr>
          <w:rFonts w:ascii="Arial" w:cs="Arial" w:eastAsia="Arial" w:hAnsi="Arial"/>
          <w:sz w:val="22"/>
          <w:szCs w:val="22"/>
          <w:color w:val="auto"/>
        </w:rPr>
        <w:t xml:space="preserve">, and </w:t>
      </w:r>
      <w:r>
        <w:rPr>
          <w:rFonts w:ascii="Arial" w:cs="Arial" w:eastAsia="Arial" w:hAnsi="Arial"/>
          <w:sz w:val="22"/>
          <w:szCs w:val="22"/>
          <w:i w:val="1"/>
          <w:iCs w:val="1"/>
          <w:color w:val="auto"/>
        </w:rPr>
        <w:t>TV Media</w:t>
      </w:r>
      <w:r>
        <w:rPr>
          <w:rFonts w:ascii="Arial" w:cs="Arial" w:eastAsia="Arial" w:hAnsi="Arial"/>
          <w:sz w:val="22"/>
          <w:szCs w:val="22"/>
          <w:color w:val="auto"/>
        </w:rPr>
        <w:t xml:space="preserve"> and updated our segment expense allocations to better reflect how we operate and make cost decisions across the business. As a result of the new accounting basis established for Paramount Global’s net assets upon the closing of the Skydance Transactions (see </w:t>
      </w:r>
      <w:r>
        <w:rPr>
          <w:rFonts w:ascii="Arial" w:cs="Arial" w:eastAsia="Arial" w:hAnsi="Arial"/>
          <w:sz w:val="22"/>
          <w:szCs w:val="22"/>
          <w:i w:val="1"/>
          <w:iCs w:val="1"/>
          <w:color w:val="auto"/>
        </w:rPr>
        <w:t>Financial Statement Presentation</w:t>
      </w:r>
      <w:r>
        <w:rPr>
          <w:rFonts w:ascii="Arial" w:cs="Arial" w:eastAsia="Arial" w:hAnsi="Arial"/>
          <w:sz w:val="22"/>
          <w:szCs w:val="22"/>
          <w:color w:val="auto"/>
        </w:rPr>
        <w:t xml:space="preserve">), the GAAP basis for our segment information for the Predecessor period is based on our previous segments, </w:t>
      </w:r>
      <w:r>
        <w:rPr>
          <w:rFonts w:ascii="Arial" w:cs="Arial" w:eastAsia="Arial" w:hAnsi="Arial"/>
          <w:sz w:val="22"/>
          <w:szCs w:val="22"/>
          <w:i w:val="1"/>
          <w:iCs w:val="1"/>
          <w:color w:val="auto"/>
        </w:rPr>
        <w:t>Filmed Entertainment</w:t>
      </w:r>
      <w:r>
        <w:rPr>
          <w:rFonts w:ascii="Arial" w:cs="Arial" w:eastAsia="Arial" w:hAnsi="Arial"/>
          <w:sz w:val="22"/>
          <w:szCs w:val="22"/>
          <w:color w:val="auto"/>
        </w:rPr>
        <w:t xml:space="preserve">, </w:t>
      </w:r>
      <w:r>
        <w:rPr>
          <w:rFonts w:ascii="Arial" w:cs="Arial" w:eastAsia="Arial" w:hAnsi="Arial"/>
          <w:sz w:val="22"/>
          <w:szCs w:val="22"/>
          <w:i w:val="1"/>
          <w:iCs w:val="1"/>
          <w:color w:val="auto"/>
        </w:rPr>
        <w:t>Direct-to-Consumer</w:t>
      </w:r>
      <w:r>
        <w:rPr>
          <w:rFonts w:ascii="Arial" w:cs="Arial" w:eastAsia="Arial" w:hAnsi="Arial"/>
          <w:sz w:val="22"/>
          <w:szCs w:val="22"/>
          <w:color w:val="auto"/>
        </w:rPr>
        <w:t>, and</w:t>
      </w:r>
      <w:r>
        <w:rPr>
          <w:rFonts w:ascii="Arial" w:cs="Arial" w:eastAsia="Arial" w:hAnsi="Arial"/>
          <w:sz w:val="22"/>
          <w:szCs w:val="22"/>
          <w:i w:val="1"/>
          <w:iCs w:val="1"/>
          <w:color w:val="auto"/>
        </w:rPr>
        <w:t xml:space="preserve"> TV Media</w:t>
      </w:r>
      <w:r>
        <w:rPr>
          <w:rFonts w:ascii="Arial" w:cs="Arial" w:eastAsia="Arial" w:hAnsi="Arial"/>
          <w:sz w:val="22"/>
          <w:szCs w:val="22"/>
          <w:color w:val="auto"/>
        </w:rPr>
        <w:t>. To provide information consistent with how management reviews results, this</w:t>
      </w:r>
      <w:r>
        <w:rPr>
          <w:rFonts w:ascii="Arial" w:cs="Arial" w:eastAsia="Arial" w:hAnsi="Arial"/>
          <w:sz w:val="22"/>
          <w:szCs w:val="22"/>
          <w:i w:val="1"/>
          <w:iCs w:val="1"/>
          <w:color w:val="auto"/>
        </w:rPr>
        <w:t xml:space="preserve"> </w:t>
      </w:r>
      <w:r>
        <w:rPr>
          <w:rFonts w:ascii="Arial" w:cs="Arial" w:eastAsia="Arial" w:hAnsi="Arial"/>
          <w:sz w:val="22"/>
          <w:szCs w:val="22"/>
          <w:color w:val="auto"/>
        </w:rPr>
        <w:t>letter includes non-GAAP presentations in which the 2025 Predecessor amounts have been recast under the new segment presentation and therefore constitute a non</w:t>
      </w:r>
      <w:r>
        <w:rPr>
          <w:rFonts w:ascii="MS PGothic" w:cs="MS PGothic" w:eastAsia="MS PGothic" w:hAnsi="MS PGothic"/>
          <w:sz w:val="22"/>
          <w:szCs w:val="22"/>
          <w:color w:val="auto"/>
        </w:rPr>
        <w:t>‑</w:t>
      </w:r>
      <w:r>
        <w:rPr>
          <w:rFonts w:ascii="Arial" w:cs="Arial" w:eastAsia="Arial" w:hAnsi="Arial"/>
          <w:sz w:val="22"/>
          <w:szCs w:val="22"/>
          <w:color w:val="auto"/>
        </w:rPr>
        <w:t>GAAP presentation. Reconciliations from the GAAP presentation to this recast non-GAAP presentation are provided on the following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Studios/Filmed Entertainment</w:t>
      </w:r>
    </w:p>
    <w:p>
      <w:pPr>
        <w:spacing w:after="0" w:line="154"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 xml:space="preserve">Our </w:t>
      </w:r>
      <w:r>
        <w:rPr>
          <w:rFonts w:ascii="Arial" w:cs="Arial" w:eastAsia="Arial" w:hAnsi="Arial"/>
          <w:sz w:val="22"/>
          <w:szCs w:val="22"/>
          <w:i w:val="1"/>
          <w:iCs w:val="1"/>
          <w:color w:val="auto"/>
        </w:rPr>
        <w:t>Studios</w:t>
      </w:r>
      <w:r>
        <w:rPr>
          <w:rFonts w:ascii="Arial" w:cs="Arial" w:eastAsia="Arial" w:hAnsi="Arial"/>
          <w:sz w:val="22"/>
          <w:szCs w:val="22"/>
          <w:color w:val="auto"/>
        </w:rPr>
        <w:t xml:space="preserve"> segment consists of our television and film studio operations, including CBS Studios, Paramount Television Studios, Nickelodeon Animation, Paramount Pictures, Paramount Animation, and Miramax, as well as Skydance Animation, Film, Television, and Interactive/Games, and Paramount Sports Entertainment. For the Predecessor period, our </w:t>
      </w:r>
      <w:r>
        <w:rPr>
          <w:rFonts w:ascii="Arial" w:cs="Arial" w:eastAsia="Arial" w:hAnsi="Arial"/>
          <w:sz w:val="22"/>
          <w:szCs w:val="22"/>
          <w:i w:val="1"/>
          <w:iCs w:val="1"/>
          <w:color w:val="auto"/>
        </w:rPr>
        <w:t>Filmed Entertainment</w:t>
      </w:r>
      <w:r>
        <w:rPr>
          <w:rFonts w:ascii="Arial" w:cs="Arial" w:eastAsia="Arial" w:hAnsi="Arial"/>
          <w:sz w:val="22"/>
          <w:szCs w:val="22"/>
          <w:color w:val="auto"/>
        </w:rPr>
        <w:t xml:space="preserve"> segment was most comparable to our new </w:t>
      </w:r>
      <w:r>
        <w:rPr>
          <w:rFonts w:ascii="Arial" w:cs="Arial" w:eastAsia="Arial" w:hAnsi="Arial"/>
          <w:sz w:val="22"/>
          <w:szCs w:val="22"/>
          <w:i w:val="1"/>
          <w:iCs w:val="1"/>
          <w:color w:val="auto"/>
        </w:rPr>
        <w:t>Studios</w:t>
      </w:r>
      <w:r>
        <w:rPr>
          <w:rFonts w:ascii="Arial" w:cs="Arial" w:eastAsia="Arial" w:hAnsi="Arial"/>
          <w:sz w:val="22"/>
          <w:szCs w:val="22"/>
          <w:color w:val="auto"/>
        </w:rPr>
        <w:t xml:space="preserve"> segment and excluded studio operations related to our </w:t>
      </w:r>
      <w:r>
        <w:rPr>
          <w:rFonts w:ascii="Arial" w:cs="Arial" w:eastAsia="Arial" w:hAnsi="Arial"/>
          <w:sz w:val="22"/>
          <w:szCs w:val="22"/>
          <w:i w:val="1"/>
          <w:iCs w:val="1"/>
          <w:color w:val="auto"/>
        </w:rPr>
        <w:t>TV Media</w:t>
      </w:r>
      <w:r>
        <w:rPr>
          <w:rFonts w:ascii="Arial" w:cs="Arial" w:eastAsia="Arial" w:hAnsi="Arial"/>
          <w:sz w:val="22"/>
          <w:szCs w:val="22"/>
          <w:color w:val="auto"/>
        </w:rPr>
        <w:t xml:space="preserve"> businesses, including CBS Studios and Paramount Television Studios</w:t>
      </w:r>
      <w:r>
        <w:rPr>
          <w:rFonts w:ascii="Arial" w:cs="Arial" w:eastAsia="Arial" w:hAnsi="Arial"/>
          <w:sz w:val="19"/>
          <w:szCs w:val="19"/>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121920</wp:posOffset>
            </wp:positionV>
            <wp:extent cx="67894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89420" cy="17145"/>
                    </a:xfrm>
                    <a:prstGeom prst="rect">
                      <a:avLst/>
                    </a:prstGeom>
                    <a:noFill/>
                  </pic:spPr>
                </pic:pic>
              </a:graphicData>
            </a:graphic>
          </wp:anchor>
        </w:drawing>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273"/>
        </w:trPr>
        <w:tc>
          <w:tcPr>
            <w:tcW w:w="3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jc w:val="center"/>
              <w:ind w:right="741"/>
              <w:spacing w:after="0"/>
              <w:rPr>
                <w:sz w:val="20"/>
                <w:szCs w:val="20"/>
                <w:color w:val="auto"/>
              </w:rPr>
            </w:pPr>
            <w:r>
              <w:rPr>
                <w:rFonts w:ascii="Arial" w:cs="Arial" w:eastAsia="Arial" w:hAnsi="Arial"/>
                <w:sz w:val="20"/>
                <w:szCs w:val="20"/>
                <w:b w:val="1"/>
                <w:bCs w:val="1"/>
                <w:color w:val="auto"/>
              </w:rPr>
              <w:t>GAAP</w:t>
            </w: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Non-GAAP</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96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0" w:type="dxa"/>
            <w:vAlign w:val="bottom"/>
          </w:tcPr>
          <w:p>
            <w:pPr>
              <w:spacing w:after="0"/>
              <w:rPr>
                <w:sz w:val="1"/>
                <w:szCs w:val="1"/>
                <w:color w:val="auto"/>
              </w:rPr>
            </w:pPr>
          </w:p>
        </w:tc>
      </w:tr>
      <w:tr>
        <w:trPr>
          <w:trHeight w:val="273"/>
        </w:trPr>
        <w:tc>
          <w:tcPr>
            <w:tcW w:w="3960" w:type="dxa"/>
            <w:vAlign w:val="bottom"/>
          </w:tcPr>
          <w:p>
            <w:pPr>
              <w:spacing w:after="0"/>
              <w:rPr>
                <w:sz w:val="23"/>
                <w:szCs w:val="23"/>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March 31,</w:t>
            </w: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March 31,</w:t>
            </w:r>
          </w:p>
        </w:tc>
        <w:tc>
          <w:tcPr>
            <w:tcW w:w="0" w:type="dxa"/>
            <w:vAlign w:val="bottom"/>
          </w:tcPr>
          <w:p>
            <w:pPr>
              <w:spacing w:after="0"/>
              <w:rPr>
                <w:sz w:val="1"/>
                <w:szCs w:val="1"/>
                <w:color w:val="auto"/>
              </w:rPr>
            </w:pPr>
          </w:p>
        </w:tc>
      </w:tr>
      <w:tr>
        <w:trPr>
          <w:trHeight w:val="284"/>
        </w:trPr>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jc w:val="center"/>
              <w:ind w:right="721"/>
              <w:spacing w:after="0"/>
              <w:rPr>
                <w:sz w:val="20"/>
                <w:szCs w:val="20"/>
                <w:color w:val="auto"/>
              </w:rPr>
            </w:pPr>
            <w:r>
              <w:rPr>
                <w:rFonts w:ascii="Arial" w:cs="Arial" w:eastAsia="Arial" w:hAnsi="Arial"/>
                <w:sz w:val="20"/>
                <w:szCs w:val="20"/>
                <w:b w:val="1"/>
                <w:bCs w:val="1"/>
                <w:color w:val="auto"/>
                <w:w w:val="98"/>
              </w:rPr>
              <w:t>2025</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jc w:val="center"/>
              <w:ind w:right="68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1960" w:type="dxa"/>
            <w:vAlign w:val="bottom"/>
            <w:gridSpan w:val="2"/>
            <w:vMerge w:val="restart"/>
          </w:tcPr>
          <w:p>
            <w:pPr>
              <w:jc w:val="right"/>
              <w:ind w:right="18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9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8"/>
              </w:rPr>
              <w:t>Filmed Entertainment</w:t>
            </w:r>
          </w:p>
        </w:tc>
        <w:tc>
          <w:tcPr>
            <w:tcW w:w="1960" w:type="dxa"/>
            <w:vAlign w:val="bottom"/>
            <w:tcBorders>
              <w:bottom w:val="single" w:sz="8" w:color="auto"/>
            </w:tcBorders>
            <w:gridSpan w:val="2"/>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681"/>
              <w:spacing w:after="0"/>
              <w:rPr>
                <w:sz w:val="20"/>
                <w:szCs w:val="20"/>
                <w:color w:val="auto"/>
              </w:rPr>
            </w:pPr>
            <w:r>
              <w:rPr>
                <w:rFonts w:ascii="Arial" w:cs="Arial" w:eastAsia="Arial" w:hAnsi="Arial"/>
                <w:sz w:val="20"/>
                <w:szCs w:val="20"/>
                <w:b w:val="1"/>
                <w:bCs w:val="1"/>
                <w:color w:val="auto"/>
                <w:w w:val="98"/>
              </w:rPr>
              <w:t>Studios</w:t>
            </w:r>
          </w:p>
        </w:tc>
        <w:tc>
          <w:tcPr>
            <w:tcW w:w="0" w:type="dxa"/>
            <w:vAlign w:val="bottom"/>
          </w:tcPr>
          <w:p>
            <w:pPr>
              <w:spacing w:after="0"/>
              <w:rPr>
                <w:sz w:val="1"/>
                <w:szCs w:val="1"/>
                <w:color w:val="auto"/>
              </w:rPr>
            </w:pPr>
          </w:p>
        </w:tc>
      </w:tr>
      <w:tr>
        <w:trPr>
          <w:trHeight w:val="260"/>
        </w:trPr>
        <w:tc>
          <w:tcPr>
            <w:tcW w:w="3960" w:type="dxa"/>
            <w:vAlign w:val="bottom"/>
          </w:tcPr>
          <w:p>
            <w:pPr>
              <w:ind w:left="220"/>
              <w:spacing w:after="0"/>
              <w:rPr>
                <w:sz w:val="20"/>
                <w:szCs w:val="20"/>
                <w:color w:val="auto"/>
              </w:rPr>
            </w:pPr>
            <w:r>
              <w:rPr>
                <w:rFonts w:ascii="Arial" w:cs="Arial" w:eastAsia="Arial" w:hAnsi="Arial"/>
                <w:sz w:val="20"/>
                <w:szCs w:val="20"/>
                <w:color w:val="auto"/>
              </w:rPr>
              <w:t>Theatrical</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621"/>
              <w:spacing w:after="0"/>
              <w:rPr>
                <w:sz w:val="20"/>
                <w:szCs w:val="20"/>
                <w:color w:val="auto"/>
              </w:rPr>
            </w:pPr>
            <w:r>
              <w:rPr>
                <w:rFonts w:ascii="Arial" w:cs="Arial" w:eastAsia="Arial" w:hAnsi="Arial"/>
                <w:sz w:val="20"/>
                <w:szCs w:val="20"/>
                <w:color w:val="auto"/>
              </w:rPr>
              <w:t>148</w:t>
            </w:r>
          </w:p>
        </w:tc>
        <w:tc>
          <w:tcPr>
            <w:tcW w:w="8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ind w:right="601"/>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97"/>
        </w:trPr>
        <w:tc>
          <w:tcPr>
            <w:tcW w:w="3960" w:type="dxa"/>
            <w:vAlign w:val="bottom"/>
          </w:tcPr>
          <w:p>
            <w:pPr>
              <w:ind w:left="220"/>
              <w:spacing w:after="0"/>
              <w:rPr>
                <w:sz w:val="20"/>
                <w:szCs w:val="20"/>
                <w:color w:val="auto"/>
              </w:rPr>
            </w:pPr>
            <w:r>
              <w:rPr>
                <w:rFonts w:ascii="Arial" w:cs="Arial" w:eastAsia="Arial" w:hAnsi="Arial"/>
                <w:sz w:val="20"/>
                <w:szCs w:val="20"/>
                <w:color w:val="auto"/>
              </w:rPr>
              <w:t>Licensing and other</w:t>
            </w:r>
          </w:p>
        </w:tc>
        <w:tc>
          <w:tcPr>
            <w:tcW w:w="840" w:type="dxa"/>
            <w:vAlign w:val="bottom"/>
          </w:tcPr>
          <w:p>
            <w:pPr>
              <w:spacing w:after="0"/>
              <w:rPr>
                <w:sz w:val="24"/>
                <w:szCs w:val="24"/>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color w:val="auto"/>
              </w:rPr>
              <w:t>476</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530</w:t>
            </w:r>
          </w:p>
        </w:tc>
        <w:tc>
          <w:tcPr>
            <w:tcW w:w="800" w:type="dxa"/>
            <w:vAlign w:val="bottom"/>
          </w:tcPr>
          <w:p>
            <w:pPr>
              <w:spacing w:after="0"/>
              <w:rPr>
                <w:sz w:val="24"/>
                <w:szCs w:val="24"/>
                <w:color w:val="auto"/>
              </w:rPr>
            </w:pPr>
          </w:p>
        </w:tc>
        <w:tc>
          <w:tcPr>
            <w:tcW w:w="1580" w:type="dxa"/>
            <w:vAlign w:val="bottom"/>
          </w:tcPr>
          <w:p>
            <w:pPr>
              <w:jc w:val="right"/>
              <w:ind w:right="601"/>
              <w:spacing w:after="0"/>
              <w:rPr>
                <w:sz w:val="20"/>
                <w:szCs w:val="20"/>
                <w:color w:val="auto"/>
              </w:rPr>
            </w:pPr>
            <w:r>
              <w:rPr>
                <w:rFonts w:ascii="Arial" w:cs="Arial" w:eastAsia="Arial" w:hAnsi="Arial"/>
                <w:sz w:val="20"/>
                <w:szCs w:val="20"/>
                <w:color w:val="auto"/>
              </w:rPr>
              <w:t>1,006</w:t>
            </w:r>
          </w:p>
        </w:tc>
        <w:tc>
          <w:tcPr>
            <w:tcW w:w="0" w:type="dxa"/>
            <w:vAlign w:val="bottom"/>
          </w:tcPr>
          <w:p>
            <w:pPr>
              <w:spacing w:after="0"/>
              <w:rPr>
                <w:sz w:val="1"/>
                <w:szCs w:val="1"/>
                <w:color w:val="auto"/>
              </w:rPr>
            </w:pPr>
          </w:p>
        </w:tc>
      </w:tr>
      <w:tr>
        <w:trPr>
          <w:trHeight w:val="297"/>
        </w:trPr>
        <w:tc>
          <w:tcPr>
            <w:tcW w:w="3960" w:type="dxa"/>
            <w:vAlign w:val="bottom"/>
          </w:tcPr>
          <w:p>
            <w:pPr>
              <w:ind w:left="220"/>
              <w:spacing w:after="0"/>
              <w:rPr>
                <w:sz w:val="20"/>
                <w:szCs w:val="20"/>
                <w:color w:val="auto"/>
              </w:rPr>
            </w:pPr>
            <w:r>
              <w:rPr>
                <w:rFonts w:ascii="Arial" w:cs="Arial" w:eastAsia="Arial" w:hAnsi="Arial"/>
                <w:sz w:val="20"/>
                <w:szCs w:val="20"/>
                <w:color w:val="auto"/>
              </w:rPr>
              <w:t>Advertising</w:t>
            </w:r>
          </w:p>
        </w:tc>
        <w:tc>
          <w:tcPr>
            <w:tcW w:w="840" w:type="dxa"/>
            <w:vAlign w:val="bottom"/>
          </w:tcPr>
          <w:p>
            <w:pPr>
              <w:spacing w:after="0"/>
              <w:rPr>
                <w:sz w:val="24"/>
                <w:szCs w:val="24"/>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color w:val="auto"/>
              </w:rPr>
              <w:t>3</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2</w:t>
            </w:r>
          </w:p>
        </w:tc>
        <w:tc>
          <w:tcPr>
            <w:tcW w:w="800" w:type="dxa"/>
            <w:vAlign w:val="bottom"/>
          </w:tcPr>
          <w:p>
            <w:pPr>
              <w:spacing w:after="0"/>
              <w:rPr>
                <w:sz w:val="24"/>
                <w:szCs w:val="24"/>
                <w:color w:val="auto"/>
              </w:rPr>
            </w:pPr>
          </w:p>
        </w:tc>
        <w:tc>
          <w:tcPr>
            <w:tcW w:w="1580" w:type="dxa"/>
            <w:vAlign w:val="bottom"/>
          </w:tcPr>
          <w:p>
            <w:pPr>
              <w:jc w:val="right"/>
              <w:ind w:right="601"/>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0"/>
        </w:trPr>
        <w:tc>
          <w:tcPr>
            <w:tcW w:w="3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60" w:type="dxa"/>
            <w:vAlign w:val="bottom"/>
          </w:tcPr>
          <w:p>
            <w:pPr>
              <w:ind w:left="20"/>
              <w:spacing w:after="0"/>
              <w:rPr>
                <w:sz w:val="20"/>
                <w:szCs w:val="20"/>
                <w:color w:val="auto"/>
              </w:rPr>
            </w:pPr>
            <w:r>
              <w:rPr>
                <w:rFonts w:ascii="Arial" w:cs="Arial" w:eastAsia="Arial" w:hAnsi="Arial"/>
                <w:sz w:val="20"/>
                <w:szCs w:val="20"/>
                <w:color w:val="auto"/>
              </w:rPr>
              <w:t>Revenues</w:t>
            </w:r>
          </w:p>
        </w:tc>
        <w:tc>
          <w:tcPr>
            <w:tcW w:w="840" w:type="dxa"/>
            <w:vAlign w:val="bottom"/>
          </w:tcPr>
          <w:p>
            <w:pPr>
              <w:spacing w:after="0"/>
              <w:rPr>
                <w:sz w:val="22"/>
                <w:szCs w:val="22"/>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color w:val="auto"/>
              </w:rPr>
              <w:t>627</w:t>
            </w:r>
          </w:p>
        </w:tc>
        <w:tc>
          <w:tcPr>
            <w:tcW w:w="820" w:type="dxa"/>
            <w:vAlign w:val="bottom"/>
          </w:tcPr>
          <w:p>
            <w:pPr>
              <w:spacing w:after="0"/>
              <w:rPr>
                <w:sz w:val="22"/>
                <w:szCs w:val="22"/>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532</w:t>
            </w:r>
          </w:p>
        </w:tc>
        <w:tc>
          <w:tcPr>
            <w:tcW w:w="800" w:type="dxa"/>
            <w:vAlign w:val="bottom"/>
          </w:tcPr>
          <w:p>
            <w:pPr>
              <w:spacing w:after="0"/>
              <w:rPr>
                <w:sz w:val="22"/>
                <w:szCs w:val="22"/>
                <w:color w:val="auto"/>
              </w:rPr>
            </w:pPr>
          </w:p>
        </w:tc>
        <w:tc>
          <w:tcPr>
            <w:tcW w:w="1580" w:type="dxa"/>
            <w:vAlign w:val="bottom"/>
          </w:tcPr>
          <w:p>
            <w:pPr>
              <w:jc w:val="right"/>
              <w:ind w:right="601"/>
              <w:spacing w:after="0"/>
              <w:rPr>
                <w:sz w:val="20"/>
                <w:szCs w:val="20"/>
                <w:color w:val="auto"/>
              </w:rPr>
            </w:pPr>
            <w:r>
              <w:rPr>
                <w:rFonts w:ascii="Arial" w:cs="Arial" w:eastAsia="Arial" w:hAnsi="Arial"/>
                <w:sz w:val="20"/>
                <w:szCs w:val="20"/>
                <w:color w:val="auto"/>
              </w:rPr>
              <w:t>1,159</w:t>
            </w:r>
          </w:p>
        </w:tc>
        <w:tc>
          <w:tcPr>
            <w:tcW w:w="0" w:type="dxa"/>
            <w:vAlign w:val="bottom"/>
          </w:tcPr>
          <w:p>
            <w:pPr>
              <w:spacing w:after="0"/>
              <w:rPr>
                <w:sz w:val="1"/>
                <w:szCs w:val="1"/>
                <w:color w:val="auto"/>
              </w:rPr>
            </w:pPr>
          </w:p>
        </w:tc>
      </w:tr>
      <w:tr>
        <w:trPr>
          <w:trHeight w:val="405"/>
        </w:trPr>
        <w:tc>
          <w:tcPr>
            <w:tcW w:w="3960" w:type="dxa"/>
            <w:vAlign w:val="bottom"/>
          </w:tcPr>
          <w:p>
            <w:pPr>
              <w:ind w:left="120"/>
              <w:spacing w:after="0"/>
              <w:rPr>
                <w:sz w:val="20"/>
                <w:szCs w:val="20"/>
                <w:color w:val="auto"/>
              </w:rPr>
            </w:pPr>
            <w:r>
              <w:rPr>
                <w:rFonts w:ascii="Arial" w:cs="Arial" w:eastAsia="Arial" w:hAnsi="Arial"/>
                <w:sz w:val="20"/>
                <w:szCs w:val="20"/>
                <w:color w:val="auto"/>
              </w:rPr>
              <w:t>Content costs</w:t>
            </w:r>
          </w:p>
        </w:tc>
        <w:tc>
          <w:tcPr>
            <w:tcW w:w="840" w:type="dxa"/>
            <w:vAlign w:val="bottom"/>
          </w:tcPr>
          <w:p>
            <w:pPr>
              <w:spacing w:after="0"/>
              <w:rPr>
                <w:sz w:val="24"/>
                <w:szCs w:val="24"/>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color w:val="auto"/>
              </w:rPr>
              <w:t>321</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417</w:t>
            </w:r>
          </w:p>
        </w:tc>
        <w:tc>
          <w:tcPr>
            <w:tcW w:w="800" w:type="dxa"/>
            <w:vAlign w:val="bottom"/>
          </w:tcPr>
          <w:p>
            <w:pPr>
              <w:spacing w:after="0"/>
              <w:rPr>
                <w:sz w:val="24"/>
                <w:szCs w:val="24"/>
                <w:color w:val="auto"/>
              </w:rPr>
            </w:pPr>
          </w:p>
        </w:tc>
        <w:tc>
          <w:tcPr>
            <w:tcW w:w="1580" w:type="dxa"/>
            <w:vAlign w:val="bottom"/>
          </w:tcPr>
          <w:p>
            <w:pPr>
              <w:jc w:val="right"/>
              <w:ind w:right="601"/>
              <w:spacing w:after="0"/>
              <w:rPr>
                <w:sz w:val="20"/>
                <w:szCs w:val="20"/>
                <w:color w:val="auto"/>
              </w:rPr>
            </w:pPr>
            <w:r>
              <w:rPr>
                <w:rFonts w:ascii="Arial" w:cs="Arial" w:eastAsia="Arial" w:hAnsi="Arial"/>
                <w:sz w:val="20"/>
                <w:szCs w:val="20"/>
                <w:color w:val="auto"/>
              </w:rPr>
              <w:t>738</w:t>
            </w:r>
          </w:p>
        </w:tc>
        <w:tc>
          <w:tcPr>
            <w:tcW w:w="0" w:type="dxa"/>
            <w:vAlign w:val="bottom"/>
          </w:tcPr>
          <w:p>
            <w:pPr>
              <w:spacing w:after="0"/>
              <w:rPr>
                <w:sz w:val="1"/>
                <w:szCs w:val="1"/>
                <w:color w:val="auto"/>
              </w:rPr>
            </w:pPr>
          </w:p>
        </w:tc>
      </w:tr>
      <w:tr>
        <w:trPr>
          <w:trHeight w:val="297"/>
        </w:trPr>
        <w:tc>
          <w:tcPr>
            <w:tcW w:w="3960" w:type="dxa"/>
            <w:vAlign w:val="bottom"/>
          </w:tcPr>
          <w:p>
            <w:pPr>
              <w:ind w:left="120"/>
              <w:spacing w:after="0"/>
              <w:rPr>
                <w:sz w:val="20"/>
                <w:szCs w:val="20"/>
                <w:color w:val="auto"/>
              </w:rPr>
            </w:pPr>
            <w:r>
              <w:rPr>
                <w:rFonts w:ascii="Arial" w:cs="Arial" w:eastAsia="Arial" w:hAnsi="Arial"/>
                <w:sz w:val="20"/>
                <w:szCs w:val="20"/>
                <w:color w:val="auto"/>
              </w:rPr>
              <w:t>Advertising and marketing</w:t>
            </w:r>
          </w:p>
        </w:tc>
        <w:tc>
          <w:tcPr>
            <w:tcW w:w="840" w:type="dxa"/>
            <w:vAlign w:val="bottom"/>
          </w:tcPr>
          <w:p>
            <w:pPr>
              <w:spacing w:after="0"/>
              <w:rPr>
                <w:sz w:val="24"/>
                <w:szCs w:val="24"/>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color w:val="auto"/>
              </w:rPr>
              <w:t>116</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1</w:t>
            </w:r>
          </w:p>
        </w:tc>
        <w:tc>
          <w:tcPr>
            <w:tcW w:w="800" w:type="dxa"/>
            <w:vAlign w:val="bottom"/>
          </w:tcPr>
          <w:p>
            <w:pPr>
              <w:spacing w:after="0"/>
              <w:rPr>
                <w:sz w:val="24"/>
                <w:szCs w:val="24"/>
                <w:color w:val="auto"/>
              </w:rPr>
            </w:pPr>
          </w:p>
        </w:tc>
        <w:tc>
          <w:tcPr>
            <w:tcW w:w="1580" w:type="dxa"/>
            <w:vAlign w:val="bottom"/>
          </w:tcPr>
          <w:p>
            <w:pPr>
              <w:jc w:val="right"/>
              <w:ind w:right="601"/>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97"/>
        </w:trPr>
        <w:tc>
          <w:tcPr>
            <w:tcW w:w="3960" w:type="dxa"/>
            <w:vAlign w:val="bottom"/>
          </w:tcPr>
          <w:p>
            <w:pPr>
              <w:ind w:left="120"/>
              <w:spacing w:after="0"/>
              <w:rPr>
                <w:sz w:val="20"/>
                <w:szCs w:val="20"/>
                <w:color w:val="auto"/>
              </w:rPr>
            </w:pPr>
            <w:r>
              <w:rPr>
                <w:rFonts w:ascii="Arial" w:cs="Arial" w:eastAsia="Arial" w:hAnsi="Arial"/>
                <w:sz w:val="20"/>
                <w:szCs w:val="20"/>
                <w:color w:val="auto"/>
              </w:rPr>
              <w:t>Other</w:t>
            </w:r>
          </w:p>
        </w:tc>
        <w:tc>
          <w:tcPr>
            <w:tcW w:w="840" w:type="dxa"/>
            <w:vAlign w:val="bottom"/>
          </w:tcPr>
          <w:p>
            <w:pPr>
              <w:spacing w:after="0"/>
              <w:rPr>
                <w:sz w:val="24"/>
                <w:szCs w:val="24"/>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color w:val="auto"/>
              </w:rPr>
              <w:t>170</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52</w:t>
            </w:r>
          </w:p>
        </w:tc>
        <w:tc>
          <w:tcPr>
            <w:tcW w:w="800" w:type="dxa"/>
            <w:vAlign w:val="bottom"/>
          </w:tcPr>
          <w:p>
            <w:pPr>
              <w:spacing w:after="0"/>
              <w:rPr>
                <w:sz w:val="24"/>
                <w:szCs w:val="24"/>
                <w:color w:val="auto"/>
              </w:rPr>
            </w:pPr>
          </w:p>
        </w:tc>
        <w:tc>
          <w:tcPr>
            <w:tcW w:w="1580" w:type="dxa"/>
            <w:vAlign w:val="bottom"/>
          </w:tcPr>
          <w:p>
            <w:pPr>
              <w:jc w:val="right"/>
              <w:ind w:right="601"/>
              <w:spacing w:after="0"/>
              <w:rPr>
                <w:sz w:val="20"/>
                <w:szCs w:val="20"/>
                <w:color w:val="auto"/>
              </w:rPr>
            </w:pPr>
            <w:r>
              <w:rPr>
                <w:rFonts w:ascii="Arial" w:cs="Arial" w:eastAsia="Arial" w:hAnsi="Arial"/>
                <w:sz w:val="20"/>
                <w:szCs w:val="20"/>
                <w:color w:val="auto"/>
              </w:rPr>
              <w:t>222</w:t>
            </w:r>
          </w:p>
        </w:tc>
        <w:tc>
          <w:tcPr>
            <w:tcW w:w="0" w:type="dxa"/>
            <w:vAlign w:val="bottom"/>
          </w:tcPr>
          <w:p>
            <w:pPr>
              <w:spacing w:after="0"/>
              <w:rPr>
                <w:sz w:val="1"/>
                <w:szCs w:val="1"/>
                <w:color w:val="auto"/>
              </w:rPr>
            </w:pPr>
          </w:p>
        </w:tc>
      </w:tr>
      <w:tr>
        <w:trPr>
          <w:trHeight w:val="30"/>
        </w:trPr>
        <w:tc>
          <w:tcPr>
            <w:tcW w:w="3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60" w:type="dxa"/>
            <w:vAlign w:val="bottom"/>
          </w:tcPr>
          <w:p>
            <w:pPr>
              <w:ind w:left="20"/>
              <w:spacing w:after="0"/>
              <w:rPr>
                <w:sz w:val="20"/>
                <w:szCs w:val="20"/>
                <w:color w:val="auto"/>
              </w:rPr>
            </w:pPr>
            <w:r>
              <w:rPr>
                <w:rFonts w:ascii="Arial" w:cs="Arial" w:eastAsia="Arial" w:hAnsi="Arial"/>
                <w:sz w:val="20"/>
                <w:szCs w:val="20"/>
                <w:color w:val="auto"/>
              </w:rPr>
              <w:t>Expenses</w:t>
            </w:r>
          </w:p>
        </w:tc>
        <w:tc>
          <w:tcPr>
            <w:tcW w:w="840" w:type="dxa"/>
            <w:vAlign w:val="bottom"/>
          </w:tcPr>
          <w:p>
            <w:pPr>
              <w:spacing w:after="0"/>
              <w:rPr>
                <w:sz w:val="22"/>
                <w:szCs w:val="22"/>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color w:val="auto"/>
              </w:rPr>
              <w:t>607</w:t>
            </w:r>
          </w:p>
        </w:tc>
        <w:tc>
          <w:tcPr>
            <w:tcW w:w="820" w:type="dxa"/>
            <w:vAlign w:val="bottom"/>
          </w:tcPr>
          <w:p>
            <w:pPr>
              <w:spacing w:after="0"/>
              <w:rPr>
                <w:sz w:val="22"/>
                <w:szCs w:val="22"/>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470</w:t>
            </w:r>
          </w:p>
        </w:tc>
        <w:tc>
          <w:tcPr>
            <w:tcW w:w="800" w:type="dxa"/>
            <w:vAlign w:val="bottom"/>
          </w:tcPr>
          <w:p>
            <w:pPr>
              <w:spacing w:after="0"/>
              <w:rPr>
                <w:sz w:val="22"/>
                <w:szCs w:val="22"/>
                <w:color w:val="auto"/>
              </w:rPr>
            </w:pPr>
          </w:p>
        </w:tc>
        <w:tc>
          <w:tcPr>
            <w:tcW w:w="1580" w:type="dxa"/>
            <w:vAlign w:val="bottom"/>
          </w:tcPr>
          <w:p>
            <w:pPr>
              <w:jc w:val="right"/>
              <w:ind w:right="601"/>
              <w:spacing w:after="0"/>
              <w:rPr>
                <w:sz w:val="20"/>
                <w:szCs w:val="20"/>
                <w:color w:val="auto"/>
              </w:rPr>
            </w:pPr>
            <w:r>
              <w:rPr>
                <w:rFonts w:ascii="Arial" w:cs="Arial" w:eastAsia="Arial" w:hAnsi="Arial"/>
                <w:sz w:val="20"/>
                <w:szCs w:val="20"/>
                <w:color w:val="auto"/>
              </w:rPr>
              <w:t>1,077</w:t>
            </w:r>
          </w:p>
        </w:tc>
        <w:tc>
          <w:tcPr>
            <w:tcW w:w="0" w:type="dxa"/>
            <w:vAlign w:val="bottom"/>
          </w:tcPr>
          <w:p>
            <w:pPr>
              <w:spacing w:after="0"/>
              <w:rPr>
                <w:sz w:val="1"/>
                <w:szCs w:val="1"/>
                <w:color w:val="auto"/>
              </w:rPr>
            </w:pPr>
          </w:p>
        </w:tc>
      </w:tr>
      <w:tr>
        <w:trPr>
          <w:trHeight w:val="44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w:t>
            </w: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62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935" w:right="339" w:bottom="1440" w:gutter="0" w:footer="0" w:header="0"/>
          <w:type w:val="continuous"/>
        </w:sectPr>
      </w:pPr>
    </w:p>
    <w:bookmarkStart w:id="22" w:name="page23"/>
    <w:bookmarkEnd w:id="22"/>
    <w:p>
      <w:pPr>
        <w:jc w:val="center"/>
        <w:ind w:right="240"/>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2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(Unaudited; in millions)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121920</wp:posOffset>
            </wp:positionV>
            <wp:extent cx="679767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97675" cy="17145"/>
                    </a:xfrm>
                    <a:prstGeom prst="rect">
                      <a:avLst/>
                    </a:prstGeom>
                    <a:noFill/>
                  </pic:spPr>
                </pic:pic>
              </a:graphicData>
            </a:graphic>
          </wp:anchor>
        </w:drawing>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273"/>
        </w:trPr>
        <w:tc>
          <w:tcPr>
            <w:tcW w:w="3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jc w:val="center"/>
              <w:ind w:right="681"/>
              <w:spacing w:after="0"/>
              <w:rPr>
                <w:sz w:val="20"/>
                <w:szCs w:val="20"/>
                <w:color w:val="auto"/>
              </w:rPr>
            </w:pPr>
            <w:r>
              <w:rPr>
                <w:rFonts w:ascii="Arial" w:cs="Arial" w:eastAsia="Arial" w:hAnsi="Arial"/>
                <w:sz w:val="20"/>
                <w:szCs w:val="20"/>
                <w:b w:val="1"/>
                <w:bCs w:val="1"/>
                <w:color w:val="auto"/>
              </w:rPr>
              <w:t>GAAP</w:t>
            </w:r>
          </w:p>
        </w:tc>
        <w:tc>
          <w:tcPr>
            <w:tcW w:w="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Non-GAAP</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96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Three Months Ended</w:t>
            </w: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0" w:type="dxa"/>
            <w:vAlign w:val="bottom"/>
          </w:tcPr>
          <w:p>
            <w:pPr>
              <w:spacing w:after="0"/>
              <w:rPr>
                <w:sz w:val="1"/>
                <w:szCs w:val="1"/>
                <w:color w:val="auto"/>
              </w:rPr>
            </w:pPr>
          </w:p>
        </w:tc>
      </w:tr>
      <w:tr>
        <w:trPr>
          <w:trHeight w:val="273"/>
        </w:trPr>
        <w:tc>
          <w:tcPr>
            <w:tcW w:w="3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0" w:type="dxa"/>
            <w:vAlign w:val="bottom"/>
          </w:tcPr>
          <w:p>
            <w:pPr>
              <w:jc w:val="center"/>
              <w:ind w:right="681"/>
              <w:spacing w:after="0"/>
              <w:rPr>
                <w:sz w:val="20"/>
                <w:szCs w:val="20"/>
                <w:color w:val="auto"/>
              </w:rPr>
            </w:pPr>
            <w:r>
              <w:rPr>
                <w:rFonts w:ascii="Arial" w:cs="Arial" w:eastAsia="Arial" w:hAnsi="Arial"/>
                <w:sz w:val="20"/>
                <w:szCs w:val="20"/>
                <w:b w:val="1"/>
                <w:bCs w:val="1"/>
                <w:color w:val="auto"/>
                <w:w w:val="97"/>
              </w:rPr>
              <w:t>June 30,</w:t>
            </w:r>
          </w:p>
        </w:tc>
        <w:tc>
          <w:tcPr>
            <w:tcW w:w="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20" w:type="dxa"/>
            <w:vAlign w:val="bottom"/>
          </w:tcPr>
          <w:p>
            <w:pPr>
              <w:jc w:val="center"/>
              <w:ind w:right="681"/>
              <w:spacing w:after="0"/>
              <w:rPr>
                <w:sz w:val="20"/>
                <w:szCs w:val="20"/>
                <w:color w:val="auto"/>
              </w:rPr>
            </w:pPr>
            <w:r>
              <w:rPr>
                <w:rFonts w:ascii="Arial" w:cs="Arial" w:eastAsia="Arial" w:hAnsi="Arial"/>
                <w:sz w:val="20"/>
                <w:szCs w:val="20"/>
                <w:b w:val="1"/>
                <w:bCs w:val="1"/>
                <w:color w:val="auto"/>
                <w:w w:val="99"/>
              </w:rPr>
              <w:t>June 30,</w:t>
            </w:r>
          </w:p>
        </w:tc>
        <w:tc>
          <w:tcPr>
            <w:tcW w:w="0" w:type="dxa"/>
            <w:vAlign w:val="bottom"/>
          </w:tcPr>
          <w:p>
            <w:pPr>
              <w:spacing w:after="0"/>
              <w:rPr>
                <w:sz w:val="1"/>
                <w:szCs w:val="1"/>
                <w:color w:val="auto"/>
              </w:rPr>
            </w:pPr>
          </w:p>
        </w:tc>
      </w:tr>
      <w:tr>
        <w:trPr>
          <w:trHeight w:val="283"/>
        </w:trPr>
        <w:tc>
          <w:tcPr>
            <w:tcW w:w="3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jc w:val="center"/>
              <w:ind w:right="701"/>
              <w:spacing w:after="0"/>
              <w:rPr>
                <w:sz w:val="20"/>
                <w:szCs w:val="20"/>
                <w:color w:val="auto"/>
              </w:rPr>
            </w:pPr>
            <w:r>
              <w:rPr>
                <w:rFonts w:ascii="Arial" w:cs="Arial" w:eastAsia="Arial" w:hAnsi="Arial"/>
                <w:sz w:val="20"/>
                <w:szCs w:val="20"/>
                <w:b w:val="1"/>
                <w:bCs w:val="1"/>
                <w:color w:val="auto"/>
                <w:w w:val="98"/>
              </w:rPr>
              <w:t>2025</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jc w:val="center"/>
              <w:ind w:right="68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1980" w:type="dxa"/>
            <w:vAlign w:val="bottom"/>
            <w:gridSpan w:val="2"/>
            <w:vMerge w:val="restart"/>
          </w:tcPr>
          <w:p>
            <w:pPr>
              <w:jc w:val="right"/>
              <w:ind w:right="20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9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8"/>
              </w:rPr>
              <w:t>Filmed Entertainment</w:t>
            </w:r>
          </w:p>
        </w:tc>
        <w:tc>
          <w:tcPr>
            <w:tcW w:w="1980" w:type="dxa"/>
            <w:vAlign w:val="bottom"/>
            <w:tcBorders>
              <w:bottom w:val="single" w:sz="8" w:color="auto"/>
            </w:tcBorders>
            <w:gridSpan w:val="2"/>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681"/>
              <w:spacing w:after="0"/>
              <w:rPr>
                <w:sz w:val="20"/>
                <w:szCs w:val="20"/>
                <w:color w:val="auto"/>
              </w:rPr>
            </w:pPr>
            <w:r>
              <w:rPr>
                <w:rFonts w:ascii="Arial" w:cs="Arial" w:eastAsia="Arial" w:hAnsi="Arial"/>
                <w:sz w:val="20"/>
                <w:szCs w:val="20"/>
                <w:b w:val="1"/>
                <w:bCs w:val="1"/>
                <w:color w:val="auto"/>
                <w:w w:val="98"/>
              </w:rPr>
              <w:t>Studios</w:t>
            </w:r>
          </w:p>
        </w:tc>
        <w:tc>
          <w:tcPr>
            <w:tcW w:w="0" w:type="dxa"/>
            <w:vAlign w:val="bottom"/>
          </w:tcPr>
          <w:p>
            <w:pPr>
              <w:spacing w:after="0"/>
              <w:rPr>
                <w:sz w:val="1"/>
                <w:szCs w:val="1"/>
                <w:color w:val="auto"/>
              </w:rPr>
            </w:pPr>
          </w:p>
        </w:tc>
      </w:tr>
      <w:tr>
        <w:trPr>
          <w:trHeight w:val="260"/>
        </w:trPr>
        <w:tc>
          <w:tcPr>
            <w:tcW w:w="3960" w:type="dxa"/>
            <w:vAlign w:val="bottom"/>
          </w:tcPr>
          <w:p>
            <w:pPr>
              <w:ind w:left="220"/>
              <w:spacing w:after="0"/>
              <w:rPr>
                <w:sz w:val="20"/>
                <w:szCs w:val="20"/>
                <w:color w:val="auto"/>
              </w:rPr>
            </w:pPr>
            <w:r>
              <w:rPr>
                <w:rFonts w:ascii="Arial" w:cs="Arial" w:eastAsia="Arial" w:hAnsi="Arial"/>
                <w:sz w:val="20"/>
                <w:szCs w:val="20"/>
                <w:color w:val="auto"/>
              </w:rPr>
              <w:t>Theatrical</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621"/>
              <w:spacing w:after="0"/>
              <w:rPr>
                <w:sz w:val="20"/>
                <w:szCs w:val="20"/>
                <w:color w:val="auto"/>
              </w:rPr>
            </w:pPr>
            <w:r>
              <w:rPr>
                <w:rFonts w:ascii="Arial" w:cs="Arial" w:eastAsia="Arial" w:hAnsi="Arial"/>
                <w:sz w:val="20"/>
                <w:szCs w:val="20"/>
                <w:color w:val="auto"/>
              </w:rPr>
              <w:t>254</w:t>
            </w:r>
          </w:p>
        </w:tc>
        <w:tc>
          <w:tcPr>
            <w:tcW w:w="8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ind w:right="621"/>
              <w:spacing w:after="0"/>
              <w:rPr>
                <w:sz w:val="20"/>
                <w:szCs w:val="20"/>
                <w:color w:val="auto"/>
              </w:rPr>
            </w:pPr>
            <w:r>
              <w:rPr>
                <w:rFonts w:ascii="Arial" w:cs="Arial" w:eastAsia="Arial" w:hAnsi="Arial"/>
                <w:sz w:val="20"/>
                <w:szCs w:val="20"/>
                <w:color w:val="auto"/>
              </w:rPr>
              <w:t>254</w:t>
            </w:r>
          </w:p>
        </w:tc>
        <w:tc>
          <w:tcPr>
            <w:tcW w:w="0" w:type="dxa"/>
            <w:vAlign w:val="bottom"/>
          </w:tcPr>
          <w:p>
            <w:pPr>
              <w:spacing w:after="0"/>
              <w:rPr>
                <w:sz w:val="1"/>
                <w:szCs w:val="1"/>
                <w:color w:val="auto"/>
              </w:rPr>
            </w:pPr>
          </w:p>
        </w:tc>
      </w:tr>
      <w:tr>
        <w:trPr>
          <w:trHeight w:val="297"/>
        </w:trPr>
        <w:tc>
          <w:tcPr>
            <w:tcW w:w="3960" w:type="dxa"/>
            <w:vAlign w:val="bottom"/>
          </w:tcPr>
          <w:p>
            <w:pPr>
              <w:ind w:left="220"/>
              <w:spacing w:after="0"/>
              <w:rPr>
                <w:sz w:val="20"/>
                <w:szCs w:val="20"/>
                <w:color w:val="auto"/>
              </w:rPr>
            </w:pPr>
            <w:r>
              <w:rPr>
                <w:rFonts w:ascii="Arial" w:cs="Arial" w:eastAsia="Arial" w:hAnsi="Arial"/>
                <w:sz w:val="20"/>
                <w:szCs w:val="20"/>
                <w:color w:val="auto"/>
              </w:rPr>
              <w:t>Licensing and other</w:t>
            </w:r>
          </w:p>
        </w:tc>
        <w:tc>
          <w:tcPr>
            <w:tcW w:w="780" w:type="dxa"/>
            <w:vAlign w:val="bottom"/>
          </w:tcPr>
          <w:p>
            <w:pPr>
              <w:spacing w:after="0"/>
              <w:rPr>
                <w:sz w:val="24"/>
                <w:szCs w:val="24"/>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color w:val="auto"/>
              </w:rPr>
              <w:t>434</w:t>
            </w:r>
          </w:p>
        </w:tc>
        <w:tc>
          <w:tcPr>
            <w:tcW w:w="820" w:type="dxa"/>
            <w:vAlign w:val="bottom"/>
          </w:tcPr>
          <w:p>
            <w:pPr>
              <w:spacing w:after="0"/>
              <w:rPr>
                <w:sz w:val="24"/>
                <w:szCs w:val="24"/>
                <w:color w:val="auto"/>
              </w:rPr>
            </w:pPr>
          </w:p>
        </w:tc>
        <w:tc>
          <w:tcPr>
            <w:tcW w:w="1160" w:type="dxa"/>
            <w:vAlign w:val="bottom"/>
          </w:tcPr>
          <w:p>
            <w:pPr>
              <w:jc w:val="right"/>
              <w:ind w:right="461"/>
              <w:spacing w:after="0"/>
              <w:rPr>
                <w:sz w:val="20"/>
                <w:szCs w:val="20"/>
                <w:color w:val="auto"/>
              </w:rPr>
            </w:pPr>
            <w:r>
              <w:rPr>
                <w:rFonts w:ascii="Arial" w:cs="Arial" w:eastAsia="Arial" w:hAnsi="Arial"/>
                <w:sz w:val="20"/>
                <w:szCs w:val="20"/>
                <w:color w:val="auto"/>
              </w:rPr>
              <w:t>443</w:t>
            </w:r>
          </w:p>
        </w:tc>
        <w:tc>
          <w:tcPr>
            <w:tcW w:w="760" w:type="dxa"/>
            <w:vAlign w:val="bottom"/>
          </w:tcPr>
          <w:p>
            <w:pPr>
              <w:spacing w:after="0"/>
              <w:rPr>
                <w:sz w:val="24"/>
                <w:szCs w:val="24"/>
                <w:color w:val="auto"/>
              </w:rPr>
            </w:pPr>
          </w:p>
        </w:tc>
        <w:tc>
          <w:tcPr>
            <w:tcW w:w="1620" w:type="dxa"/>
            <w:vAlign w:val="bottom"/>
          </w:tcPr>
          <w:p>
            <w:pPr>
              <w:jc w:val="right"/>
              <w:ind w:right="621"/>
              <w:spacing w:after="0"/>
              <w:rPr>
                <w:sz w:val="20"/>
                <w:szCs w:val="20"/>
                <w:color w:val="auto"/>
              </w:rPr>
            </w:pPr>
            <w:r>
              <w:rPr>
                <w:rFonts w:ascii="Arial" w:cs="Arial" w:eastAsia="Arial" w:hAnsi="Arial"/>
                <w:sz w:val="20"/>
                <w:szCs w:val="20"/>
                <w:color w:val="auto"/>
              </w:rPr>
              <w:t>877</w:t>
            </w:r>
          </w:p>
        </w:tc>
        <w:tc>
          <w:tcPr>
            <w:tcW w:w="0" w:type="dxa"/>
            <w:vAlign w:val="bottom"/>
          </w:tcPr>
          <w:p>
            <w:pPr>
              <w:spacing w:after="0"/>
              <w:rPr>
                <w:sz w:val="1"/>
                <w:szCs w:val="1"/>
                <w:color w:val="auto"/>
              </w:rPr>
            </w:pPr>
          </w:p>
        </w:tc>
      </w:tr>
      <w:tr>
        <w:trPr>
          <w:trHeight w:val="297"/>
        </w:trPr>
        <w:tc>
          <w:tcPr>
            <w:tcW w:w="3960" w:type="dxa"/>
            <w:vAlign w:val="bottom"/>
          </w:tcPr>
          <w:p>
            <w:pPr>
              <w:ind w:left="220"/>
              <w:spacing w:after="0"/>
              <w:rPr>
                <w:sz w:val="20"/>
                <w:szCs w:val="20"/>
                <w:color w:val="auto"/>
              </w:rPr>
            </w:pPr>
            <w:r>
              <w:rPr>
                <w:rFonts w:ascii="Arial" w:cs="Arial" w:eastAsia="Arial" w:hAnsi="Arial"/>
                <w:sz w:val="20"/>
                <w:szCs w:val="20"/>
                <w:color w:val="auto"/>
              </w:rPr>
              <w:t>Advertising</w:t>
            </w:r>
          </w:p>
        </w:tc>
        <w:tc>
          <w:tcPr>
            <w:tcW w:w="780" w:type="dxa"/>
            <w:vAlign w:val="bottom"/>
          </w:tcPr>
          <w:p>
            <w:pPr>
              <w:spacing w:after="0"/>
              <w:rPr>
                <w:sz w:val="24"/>
                <w:szCs w:val="24"/>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color w:val="auto"/>
              </w:rPr>
              <w:t>2</w:t>
            </w:r>
          </w:p>
        </w:tc>
        <w:tc>
          <w:tcPr>
            <w:tcW w:w="820" w:type="dxa"/>
            <w:vAlign w:val="bottom"/>
          </w:tcPr>
          <w:p>
            <w:pPr>
              <w:spacing w:after="0"/>
              <w:rPr>
                <w:sz w:val="24"/>
                <w:szCs w:val="24"/>
                <w:color w:val="auto"/>
              </w:rPr>
            </w:pPr>
          </w:p>
        </w:tc>
        <w:tc>
          <w:tcPr>
            <w:tcW w:w="1160" w:type="dxa"/>
            <w:vAlign w:val="bottom"/>
          </w:tcPr>
          <w:p>
            <w:pPr>
              <w:jc w:val="right"/>
              <w:ind w:right="461"/>
              <w:spacing w:after="0"/>
              <w:rPr>
                <w:sz w:val="20"/>
                <w:szCs w:val="20"/>
                <w:color w:val="auto"/>
              </w:rPr>
            </w:pPr>
            <w:r>
              <w:rPr>
                <w:rFonts w:ascii="Arial" w:cs="Arial" w:eastAsia="Arial" w:hAnsi="Arial"/>
                <w:sz w:val="20"/>
                <w:szCs w:val="20"/>
                <w:color w:val="auto"/>
              </w:rPr>
              <w:t>2</w:t>
            </w:r>
          </w:p>
        </w:tc>
        <w:tc>
          <w:tcPr>
            <w:tcW w:w="760" w:type="dxa"/>
            <w:vAlign w:val="bottom"/>
          </w:tcPr>
          <w:p>
            <w:pPr>
              <w:spacing w:after="0"/>
              <w:rPr>
                <w:sz w:val="24"/>
                <w:szCs w:val="24"/>
                <w:color w:val="auto"/>
              </w:rPr>
            </w:pPr>
          </w:p>
        </w:tc>
        <w:tc>
          <w:tcPr>
            <w:tcW w:w="1620" w:type="dxa"/>
            <w:vAlign w:val="bottom"/>
          </w:tcPr>
          <w:p>
            <w:pPr>
              <w:jc w:val="right"/>
              <w:ind w:right="62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1"/>
        </w:trPr>
        <w:tc>
          <w:tcPr>
            <w:tcW w:w="3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Arial" w:cs="Arial" w:eastAsia="Arial" w:hAnsi="Arial"/>
                <w:sz w:val="20"/>
                <w:szCs w:val="20"/>
                <w:color w:val="auto"/>
              </w:rPr>
              <w:t>Revenues</w:t>
            </w:r>
          </w:p>
        </w:tc>
        <w:tc>
          <w:tcPr>
            <w:tcW w:w="780" w:type="dxa"/>
            <w:vAlign w:val="bottom"/>
          </w:tcPr>
          <w:p>
            <w:pPr>
              <w:spacing w:after="0"/>
              <w:rPr>
                <w:sz w:val="22"/>
                <w:szCs w:val="22"/>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color w:val="auto"/>
              </w:rPr>
              <w:t>690</w:t>
            </w:r>
          </w:p>
        </w:tc>
        <w:tc>
          <w:tcPr>
            <w:tcW w:w="820" w:type="dxa"/>
            <w:vAlign w:val="bottom"/>
          </w:tcPr>
          <w:p>
            <w:pPr>
              <w:spacing w:after="0"/>
              <w:rPr>
                <w:sz w:val="22"/>
                <w:szCs w:val="22"/>
                <w:color w:val="auto"/>
              </w:rPr>
            </w:pPr>
          </w:p>
        </w:tc>
        <w:tc>
          <w:tcPr>
            <w:tcW w:w="1160" w:type="dxa"/>
            <w:vAlign w:val="bottom"/>
          </w:tcPr>
          <w:p>
            <w:pPr>
              <w:jc w:val="right"/>
              <w:ind w:right="461"/>
              <w:spacing w:after="0"/>
              <w:rPr>
                <w:sz w:val="20"/>
                <w:szCs w:val="20"/>
                <w:color w:val="auto"/>
              </w:rPr>
            </w:pPr>
            <w:r>
              <w:rPr>
                <w:rFonts w:ascii="Arial" w:cs="Arial" w:eastAsia="Arial" w:hAnsi="Arial"/>
                <w:sz w:val="20"/>
                <w:szCs w:val="20"/>
                <w:color w:val="auto"/>
              </w:rPr>
              <w:t>445</w:t>
            </w:r>
          </w:p>
        </w:tc>
        <w:tc>
          <w:tcPr>
            <w:tcW w:w="760" w:type="dxa"/>
            <w:vAlign w:val="bottom"/>
          </w:tcPr>
          <w:p>
            <w:pPr>
              <w:spacing w:after="0"/>
              <w:rPr>
                <w:sz w:val="22"/>
                <w:szCs w:val="22"/>
                <w:color w:val="auto"/>
              </w:rPr>
            </w:pPr>
          </w:p>
        </w:tc>
        <w:tc>
          <w:tcPr>
            <w:tcW w:w="1620" w:type="dxa"/>
            <w:vAlign w:val="bottom"/>
          </w:tcPr>
          <w:p>
            <w:pPr>
              <w:jc w:val="right"/>
              <w:ind w:right="621"/>
              <w:spacing w:after="0"/>
              <w:rPr>
                <w:sz w:val="20"/>
                <w:szCs w:val="20"/>
                <w:color w:val="auto"/>
              </w:rPr>
            </w:pPr>
            <w:r>
              <w:rPr>
                <w:rFonts w:ascii="Arial" w:cs="Arial" w:eastAsia="Arial" w:hAnsi="Arial"/>
                <w:sz w:val="20"/>
                <w:szCs w:val="20"/>
                <w:color w:val="auto"/>
              </w:rPr>
              <w:t>1,135</w:t>
            </w:r>
          </w:p>
        </w:tc>
        <w:tc>
          <w:tcPr>
            <w:tcW w:w="0" w:type="dxa"/>
            <w:vAlign w:val="bottom"/>
          </w:tcPr>
          <w:p>
            <w:pPr>
              <w:spacing w:after="0"/>
              <w:rPr>
                <w:sz w:val="1"/>
                <w:szCs w:val="1"/>
                <w:color w:val="auto"/>
              </w:rPr>
            </w:pPr>
          </w:p>
        </w:tc>
      </w:tr>
      <w:tr>
        <w:trPr>
          <w:trHeight w:val="405"/>
        </w:trPr>
        <w:tc>
          <w:tcPr>
            <w:tcW w:w="3960" w:type="dxa"/>
            <w:vAlign w:val="bottom"/>
          </w:tcPr>
          <w:p>
            <w:pPr>
              <w:ind w:left="120"/>
              <w:spacing w:after="0"/>
              <w:rPr>
                <w:sz w:val="20"/>
                <w:szCs w:val="20"/>
                <w:color w:val="auto"/>
              </w:rPr>
            </w:pPr>
            <w:r>
              <w:rPr>
                <w:rFonts w:ascii="Arial" w:cs="Arial" w:eastAsia="Arial" w:hAnsi="Arial"/>
                <w:sz w:val="20"/>
                <w:szCs w:val="20"/>
                <w:color w:val="auto"/>
              </w:rPr>
              <w:t>Content costs</w:t>
            </w:r>
          </w:p>
        </w:tc>
        <w:tc>
          <w:tcPr>
            <w:tcW w:w="780" w:type="dxa"/>
            <w:vAlign w:val="bottom"/>
          </w:tcPr>
          <w:p>
            <w:pPr>
              <w:spacing w:after="0"/>
              <w:rPr>
                <w:sz w:val="24"/>
                <w:szCs w:val="24"/>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color w:val="auto"/>
              </w:rPr>
              <w:t>394</w:t>
            </w:r>
          </w:p>
        </w:tc>
        <w:tc>
          <w:tcPr>
            <w:tcW w:w="820" w:type="dxa"/>
            <w:vAlign w:val="bottom"/>
          </w:tcPr>
          <w:p>
            <w:pPr>
              <w:spacing w:after="0"/>
              <w:rPr>
                <w:sz w:val="24"/>
                <w:szCs w:val="24"/>
                <w:color w:val="auto"/>
              </w:rPr>
            </w:pPr>
          </w:p>
        </w:tc>
        <w:tc>
          <w:tcPr>
            <w:tcW w:w="1160" w:type="dxa"/>
            <w:vAlign w:val="bottom"/>
          </w:tcPr>
          <w:p>
            <w:pPr>
              <w:jc w:val="right"/>
              <w:ind w:right="461"/>
              <w:spacing w:after="0"/>
              <w:rPr>
                <w:sz w:val="20"/>
                <w:szCs w:val="20"/>
                <w:color w:val="auto"/>
              </w:rPr>
            </w:pPr>
            <w:r>
              <w:rPr>
                <w:rFonts w:ascii="Arial" w:cs="Arial" w:eastAsia="Arial" w:hAnsi="Arial"/>
                <w:sz w:val="20"/>
                <w:szCs w:val="20"/>
                <w:color w:val="auto"/>
              </w:rPr>
              <w:t>343</w:t>
            </w:r>
          </w:p>
        </w:tc>
        <w:tc>
          <w:tcPr>
            <w:tcW w:w="760" w:type="dxa"/>
            <w:vAlign w:val="bottom"/>
          </w:tcPr>
          <w:p>
            <w:pPr>
              <w:spacing w:after="0"/>
              <w:rPr>
                <w:sz w:val="24"/>
                <w:szCs w:val="24"/>
                <w:color w:val="auto"/>
              </w:rPr>
            </w:pPr>
          </w:p>
        </w:tc>
        <w:tc>
          <w:tcPr>
            <w:tcW w:w="1620" w:type="dxa"/>
            <w:vAlign w:val="bottom"/>
          </w:tcPr>
          <w:p>
            <w:pPr>
              <w:jc w:val="right"/>
              <w:ind w:right="621"/>
              <w:spacing w:after="0"/>
              <w:rPr>
                <w:sz w:val="20"/>
                <w:szCs w:val="20"/>
                <w:color w:val="auto"/>
              </w:rPr>
            </w:pPr>
            <w:r>
              <w:rPr>
                <w:rFonts w:ascii="Arial" w:cs="Arial" w:eastAsia="Arial" w:hAnsi="Arial"/>
                <w:sz w:val="20"/>
                <w:szCs w:val="20"/>
                <w:color w:val="auto"/>
              </w:rPr>
              <w:t>737</w:t>
            </w:r>
          </w:p>
        </w:tc>
        <w:tc>
          <w:tcPr>
            <w:tcW w:w="0" w:type="dxa"/>
            <w:vAlign w:val="bottom"/>
          </w:tcPr>
          <w:p>
            <w:pPr>
              <w:spacing w:after="0"/>
              <w:rPr>
                <w:sz w:val="1"/>
                <w:szCs w:val="1"/>
                <w:color w:val="auto"/>
              </w:rPr>
            </w:pPr>
          </w:p>
        </w:tc>
      </w:tr>
      <w:tr>
        <w:trPr>
          <w:trHeight w:val="297"/>
        </w:trPr>
        <w:tc>
          <w:tcPr>
            <w:tcW w:w="3960" w:type="dxa"/>
            <w:vAlign w:val="bottom"/>
          </w:tcPr>
          <w:p>
            <w:pPr>
              <w:ind w:left="120"/>
              <w:spacing w:after="0"/>
              <w:rPr>
                <w:sz w:val="20"/>
                <w:szCs w:val="20"/>
                <w:color w:val="auto"/>
              </w:rPr>
            </w:pPr>
            <w:r>
              <w:rPr>
                <w:rFonts w:ascii="Arial" w:cs="Arial" w:eastAsia="Arial" w:hAnsi="Arial"/>
                <w:sz w:val="20"/>
                <w:szCs w:val="20"/>
                <w:color w:val="auto"/>
              </w:rPr>
              <w:t>Advertising and marketing</w:t>
            </w:r>
          </w:p>
        </w:tc>
        <w:tc>
          <w:tcPr>
            <w:tcW w:w="780" w:type="dxa"/>
            <w:vAlign w:val="bottom"/>
          </w:tcPr>
          <w:p>
            <w:pPr>
              <w:spacing w:after="0"/>
              <w:rPr>
                <w:sz w:val="24"/>
                <w:szCs w:val="24"/>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color w:val="auto"/>
              </w:rPr>
              <w:t>195</w:t>
            </w:r>
          </w:p>
        </w:tc>
        <w:tc>
          <w:tcPr>
            <w:tcW w:w="820" w:type="dxa"/>
            <w:vAlign w:val="bottom"/>
          </w:tcPr>
          <w:p>
            <w:pPr>
              <w:spacing w:after="0"/>
              <w:rPr>
                <w:sz w:val="24"/>
                <w:szCs w:val="24"/>
                <w:color w:val="auto"/>
              </w:rPr>
            </w:pPr>
          </w:p>
        </w:tc>
        <w:tc>
          <w:tcPr>
            <w:tcW w:w="1160" w:type="dxa"/>
            <w:vAlign w:val="bottom"/>
          </w:tcPr>
          <w:p>
            <w:pPr>
              <w:jc w:val="right"/>
              <w:ind w:right="461"/>
              <w:spacing w:after="0"/>
              <w:rPr>
                <w:sz w:val="20"/>
                <w:szCs w:val="20"/>
                <w:color w:val="auto"/>
              </w:rPr>
            </w:pPr>
            <w:r>
              <w:rPr>
                <w:rFonts w:ascii="Arial" w:cs="Arial" w:eastAsia="Arial" w:hAnsi="Arial"/>
                <w:sz w:val="20"/>
                <w:szCs w:val="20"/>
                <w:color w:val="auto"/>
              </w:rPr>
              <w:t>5</w:t>
            </w:r>
          </w:p>
        </w:tc>
        <w:tc>
          <w:tcPr>
            <w:tcW w:w="760" w:type="dxa"/>
            <w:vAlign w:val="bottom"/>
          </w:tcPr>
          <w:p>
            <w:pPr>
              <w:spacing w:after="0"/>
              <w:rPr>
                <w:sz w:val="24"/>
                <w:szCs w:val="24"/>
                <w:color w:val="auto"/>
              </w:rPr>
            </w:pPr>
          </w:p>
        </w:tc>
        <w:tc>
          <w:tcPr>
            <w:tcW w:w="1620" w:type="dxa"/>
            <w:vAlign w:val="bottom"/>
          </w:tcPr>
          <w:p>
            <w:pPr>
              <w:jc w:val="right"/>
              <w:ind w:right="621"/>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97"/>
        </w:trPr>
        <w:tc>
          <w:tcPr>
            <w:tcW w:w="3960" w:type="dxa"/>
            <w:vAlign w:val="bottom"/>
          </w:tcPr>
          <w:p>
            <w:pPr>
              <w:ind w:left="120"/>
              <w:spacing w:after="0"/>
              <w:rPr>
                <w:sz w:val="20"/>
                <w:szCs w:val="20"/>
                <w:color w:val="auto"/>
              </w:rPr>
            </w:pPr>
            <w:r>
              <w:rPr>
                <w:rFonts w:ascii="Arial" w:cs="Arial" w:eastAsia="Arial" w:hAnsi="Arial"/>
                <w:sz w:val="20"/>
                <w:szCs w:val="20"/>
                <w:color w:val="auto"/>
              </w:rPr>
              <w:t>Other</w:t>
            </w:r>
          </w:p>
        </w:tc>
        <w:tc>
          <w:tcPr>
            <w:tcW w:w="780" w:type="dxa"/>
            <w:vAlign w:val="bottom"/>
          </w:tcPr>
          <w:p>
            <w:pPr>
              <w:spacing w:after="0"/>
              <w:rPr>
                <w:sz w:val="24"/>
                <w:szCs w:val="24"/>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color w:val="auto"/>
              </w:rPr>
              <w:t>185</w:t>
            </w:r>
          </w:p>
        </w:tc>
        <w:tc>
          <w:tcPr>
            <w:tcW w:w="820" w:type="dxa"/>
            <w:vAlign w:val="bottom"/>
          </w:tcPr>
          <w:p>
            <w:pPr>
              <w:spacing w:after="0"/>
              <w:rPr>
                <w:sz w:val="24"/>
                <w:szCs w:val="24"/>
                <w:color w:val="auto"/>
              </w:rPr>
            </w:pPr>
          </w:p>
        </w:tc>
        <w:tc>
          <w:tcPr>
            <w:tcW w:w="1160" w:type="dxa"/>
            <w:vAlign w:val="bottom"/>
          </w:tcPr>
          <w:p>
            <w:pPr>
              <w:jc w:val="right"/>
              <w:ind w:right="461"/>
              <w:spacing w:after="0"/>
              <w:rPr>
                <w:sz w:val="20"/>
                <w:szCs w:val="20"/>
                <w:color w:val="auto"/>
              </w:rPr>
            </w:pPr>
            <w:r>
              <w:rPr>
                <w:rFonts w:ascii="Arial" w:cs="Arial" w:eastAsia="Arial" w:hAnsi="Arial"/>
                <w:sz w:val="20"/>
                <w:szCs w:val="20"/>
                <w:color w:val="auto"/>
              </w:rPr>
              <w:t>44</w:t>
            </w:r>
          </w:p>
        </w:tc>
        <w:tc>
          <w:tcPr>
            <w:tcW w:w="760" w:type="dxa"/>
            <w:vAlign w:val="bottom"/>
          </w:tcPr>
          <w:p>
            <w:pPr>
              <w:spacing w:after="0"/>
              <w:rPr>
                <w:sz w:val="24"/>
                <w:szCs w:val="24"/>
                <w:color w:val="auto"/>
              </w:rPr>
            </w:pPr>
          </w:p>
        </w:tc>
        <w:tc>
          <w:tcPr>
            <w:tcW w:w="1620" w:type="dxa"/>
            <w:vAlign w:val="bottom"/>
          </w:tcPr>
          <w:p>
            <w:pPr>
              <w:jc w:val="right"/>
              <w:ind w:right="621"/>
              <w:spacing w:after="0"/>
              <w:rPr>
                <w:sz w:val="20"/>
                <w:szCs w:val="20"/>
                <w:color w:val="auto"/>
              </w:rPr>
            </w:pPr>
            <w:r>
              <w:rPr>
                <w:rFonts w:ascii="Arial" w:cs="Arial" w:eastAsia="Arial" w:hAnsi="Arial"/>
                <w:sz w:val="20"/>
                <w:szCs w:val="20"/>
                <w:color w:val="auto"/>
              </w:rPr>
              <w:t>229</w:t>
            </w:r>
          </w:p>
        </w:tc>
        <w:tc>
          <w:tcPr>
            <w:tcW w:w="0" w:type="dxa"/>
            <w:vAlign w:val="bottom"/>
          </w:tcPr>
          <w:p>
            <w:pPr>
              <w:spacing w:after="0"/>
              <w:rPr>
                <w:sz w:val="1"/>
                <w:szCs w:val="1"/>
                <w:color w:val="auto"/>
              </w:rPr>
            </w:pPr>
          </w:p>
        </w:tc>
      </w:tr>
      <w:tr>
        <w:trPr>
          <w:trHeight w:val="30"/>
        </w:trPr>
        <w:tc>
          <w:tcPr>
            <w:tcW w:w="3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Arial" w:cs="Arial" w:eastAsia="Arial" w:hAnsi="Arial"/>
                <w:sz w:val="20"/>
                <w:szCs w:val="20"/>
                <w:color w:val="auto"/>
              </w:rPr>
              <w:t>Expenses</w:t>
            </w:r>
          </w:p>
        </w:tc>
        <w:tc>
          <w:tcPr>
            <w:tcW w:w="780" w:type="dxa"/>
            <w:vAlign w:val="bottom"/>
          </w:tcPr>
          <w:p>
            <w:pPr>
              <w:spacing w:after="0"/>
              <w:rPr>
                <w:sz w:val="22"/>
                <w:szCs w:val="22"/>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color w:val="auto"/>
              </w:rPr>
              <w:t>774</w:t>
            </w:r>
          </w:p>
        </w:tc>
        <w:tc>
          <w:tcPr>
            <w:tcW w:w="820" w:type="dxa"/>
            <w:vAlign w:val="bottom"/>
          </w:tcPr>
          <w:p>
            <w:pPr>
              <w:spacing w:after="0"/>
              <w:rPr>
                <w:sz w:val="22"/>
                <w:szCs w:val="22"/>
                <w:color w:val="auto"/>
              </w:rPr>
            </w:pPr>
          </w:p>
        </w:tc>
        <w:tc>
          <w:tcPr>
            <w:tcW w:w="1160" w:type="dxa"/>
            <w:vAlign w:val="bottom"/>
          </w:tcPr>
          <w:p>
            <w:pPr>
              <w:jc w:val="right"/>
              <w:ind w:right="461"/>
              <w:spacing w:after="0"/>
              <w:rPr>
                <w:sz w:val="20"/>
                <w:szCs w:val="20"/>
                <w:color w:val="auto"/>
              </w:rPr>
            </w:pPr>
            <w:r>
              <w:rPr>
                <w:rFonts w:ascii="Arial" w:cs="Arial" w:eastAsia="Arial" w:hAnsi="Arial"/>
                <w:sz w:val="20"/>
                <w:szCs w:val="20"/>
                <w:color w:val="auto"/>
              </w:rPr>
              <w:t>392</w:t>
            </w:r>
          </w:p>
        </w:tc>
        <w:tc>
          <w:tcPr>
            <w:tcW w:w="760" w:type="dxa"/>
            <w:vAlign w:val="bottom"/>
          </w:tcPr>
          <w:p>
            <w:pPr>
              <w:spacing w:after="0"/>
              <w:rPr>
                <w:sz w:val="22"/>
                <w:szCs w:val="22"/>
                <w:color w:val="auto"/>
              </w:rPr>
            </w:pPr>
          </w:p>
        </w:tc>
        <w:tc>
          <w:tcPr>
            <w:tcW w:w="1620" w:type="dxa"/>
            <w:vAlign w:val="bottom"/>
          </w:tcPr>
          <w:p>
            <w:pPr>
              <w:jc w:val="right"/>
              <w:ind w:right="621"/>
              <w:spacing w:after="0"/>
              <w:rPr>
                <w:sz w:val="20"/>
                <w:szCs w:val="20"/>
                <w:color w:val="auto"/>
              </w:rPr>
            </w:pPr>
            <w:r>
              <w:rPr>
                <w:rFonts w:ascii="Arial" w:cs="Arial" w:eastAsia="Arial" w:hAnsi="Arial"/>
                <w:sz w:val="20"/>
                <w:szCs w:val="20"/>
                <w:color w:val="auto"/>
              </w:rPr>
              <w:t>1,166</w:t>
            </w:r>
          </w:p>
        </w:tc>
        <w:tc>
          <w:tcPr>
            <w:tcW w:w="0" w:type="dxa"/>
            <w:vAlign w:val="bottom"/>
          </w:tcPr>
          <w:p>
            <w:pPr>
              <w:spacing w:after="0"/>
              <w:rPr>
                <w:sz w:val="1"/>
                <w:szCs w:val="1"/>
                <w:color w:val="auto"/>
              </w:rPr>
            </w:pPr>
          </w:p>
        </w:tc>
      </w:tr>
      <w:tr>
        <w:trPr>
          <w:trHeight w:val="443"/>
        </w:trPr>
        <w:tc>
          <w:tcPr>
            <w:tcW w:w="3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(84)</w:t>
            </w: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Period from July 1-August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121920</wp:posOffset>
            </wp:positionV>
            <wp:extent cx="67894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89420" cy="17145"/>
                    </a:xfrm>
                    <a:prstGeom prst="rect">
                      <a:avLst/>
                    </a:prstGeom>
                    <a:noFill/>
                  </pic:spPr>
                </pic:pic>
              </a:graphicData>
            </a:graphic>
          </wp:anchor>
        </w:drawing>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273"/>
        </w:trPr>
        <w:tc>
          <w:tcPr>
            <w:tcW w:w="4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jc w:val="center"/>
              <w:ind w:right="681"/>
              <w:spacing w:after="0"/>
              <w:rPr>
                <w:sz w:val="20"/>
                <w:szCs w:val="20"/>
                <w:color w:val="auto"/>
              </w:rPr>
            </w:pPr>
            <w:r>
              <w:rPr>
                <w:rFonts w:ascii="Arial" w:cs="Arial" w:eastAsia="Arial" w:hAnsi="Arial"/>
                <w:sz w:val="20"/>
                <w:szCs w:val="20"/>
                <w:b w:val="1"/>
                <w:bCs w:val="1"/>
                <w:color w:val="auto"/>
                <w:w w:val="96"/>
              </w:rPr>
              <w:t>GAAP</w:t>
            </w:r>
          </w:p>
        </w:tc>
        <w:tc>
          <w:tcPr>
            <w:tcW w:w="8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Non-GAAP</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8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080" w:type="dxa"/>
            <w:vAlign w:val="bottom"/>
          </w:tcPr>
          <w:p>
            <w:pPr>
              <w:spacing w:after="0"/>
              <w:rPr>
                <w:sz w:val="19"/>
                <w:szCs w:val="19"/>
                <w:color w:val="auto"/>
              </w:rPr>
            </w:pPr>
          </w:p>
        </w:tc>
        <w:tc>
          <w:tcPr>
            <w:tcW w:w="2280" w:type="dxa"/>
            <w:vAlign w:val="bottom"/>
            <w:gridSpan w:val="2"/>
          </w:tcPr>
          <w:p>
            <w:pPr>
              <w:jc w:val="center"/>
              <w:spacing w:after="0" w:line="227" w:lineRule="exact"/>
              <w:rPr>
                <w:sz w:val="20"/>
                <w:szCs w:val="20"/>
                <w:color w:val="auto"/>
              </w:rPr>
            </w:pPr>
            <w:r>
              <w:rPr>
                <w:rFonts w:ascii="Arial" w:cs="Arial" w:eastAsia="Arial" w:hAnsi="Arial"/>
                <w:sz w:val="20"/>
                <w:szCs w:val="20"/>
                <w:b w:val="1"/>
                <w:bCs w:val="1"/>
                <w:color w:val="auto"/>
                <w:w w:val="98"/>
              </w:rPr>
              <w:t>Period From July 1 -</w:t>
            </w: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80" w:type="dxa"/>
            <w:vAlign w:val="bottom"/>
            <w:gridSpan w:val="2"/>
          </w:tcPr>
          <w:p>
            <w:pPr>
              <w:jc w:val="center"/>
              <w:spacing w:after="0" w:line="227" w:lineRule="exact"/>
              <w:rPr>
                <w:sz w:val="20"/>
                <w:szCs w:val="20"/>
                <w:color w:val="auto"/>
              </w:rPr>
            </w:pPr>
            <w:r>
              <w:rPr>
                <w:rFonts w:ascii="Arial" w:cs="Arial" w:eastAsia="Arial" w:hAnsi="Arial"/>
                <w:sz w:val="20"/>
                <w:szCs w:val="20"/>
                <w:b w:val="1"/>
                <w:bCs w:val="1"/>
                <w:color w:val="auto"/>
                <w:w w:val="98"/>
              </w:rPr>
              <w:t>Period From July 1 -</w:t>
            </w:r>
          </w:p>
        </w:tc>
        <w:tc>
          <w:tcPr>
            <w:tcW w:w="0" w:type="dxa"/>
            <w:vAlign w:val="bottom"/>
          </w:tcPr>
          <w:p>
            <w:pPr>
              <w:spacing w:after="0"/>
              <w:rPr>
                <w:sz w:val="1"/>
                <w:szCs w:val="1"/>
                <w:color w:val="auto"/>
              </w:rPr>
            </w:pPr>
          </w:p>
        </w:tc>
      </w:tr>
      <w:tr>
        <w:trPr>
          <w:trHeight w:val="273"/>
        </w:trPr>
        <w:tc>
          <w:tcPr>
            <w:tcW w:w="408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August 6,</w:t>
            </w:r>
          </w:p>
        </w:tc>
        <w:tc>
          <w:tcPr>
            <w:tcW w:w="8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August 6,</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jc w:val="center"/>
              <w:ind w:right="681"/>
              <w:spacing w:after="0"/>
              <w:rPr>
                <w:sz w:val="20"/>
                <w:szCs w:val="20"/>
                <w:color w:val="auto"/>
              </w:rPr>
            </w:pPr>
            <w:r>
              <w:rPr>
                <w:rFonts w:ascii="Arial" w:cs="Arial" w:eastAsia="Arial" w:hAnsi="Arial"/>
                <w:sz w:val="20"/>
                <w:szCs w:val="20"/>
                <w:b w:val="1"/>
                <w:bCs w:val="1"/>
                <w:color w:val="auto"/>
                <w:w w:val="98"/>
              </w:rPr>
              <w:t>2025</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jc w:val="center"/>
              <w:ind w:right="64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2040" w:type="dxa"/>
            <w:vAlign w:val="bottom"/>
            <w:gridSpan w:val="2"/>
            <w:vMerge w:val="restart"/>
          </w:tcPr>
          <w:p>
            <w:pPr>
              <w:jc w:val="right"/>
              <w:ind w:right="24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0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8"/>
              </w:rPr>
              <w:t>Filmed Entertainment</w:t>
            </w:r>
          </w:p>
        </w:tc>
        <w:tc>
          <w:tcPr>
            <w:tcW w:w="2040" w:type="dxa"/>
            <w:vAlign w:val="bottom"/>
            <w:tcBorders>
              <w:bottom w:val="single" w:sz="8" w:color="auto"/>
            </w:tcBorders>
            <w:gridSpan w:val="2"/>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641"/>
              <w:spacing w:after="0"/>
              <w:rPr>
                <w:sz w:val="20"/>
                <w:szCs w:val="20"/>
                <w:color w:val="auto"/>
              </w:rPr>
            </w:pPr>
            <w:r>
              <w:rPr>
                <w:rFonts w:ascii="Arial" w:cs="Arial" w:eastAsia="Arial" w:hAnsi="Arial"/>
                <w:sz w:val="20"/>
                <w:szCs w:val="20"/>
                <w:b w:val="1"/>
                <w:bCs w:val="1"/>
                <w:color w:val="auto"/>
                <w:w w:val="98"/>
              </w:rPr>
              <w:t>Studios</w:t>
            </w:r>
          </w:p>
        </w:tc>
        <w:tc>
          <w:tcPr>
            <w:tcW w:w="0" w:type="dxa"/>
            <w:vAlign w:val="bottom"/>
          </w:tcPr>
          <w:p>
            <w:pPr>
              <w:spacing w:after="0"/>
              <w:rPr>
                <w:sz w:val="1"/>
                <w:szCs w:val="1"/>
                <w:color w:val="auto"/>
              </w:rPr>
            </w:pPr>
          </w:p>
        </w:tc>
      </w:tr>
      <w:tr>
        <w:trPr>
          <w:trHeight w:val="260"/>
        </w:trPr>
        <w:tc>
          <w:tcPr>
            <w:tcW w:w="4080" w:type="dxa"/>
            <w:vAlign w:val="bottom"/>
          </w:tcPr>
          <w:p>
            <w:pPr>
              <w:ind w:left="220"/>
              <w:spacing w:after="0"/>
              <w:rPr>
                <w:sz w:val="20"/>
                <w:szCs w:val="20"/>
                <w:color w:val="auto"/>
              </w:rPr>
            </w:pPr>
            <w:r>
              <w:rPr>
                <w:rFonts w:ascii="Arial" w:cs="Arial" w:eastAsia="Arial" w:hAnsi="Arial"/>
                <w:sz w:val="20"/>
                <w:szCs w:val="20"/>
                <w:color w:val="auto"/>
              </w:rPr>
              <w:t>Theatrical</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73</w:t>
            </w:r>
          </w:p>
        </w:tc>
        <w:tc>
          <w:tcPr>
            <w:tcW w:w="8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97"/>
        </w:trPr>
        <w:tc>
          <w:tcPr>
            <w:tcW w:w="4080" w:type="dxa"/>
            <w:vAlign w:val="bottom"/>
          </w:tcPr>
          <w:p>
            <w:pPr>
              <w:ind w:left="220"/>
              <w:spacing w:after="0"/>
              <w:rPr>
                <w:sz w:val="20"/>
                <w:szCs w:val="20"/>
                <w:color w:val="auto"/>
              </w:rPr>
            </w:pPr>
            <w:r>
              <w:rPr>
                <w:rFonts w:ascii="Arial" w:cs="Arial" w:eastAsia="Arial" w:hAnsi="Arial"/>
                <w:sz w:val="20"/>
                <w:szCs w:val="20"/>
                <w:color w:val="auto"/>
              </w:rPr>
              <w:t>Licensing and other</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202</w:t>
            </w:r>
          </w:p>
        </w:tc>
        <w:tc>
          <w:tcPr>
            <w:tcW w:w="860" w:type="dxa"/>
            <w:vAlign w:val="bottom"/>
          </w:tcPr>
          <w:p>
            <w:pPr>
              <w:spacing w:after="0"/>
              <w:rPr>
                <w:sz w:val="24"/>
                <w:szCs w:val="24"/>
                <w:color w:val="auto"/>
              </w:rPr>
            </w:pP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185</w:t>
            </w:r>
          </w:p>
        </w:tc>
        <w:tc>
          <w:tcPr>
            <w:tcW w:w="740" w:type="dxa"/>
            <w:vAlign w:val="bottom"/>
          </w:tcPr>
          <w:p>
            <w:pPr>
              <w:spacing w:after="0"/>
              <w:rPr>
                <w:sz w:val="24"/>
                <w:szCs w:val="24"/>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387</w:t>
            </w:r>
          </w:p>
        </w:tc>
        <w:tc>
          <w:tcPr>
            <w:tcW w:w="0" w:type="dxa"/>
            <w:vAlign w:val="bottom"/>
          </w:tcPr>
          <w:p>
            <w:pPr>
              <w:spacing w:after="0"/>
              <w:rPr>
                <w:sz w:val="1"/>
                <w:szCs w:val="1"/>
                <w:color w:val="auto"/>
              </w:rPr>
            </w:pPr>
          </w:p>
        </w:tc>
      </w:tr>
      <w:tr>
        <w:trPr>
          <w:trHeight w:val="297"/>
        </w:trPr>
        <w:tc>
          <w:tcPr>
            <w:tcW w:w="4080" w:type="dxa"/>
            <w:vAlign w:val="bottom"/>
          </w:tcPr>
          <w:p>
            <w:pPr>
              <w:ind w:left="220"/>
              <w:spacing w:after="0"/>
              <w:rPr>
                <w:sz w:val="20"/>
                <w:szCs w:val="20"/>
                <w:color w:val="auto"/>
              </w:rPr>
            </w:pPr>
            <w:r>
              <w:rPr>
                <w:rFonts w:ascii="Arial" w:cs="Arial" w:eastAsia="Arial" w:hAnsi="Arial"/>
                <w:sz w:val="20"/>
                <w:szCs w:val="20"/>
                <w:color w:val="auto"/>
              </w:rPr>
              <w:t>Advertising</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1</w:t>
            </w:r>
          </w:p>
        </w:tc>
        <w:tc>
          <w:tcPr>
            <w:tcW w:w="860" w:type="dxa"/>
            <w:vAlign w:val="bottom"/>
          </w:tcPr>
          <w:p>
            <w:pPr>
              <w:spacing w:after="0"/>
              <w:rPr>
                <w:sz w:val="24"/>
                <w:szCs w:val="24"/>
                <w:color w:val="auto"/>
              </w:rPr>
            </w:pP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1</w:t>
            </w:r>
          </w:p>
        </w:tc>
        <w:tc>
          <w:tcPr>
            <w:tcW w:w="740" w:type="dxa"/>
            <w:vAlign w:val="bottom"/>
          </w:tcPr>
          <w:p>
            <w:pPr>
              <w:spacing w:after="0"/>
              <w:rPr>
                <w:sz w:val="24"/>
                <w:szCs w:val="24"/>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0"/>
        </w:trPr>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080" w:type="dxa"/>
            <w:vAlign w:val="bottom"/>
          </w:tcPr>
          <w:p>
            <w:pPr>
              <w:ind w:left="20"/>
              <w:spacing w:after="0"/>
              <w:rPr>
                <w:sz w:val="20"/>
                <w:szCs w:val="20"/>
                <w:color w:val="auto"/>
              </w:rPr>
            </w:pPr>
            <w:r>
              <w:rPr>
                <w:rFonts w:ascii="Arial" w:cs="Arial" w:eastAsia="Arial" w:hAnsi="Arial"/>
                <w:sz w:val="20"/>
                <w:szCs w:val="20"/>
                <w:color w:val="auto"/>
              </w:rPr>
              <w:t>Revenues</w:t>
            </w:r>
          </w:p>
        </w:tc>
        <w:tc>
          <w:tcPr>
            <w:tcW w:w="780" w:type="dxa"/>
            <w:vAlign w:val="bottom"/>
          </w:tcPr>
          <w:p>
            <w:pPr>
              <w:spacing w:after="0"/>
              <w:rPr>
                <w:sz w:val="22"/>
                <w:szCs w:val="22"/>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276</w:t>
            </w:r>
          </w:p>
        </w:tc>
        <w:tc>
          <w:tcPr>
            <w:tcW w:w="860" w:type="dxa"/>
            <w:vAlign w:val="bottom"/>
          </w:tcPr>
          <w:p>
            <w:pPr>
              <w:spacing w:after="0"/>
              <w:rPr>
                <w:sz w:val="22"/>
                <w:szCs w:val="22"/>
                <w:color w:val="auto"/>
              </w:rPr>
            </w:pP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186</w:t>
            </w:r>
          </w:p>
        </w:tc>
        <w:tc>
          <w:tcPr>
            <w:tcW w:w="740" w:type="dxa"/>
            <w:vAlign w:val="bottom"/>
          </w:tcPr>
          <w:p>
            <w:pPr>
              <w:spacing w:after="0"/>
              <w:rPr>
                <w:sz w:val="22"/>
                <w:szCs w:val="22"/>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462</w:t>
            </w:r>
          </w:p>
        </w:tc>
        <w:tc>
          <w:tcPr>
            <w:tcW w:w="0" w:type="dxa"/>
            <w:vAlign w:val="bottom"/>
          </w:tcPr>
          <w:p>
            <w:pPr>
              <w:spacing w:after="0"/>
              <w:rPr>
                <w:sz w:val="1"/>
                <w:szCs w:val="1"/>
                <w:color w:val="auto"/>
              </w:rPr>
            </w:pPr>
          </w:p>
        </w:tc>
      </w:tr>
      <w:tr>
        <w:trPr>
          <w:trHeight w:val="405"/>
        </w:trPr>
        <w:tc>
          <w:tcPr>
            <w:tcW w:w="4080" w:type="dxa"/>
            <w:vAlign w:val="bottom"/>
          </w:tcPr>
          <w:p>
            <w:pPr>
              <w:ind w:left="120"/>
              <w:spacing w:after="0"/>
              <w:rPr>
                <w:sz w:val="20"/>
                <w:szCs w:val="20"/>
                <w:color w:val="auto"/>
              </w:rPr>
            </w:pPr>
            <w:r>
              <w:rPr>
                <w:rFonts w:ascii="Arial" w:cs="Arial" w:eastAsia="Arial" w:hAnsi="Arial"/>
                <w:sz w:val="20"/>
                <w:szCs w:val="20"/>
                <w:color w:val="auto"/>
              </w:rPr>
              <w:t>Content costs</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131</w:t>
            </w:r>
          </w:p>
        </w:tc>
        <w:tc>
          <w:tcPr>
            <w:tcW w:w="860" w:type="dxa"/>
            <w:vAlign w:val="bottom"/>
          </w:tcPr>
          <w:p>
            <w:pPr>
              <w:spacing w:after="0"/>
              <w:rPr>
                <w:sz w:val="24"/>
                <w:szCs w:val="24"/>
                <w:color w:val="auto"/>
              </w:rPr>
            </w:pP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147</w:t>
            </w:r>
          </w:p>
        </w:tc>
        <w:tc>
          <w:tcPr>
            <w:tcW w:w="740" w:type="dxa"/>
            <w:vAlign w:val="bottom"/>
          </w:tcPr>
          <w:p>
            <w:pPr>
              <w:spacing w:after="0"/>
              <w:rPr>
                <w:sz w:val="24"/>
                <w:szCs w:val="24"/>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278</w:t>
            </w:r>
          </w:p>
        </w:tc>
        <w:tc>
          <w:tcPr>
            <w:tcW w:w="0" w:type="dxa"/>
            <w:vAlign w:val="bottom"/>
          </w:tcPr>
          <w:p>
            <w:pPr>
              <w:spacing w:after="0"/>
              <w:rPr>
                <w:sz w:val="1"/>
                <w:szCs w:val="1"/>
                <w:color w:val="auto"/>
              </w:rPr>
            </w:pPr>
          </w:p>
        </w:tc>
      </w:tr>
      <w:tr>
        <w:trPr>
          <w:trHeight w:val="297"/>
        </w:trPr>
        <w:tc>
          <w:tcPr>
            <w:tcW w:w="4080" w:type="dxa"/>
            <w:vAlign w:val="bottom"/>
          </w:tcPr>
          <w:p>
            <w:pPr>
              <w:ind w:left="120"/>
              <w:spacing w:after="0"/>
              <w:rPr>
                <w:sz w:val="20"/>
                <w:szCs w:val="20"/>
                <w:color w:val="auto"/>
              </w:rPr>
            </w:pPr>
            <w:r>
              <w:rPr>
                <w:rFonts w:ascii="Arial" w:cs="Arial" w:eastAsia="Arial" w:hAnsi="Arial"/>
                <w:sz w:val="20"/>
                <w:szCs w:val="20"/>
                <w:color w:val="auto"/>
              </w:rPr>
              <w:t>Advertising and marketing</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106</w:t>
            </w:r>
          </w:p>
        </w:tc>
        <w:tc>
          <w:tcPr>
            <w:tcW w:w="860" w:type="dxa"/>
            <w:vAlign w:val="bottom"/>
          </w:tcPr>
          <w:p>
            <w:pPr>
              <w:spacing w:after="0"/>
              <w:rPr>
                <w:sz w:val="24"/>
                <w:szCs w:val="24"/>
                <w:color w:val="auto"/>
              </w:rPr>
            </w:pP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2</w:t>
            </w:r>
          </w:p>
        </w:tc>
        <w:tc>
          <w:tcPr>
            <w:tcW w:w="740" w:type="dxa"/>
            <w:vAlign w:val="bottom"/>
          </w:tcPr>
          <w:p>
            <w:pPr>
              <w:spacing w:after="0"/>
              <w:rPr>
                <w:sz w:val="24"/>
                <w:szCs w:val="24"/>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97"/>
        </w:trPr>
        <w:tc>
          <w:tcPr>
            <w:tcW w:w="4080" w:type="dxa"/>
            <w:vAlign w:val="bottom"/>
          </w:tcPr>
          <w:p>
            <w:pPr>
              <w:ind w:left="120"/>
              <w:spacing w:after="0"/>
              <w:rPr>
                <w:sz w:val="20"/>
                <w:szCs w:val="20"/>
                <w:color w:val="auto"/>
              </w:rPr>
            </w:pPr>
            <w:r>
              <w:rPr>
                <w:rFonts w:ascii="Arial" w:cs="Arial" w:eastAsia="Arial" w:hAnsi="Arial"/>
                <w:sz w:val="20"/>
                <w:szCs w:val="20"/>
                <w:color w:val="auto"/>
              </w:rPr>
              <w:t>Other</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75</w:t>
            </w:r>
          </w:p>
        </w:tc>
        <w:tc>
          <w:tcPr>
            <w:tcW w:w="860" w:type="dxa"/>
            <w:vAlign w:val="bottom"/>
          </w:tcPr>
          <w:p>
            <w:pPr>
              <w:spacing w:after="0"/>
              <w:rPr>
                <w:sz w:val="24"/>
                <w:szCs w:val="24"/>
                <w:color w:val="auto"/>
              </w:rPr>
            </w:pP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3</w:t>
            </w:r>
          </w:p>
        </w:tc>
        <w:tc>
          <w:tcPr>
            <w:tcW w:w="740" w:type="dxa"/>
            <w:vAlign w:val="bottom"/>
          </w:tcPr>
          <w:p>
            <w:pPr>
              <w:spacing w:after="0"/>
              <w:rPr>
                <w:sz w:val="24"/>
                <w:szCs w:val="24"/>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30"/>
        </w:trPr>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080" w:type="dxa"/>
            <w:vAlign w:val="bottom"/>
          </w:tcPr>
          <w:p>
            <w:pPr>
              <w:ind w:left="20"/>
              <w:spacing w:after="0"/>
              <w:rPr>
                <w:sz w:val="20"/>
                <w:szCs w:val="20"/>
                <w:color w:val="auto"/>
              </w:rPr>
            </w:pPr>
            <w:r>
              <w:rPr>
                <w:rFonts w:ascii="Arial" w:cs="Arial" w:eastAsia="Arial" w:hAnsi="Arial"/>
                <w:sz w:val="20"/>
                <w:szCs w:val="20"/>
                <w:color w:val="auto"/>
              </w:rPr>
              <w:t>Expenses</w:t>
            </w:r>
          </w:p>
        </w:tc>
        <w:tc>
          <w:tcPr>
            <w:tcW w:w="780" w:type="dxa"/>
            <w:vAlign w:val="bottom"/>
          </w:tcPr>
          <w:p>
            <w:pPr>
              <w:spacing w:after="0"/>
              <w:rPr>
                <w:sz w:val="22"/>
                <w:szCs w:val="22"/>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312</w:t>
            </w:r>
          </w:p>
        </w:tc>
        <w:tc>
          <w:tcPr>
            <w:tcW w:w="860" w:type="dxa"/>
            <w:vAlign w:val="bottom"/>
          </w:tcPr>
          <w:p>
            <w:pPr>
              <w:spacing w:after="0"/>
              <w:rPr>
                <w:sz w:val="22"/>
                <w:szCs w:val="22"/>
                <w:color w:val="auto"/>
              </w:rPr>
            </w:pPr>
          </w:p>
        </w:tc>
        <w:tc>
          <w:tcPr>
            <w:tcW w:w="1180" w:type="dxa"/>
            <w:vAlign w:val="bottom"/>
          </w:tcPr>
          <w:p>
            <w:pPr>
              <w:jc w:val="right"/>
              <w:ind w:right="501"/>
              <w:spacing w:after="0"/>
              <w:rPr>
                <w:sz w:val="20"/>
                <w:szCs w:val="20"/>
                <w:color w:val="auto"/>
              </w:rPr>
            </w:pPr>
            <w:r>
              <w:rPr>
                <w:rFonts w:ascii="Arial" w:cs="Arial" w:eastAsia="Arial" w:hAnsi="Arial"/>
                <w:sz w:val="20"/>
                <w:szCs w:val="20"/>
                <w:color w:val="auto"/>
              </w:rPr>
              <w:t>152</w:t>
            </w:r>
          </w:p>
        </w:tc>
        <w:tc>
          <w:tcPr>
            <w:tcW w:w="740" w:type="dxa"/>
            <w:vAlign w:val="bottom"/>
          </w:tcPr>
          <w:p>
            <w:pPr>
              <w:spacing w:after="0"/>
              <w:rPr>
                <w:sz w:val="22"/>
                <w:szCs w:val="22"/>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464</w:t>
            </w:r>
          </w:p>
        </w:tc>
        <w:tc>
          <w:tcPr>
            <w:tcW w:w="0" w:type="dxa"/>
            <w:vAlign w:val="bottom"/>
          </w:tcPr>
          <w:p>
            <w:pPr>
              <w:spacing w:after="0"/>
              <w:rPr>
                <w:sz w:val="1"/>
                <w:szCs w:val="1"/>
                <w:color w:val="auto"/>
              </w:rPr>
            </w:pPr>
          </w:p>
        </w:tc>
      </w:tr>
      <w:tr>
        <w:trPr>
          <w:trHeight w:val="44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(36)</w:t>
            </w:r>
          </w:p>
        </w:tc>
        <w:tc>
          <w:tcPr>
            <w:tcW w:w="8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34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00" w:hanging="249"/>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first quarter of 2026, we renamed our primary measure of profit and loss for our operating segments from Adjusted OIBDA to Adjusted</w:t>
      </w:r>
    </w:p>
    <w:p>
      <w:pPr>
        <w:spacing w:after="0" w:line="2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EBITDA.</w:t>
      </w:r>
    </w:p>
    <w:p>
      <w:pPr>
        <w:spacing w:after="0" w:line="83" w:lineRule="exact"/>
        <w:rPr>
          <w:rFonts w:ascii="Arial" w:cs="Arial" w:eastAsia="Arial" w:hAnsi="Arial"/>
          <w:sz w:val="16"/>
          <w:szCs w:val="16"/>
          <w:color w:val="auto"/>
        </w:rPr>
      </w:pPr>
    </w:p>
    <w:p>
      <w:pPr>
        <w:ind w:left="500" w:right="220" w:hanging="249"/>
        <w:spacing w:after="0" w:line="304"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Reflects the inclusion of the historical </w:t>
      </w:r>
      <w:r>
        <w:rPr>
          <w:rFonts w:ascii="Arial" w:cs="Arial" w:eastAsia="Arial" w:hAnsi="Arial"/>
          <w:sz w:val="16"/>
          <w:szCs w:val="16"/>
          <w:i w:val="1"/>
          <w:iCs w:val="1"/>
          <w:color w:val="auto"/>
        </w:rPr>
        <w:t>TV Media</w:t>
      </w:r>
      <w:r>
        <w:rPr>
          <w:rFonts w:ascii="Arial" w:cs="Arial" w:eastAsia="Arial" w:hAnsi="Arial"/>
          <w:sz w:val="16"/>
          <w:szCs w:val="16"/>
          <w:color w:val="auto"/>
        </w:rPr>
        <w:t xml:space="preserve"> studio operations and updates to our segment expense allocations to better reflect how we operate and make cost decisions across the business.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935"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Direct-to-Consumer</w:t>
      </w:r>
    </w:p>
    <w:p>
      <w:pPr>
        <w:spacing w:after="0" w:line="154"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 xml:space="preserve">Our </w:t>
      </w:r>
      <w:r>
        <w:rPr>
          <w:rFonts w:ascii="Arial" w:cs="Arial" w:eastAsia="Arial" w:hAnsi="Arial"/>
          <w:sz w:val="22"/>
          <w:szCs w:val="22"/>
          <w:i w:val="1"/>
          <w:iCs w:val="1"/>
          <w:color w:val="auto"/>
        </w:rPr>
        <w:t>Direct-to-Consumer</w:t>
      </w:r>
      <w:r>
        <w:rPr>
          <w:rFonts w:ascii="Arial" w:cs="Arial" w:eastAsia="Arial" w:hAnsi="Arial"/>
          <w:sz w:val="22"/>
          <w:szCs w:val="22"/>
          <w:color w:val="auto"/>
        </w:rPr>
        <w:t xml:space="preserve"> segment consists of our portfolio of domestic and international pay and free streaming services, including Paramount+, Pluto TV, and BET+, as well as our domestic premium cable network, Paramount+ with Showtime. For the Predecessor period, the </w:t>
      </w:r>
      <w:r>
        <w:rPr>
          <w:rFonts w:ascii="Arial" w:cs="Arial" w:eastAsia="Arial" w:hAnsi="Arial"/>
          <w:sz w:val="22"/>
          <w:szCs w:val="22"/>
          <w:i w:val="1"/>
          <w:iCs w:val="1"/>
          <w:color w:val="auto"/>
        </w:rPr>
        <w:t>Direct-to-Consumer</w:t>
      </w:r>
      <w:r>
        <w:rPr>
          <w:rFonts w:ascii="Arial" w:cs="Arial" w:eastAsia="Arial" w:hAnsi="Arial"/>
          <w:sz w:val="22"/>
          <w:szCs w:val="22"/>
          <w:color w:val="auto"/>
        </w:rPr>
        <w:t xml:space="preserve"> segment excluded Paramount+ with Showtime.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113665</wp:posOffset>
            </wp:positionV>
            <wp:extent cx="67894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89420" cy="17145"/>
                    </a:xfrm>
                    <a:prstGeom prst="rect">
                      <a:avLst/>
                    </a:prstGeom>
                    <a:noFill/>
                  </pic:spPr>
                </pic:pic>
              </a:graphicData>
            </a:graphic>
          </wp:anchor>
        </w:drawing>
      </w:r>
    </w:p>
    <w:p>
      <w:pPr>
        <w:spacing w:after="0" w:line="189" w:lineRule="exact"/>
        <w:rPr>
          <w:sz w:val="20"/>
          <w:szCs w:val="20"/>
          <w:color w:val="auto"/>
        </w:rPr>
      </w:pPr>
    </w:p>
    <w:tbl>
      <w:tblPr>
        <w:tblLayout w:type="fixed"/>
        <w:tblInd w:w="280" w:type="dxa"/>
        <w:tblCellMar>
          <w:top w:w="0" w:type="dxa"/>
          <w:left w:w="0" w:type="dxa"/>
          <w:bottom w:w="0" w:type="dxa"/>
          <w:right w:w="0" w:type="dxa"/>
        </w:tblCellMar>
      </w:tblPr>
      <w:tr>
        <w:trPr>
          <w:trHeight w:val="273"/>
        </w:trPr>
        <w:tc>
          <w:tcPr>
            <w:tcW w:w="4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jc w:val="center"/>
              <w:ind w:right="681"/>
              <w:spacing w:after="0"/>
              <w:rPr>
                <w:sz w:val="20"/>
                <w:szCs w:val="20"/>
                <w:color w:val="auto"/>
              </w:rPr>
            </w:pPr>
            <w:r>
              <w:rPr>
                <w:rFonts w:ascii="Arial" w:cs="Arial" w:eastAsia="Arial" w:hAnsi="Arial"/>
                <w:sz w:val="20"/>
                <w:szCs w:val="20"/>
                <w:b w:val="1"/>
                <w:bCs w:val="1"/>
                <w:color w:val="auto"/>
                <w:w w:val="96"/>
              </w:rPr>
              <w:t>GAAP</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Non-GAAP</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0" w:type="dxa"/>
            <w:vAlign w:val="bottom"/>
          </w:tcPr>
          <w:p>
            <w:pPr>
              <w:spacing w:after="0"/>
              <w:rPr>
                <w:sz w:val="1"/>
                <w:szCs w:val="1"/>
                <w:color w:val="auto"/>
              </w:rPr>
            </w:pPr>
          </w:p>
        </w:tc>
      </w:tr>
      <w:tr>
        <w:trPr>
          <w:trHeight w:val="273"/>
        </w:trPr>
        <w:tc>
          <w:tcPr>
            <w:tcW w:w="416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March 31,</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March 31,</w:t>
            </w:r>
          </w:p>
        </w:tc>
        <w:tc>
          <w:tcPr>
            <w:tcW w:w="0" w:type="dxa"/>
            <w:vAlign w:val="bottom"/>
          </w:tcPr>
          <w:p>
            <w:pPr>
              <w:spacing w:after="0"/>
              <w:rPr>
                <w:sz w:val="1"/>
                <w:szCs w:val="1"/>
                <w:color w:val="auto"/>
              </w:rPr>
            </w:pPr>
          </w:p>
        </w:tc>
      </w:tr>
      <w:tr>
        <w:trPr>
          <w:trHeight w:val="283"/>
        </w:trPr>
        <w:tc>
          <w:tcPr>
            <w:tcW w:w="4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jc w:val="center"/>
              <w:ind w:right="681"/>
              <w:spacing w:after="0"/>
              <w:rPr>
                <w:sz w:val="20"/>
                <w:szCs w:val="20"/>
                <w:color w:val="auto"/>
              </w:rPr>
            </w:pPr>
            <w:r>
              <w:rPr>
                <w:rFonts w:ascii="Arial" w:cs="Arial" w:eastAsia="Arial" w:hAnsi="Arial"/>
                <w:sz w:val="20"/>
                <w:szCs w:val="20"/>
                <w:b w:val="1"/>
                <w:bCs w:val="1"/>
                <w:color w:val="auto"/>
                <w:w w:val="98"/>
              </w:rPr>
              <w:t>2025</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jc w:val="center"/>
              <w:ind w:right="72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960" w:type="dxa"/>
            <w:vAlign w:val="bottom"/>
            <w:gridSpan w:val="2"/>
            <w:vMerge w:val="restart"/>
          </w:tcPr>
          <w:p>
            <w:pPr>
              <w:jc w:val="right"/>
              <w:ind w:right="20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Direct-to-Consumer</w:t>
            </w:r>
          </w:p>
        </w:tc>
        <w:tc>
          <w:tcPr>
            <w:tcW w:w="1960" w:type="dxa"/>
            <w:vAlign w:val="bottom"/>
            <w:tcBorders>
              <w:bottom w:val="single" w:sz="8" w:color="auto"/>
            </w:tcBorders>
            <w:gridSpan w:val="2"/>
            <w:vMerge w:val="continue"/>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Direct-to-Consumer</w:t>
            </w:r>
          </w:p>
        </w:tc>
        <w:tc>
          <w:tcPr>
            <w:tcW w:w="0" w:type="dxa"/>
            <w:vAlign w:val="bottom"/>
          </w:tcPr>
          <w:p>
            <w:pPr>
              <w:spacing w:after="0"/>
              <w:rPr>
                <w:sz w:val="1"/>
                <w:szCs w:val="1"/>
                <w:color w:val="auto"/>
              </w:rPr>
            </w:pPr>
          </w:p>
        </w:tc>
      </w:tr>
      <w:tr>
        <w:trPr>
          <w:trHeight w:val="260"/>
        </w:trPr>
        <w:tc>
          <w:tcPr>
            <w:tcW w:w="4160" w:type="dxa"/>
            <w:vAlign w:val="bottom"/>
          </w:tcPr>
          <w:p>
            <w:pPr>
              <w:ind w:left="140"/>
              <w:spacing w:after="0"/>
              <w:rPr>
                <w:sz w:val="20"/>
                <w:szCs w:val="20"/>
                <w:color w:val="auto"/>
              </w:rPr>
            </w:pPr>
            <w:r>
              <w:rPr>
                <w:rFonts w:ascii="Arial" w:cs="Arial" w:eastAsia="Arial" w:hAnsi="Arial"/>
                <w:sz w:val="20"/>
                <w:szCs w:val="20"/>
                <w:color w:val="auto"/>
              </w:rPr>
              <w:t>Advertising</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473</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473</w:t>
            </w:r>
          </w:p>
        </w:tc>
        <w:tc>
          <w:tcPr>
            <w:tcW w:w="0" w:type="dxa"/>
            <w:vAlign w:val="bottom"/>
          </w:tcPr>
          <w:p>
            <w:pPr>
              <w:spacing w:after="0"/>
              <w:rPr>
                <w:sz w:val="1"/>
                <w:szCs w:val="1"/>
                <w:color w:val="auto"/>
              </w:rPr>
            </w:pPr>
          </w:p>
        </w:tc>
      </w:tr>
      <w:tr>
        <w:trPr>
          <w:trHeight w:val="297"/>
        </w:trPr>
        <w:tc>
          <w:tcPr>
            <w:tcW w:w="4160" w:type="dxa"/>
            <w:vAlign w:val="bottom"/>
          </w:tcPr>
          <w:p>
            <w:pPr>
              <w:ind w:left="140"/>
              <w:spacing w:after="0"/>
              <w:rPr>
                <w:sz w:val="20"/>
                <w:szCs w:val="20"/>
                <w:color w:val="auto"/>
              </w:rPr>
            </w:pPr>
            <w:r>
              <w:rPr>
                <w:rFonts w:ascii="Arial" w:cs="Arial" w:eastAsia="Arial" w:hAnsi="Arial"/>
                <w:sz w:val="20"/>
                <w:szCs w:val="20"/>
                <w:color w:val="auto"/>
              </w:rPr>
              <w:t>Affiliate and subscription</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1,571</w:t>
            </w:r>
          </w:p>
        </w:tc>
        <w:tc>
          <w:tcPr>
            <w:tcW w:w="800" w:type="dxa"/>
            <w:vAlign w:val="bottom"/>
          </w:tcPr>
          <w:p>
            <w:pPr>
              <w:spacing w:after="0"/>
              <w:rPr>
                <w:sz w:val="24"/>
                <w:szCs w:val="24"/>
                <w:color w:val="auto"/>
              </w:rPr>
            </w:pPr>
          </w:p>
        </w:tc>
        <w:tc>
          <w:tcPr>
            <w:tcW w:w="1160" w:type="dxa"/>
            <w:vAlign w:val="bottom"/>
          </w:tcPr>
          <w:p>
            <w:pPr>
              <w:jc w:val="right"/>
              <w:ind w:right="481"/>
              <w:spacing w:after="0"/>
              <w:rPr>
                <w:sz w:val="20"/>
                <w:szCs w:val="20"/>
                <w:color w:val="auto"/>
              </w:rPr>
            </w:pPr>
            <w:r>
              <w:rPr>
                <w:rFonts w:ascii="Arial" w:cs="Arial" w:eastAsia="Arial" w:hAnsi="Arial"/>
                <w:sz w:val="20"/>
                <w:szCs w:val="20"/>
                <w:color w:val="auto"/>
              </w:rPr>
              <w:t>107</w:t>
            </w:r>
          </w:p>
        </w:tc>
        <w:tc>
          <w:tcPr>
            <w:tcW w:w="82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1,678</w:t>
            </w:r>
          </w:p>
        </w:tc>
        <w:tc>
          <w:tcPr>
            <w:tcW w:w="0" w:type="dxa"/>
            <w:vAlign w:val="bottom"/>
          </w:tcPr>
          <w:p>
            <w:pPr>
              <w:spacing w:after="0"/>
              <w:rPr>
                <w:sz w:val="1"/>
                <w:szCs w:val="1"/>
                <w:color w:val="auto"/>
              </w:rPr>
            </w:pPr>
          </w:p>
        </w:tc>
      </w:tr>
      <w:tr>
        <w:trPr>
          <w:trHeight w:val="30"/>
        </w:trPr>
        <w:tc>
          <w:tcPr>
            <w:tcW w:w="4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60" w:type="dxa"/>
            <w:vAlign w:val="bottom"/>
          </w:tcPr>
          <w:p>
            <w:pPr>
              <w:ind w:left="20"/>
              <w:spacing w:after="0"/>
              <w:rPr>
                <w:sz w:val="20"/>
                <w:szCs w:val="20"/>
                <w:color w:val="auto"/>
              </w:rPr>
            </w:pPr>
            <w:r>
              <w:rPr>
                <w:rFonts w:ascii="Arial" w:cs="Arial" w:eastAsia="Arial" w:hAnsi="Arial"/>
                <w:sz w:val="20"/>
                <w:szCs w:val="20"/>
                <w:color w:val="auto"/>
              </w:rPr>
              <w:t>Revenues</w:t>
            </w:r>
          </w:p>
        </w:tc>
        <w:tc>
          <w:tcPr>
            <w:tcW w:w="780" w:type="dxa"/>
            <w:vAlign w:val="bottom"/>
          </w:tcPr>
          <w:p>
            <w:pPr>
              <w:spacing w:after="0"/>
              <w:rPr>
                <w:sz w:val="22"/>
                <w:szCs w:val="22"/>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2,044</w:t>
            </w:r>
          </w:p>
        </w:tc>
        <w:tc>
          <w:tcPr>
            <w:tcW w:w="800" w:type="dxa"/>
            <w:vAlign w:val="bottom"/>
          </w:tcPr>
          <w:p>
            <w:pPr>
              <w:spacing w:after="0"/>
              <w:rPr>
                <w:sz w:val="22"/>
                <w:szCs w:val="22"/>
                <w:color w:val="auto"/>
              </w:rPr>
            </w:pPr>
          </w:p>
        </w:tc>
        <w:tc>
          <w:tcPr>
            <w:tcW w:w="1160" w:type="dxa"/>
            <w:vAlign w:val="bottom"/>
          </w:tcPr>
          <w:p>
            <w:pPr>
              <w:jc w:val="right"/>
              <w:ind w:right="481"/>
              <w:spacing w:after="0"/>
              <w:rPr>
                <w:sz w:val="20"/>
                <w:szCs w:val="20"/>
                <w:color w:val="auto"/>
              </w:rPr>
            </w:pPr>
            <w:r>
              <w:rPr>
                <w:rFonts w:ascii="Arial" w:cs="Arial" w:eastAsia="Arial" w:hAnsi="Arial"/>
                <w:sz w:val="20"/>
                <w:szCs w:val="20"/>
                <w:color w:val="auto"/>
              </w:rPr>
              <w:t>107</w:t>
            </w:r>
          </w:p>
        </w:tc>
        <w:tc>
          <w:tcPr>
            <w:tcW w:w="820" w:type="dxa"/>
            <w:vAlign w:val="bottom"/>
          </w:tcPr>
          <w:p>
            <w:pPr>
              <w:spacing w:after="0"/>
              <w:rPr>
                <w:sz w:val="22"/>
                <w:szCs w:val="22"/>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2,151</w:t>
            </w:r>
          </w:p>
        </w:tc>
        <w:tc>
          <w:tcPr>
            <w:tcW w:w="0" w:type="dxa"/>
            <w:vAlign w:val="bottom"/>
          </w:tcPr>
          <w:p>
            <w:pPr>
              <w:spacing w:after="0"/>
              <w:rPr>
                <w:sz w:val="1"/>
                <w:szCs w:val="1"/>
                <w:color w:val="auto"/>
              </w:rPr>
            </w:pPr>
          </w:p>
        </w:tc>
      </w:tr>
      <w:tr>
        <w:trPr>
          <w:trHeight w:val="351"/>
        </w:trPr>
        <w:tc>
          <w:tcPr>
            <w:tcW w:w="4160" w:type="dxa"/>
            <w:vAlign w:val="bottom"/>
          </w:tcPr>
          <w:p>
            <w:pPr>
              <w:ind w:left="120"/>
              <w:spacing w:after="0"/>
              <w:rPr>
                <w:sz w:val="20"/>
                <w:szCs w:val="20"/>
                <w:color w:val="auto"/>
              </w:rPr>
            </w:pPr>
            <w:r>
              <w:rPr>
                <w:rFonts w:ascii="Arial" w:cs="Arial" w:eastAsia="Arial" w:hAnsi="Arial"/>
                <w:sz w:val="20"/>
                <w:szCs w:val="20"/>
                <w:color w:val="auto"/>
              </w:rPr>
              <w:t>Content costs</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1,215</w:t>
            </w:r>
          </w:p>
        </w:tc>
        <w:tc>
          <w:tcPr>
            <w:tcW w:w="800" w:type="dxa"/>
            <w:vAlign w:val="bottom"/>
          </w:tcPr>
          <w:p>
            <w:pPr>
              <w:spacing w:after="0"/>
              <w:rPr>
                <w:sz w:val="24"/>
                <w:szCs w:val="24"/>
                <w:color w:val="auto"/>
              </w:rPr>
            </w:pPr>
          </w:p>
        </w:tc>
        <w:tc>
          <w:tcPr>
            <w:tcW w:w="1160" w:type="dxa"/>
            <w:vAlign w:val="bottom"/>
          </w:tcPr>
          <w:p>
            <w:pPr>
              <w:jc w:val="right"/>
              <w:ind w:right="481"/>
              <w:spacing w:after="0"/>
              <w:rPr>
                <w:sz w:val="20"/>
                <w:szCs w:val="20"/>
                <w:color w:val="auto"/>
              </w:rPr>
            </w:pPr>
            <w:r>
              <w:rPr>
                <w:rFonts w:ascii="Arial" w:cs="Arial" w:eastAsia="Arial" w:hAnsi="Arial"/>
                <w:sz w:val="20"/>
                <w:szCs w:val="20"/>
                <w:color w:val="auto"/>
              </w:rPr>
              <w:t>15</w:t>
            </w:r>
          </w:p>
        </w:tc>
        <w:tc>
          <w:tcPr>
            <w:tcW w:w="82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1,230</w:t>
            </w:r>
          </w:p>
        </w:tc>
        <w:tc>
          <w:tcPr>
            <w:tcW w:w="0" w:type="dxa"/>
            <w:vAlign w:val="bottom"/>
          </w:tcPr>
          <w:p>
            <w:pPr>
              <w:spacing w:after="0"/>
              <w:rPr>
                <w:sz w:val="1"/>
                <w:szCs w:val="1"/>
                <w:color w:val="auto"/>
              </w:rPr>
            </w:pPr>
          </w:p>
        </w:tc>
      </w:tr>
      <w:tr>
        <w:trPr>
          <w:trHeight w:val="297"/>
        </w:trPr>
        <w:tc>
          <w:tcPr>
            <w:tcW w:w="4160" w:type="dxa"/>
            <w:vAlign w:val="bottom"/>
          </w:tcPr>
          <w:p>
            <w:pPr>
              <w:ind w:left="120"/>
              <w:spacing w:after="0"/>
              <w:rPr>
                <w:sz w:val="20"/>
                <w:szCs w:val="20"/>
                <w:color w:val="auto"/>
              </w:rPr>
            </w:pPr>
            <w:r>
              <w:rPr>
                <w:rFonts w:ascii="Arial" w:cs="Arial" w:eastAsia="Arial" w:hAnsi="Arial"/>
                <w:sz w:val="20"/>
                <w:szCs w:val="20"/>
                <w:color w:val="auto"/>
              </w:rPr>
              <w:t>Advertising and marketing</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341</w:t>
            </w:r>
          </w:p>
        </w:tc>
        <w:tc>
          <w:tcPr>
            <w:tcW w:w="800" w:type="dxa"/>
            <w:vAlign w:val="bottom"/>
          </w:tcPr>
          <w:p>
            <w:pPr>
              <w:spacing w:after="0"/>
              <w:rPr>
                <w:sz w:val="24"/>
                <w:szCs w:val="24"/>
                <w:color w:val="auto"/>
              </w:rPr>
            </w:pPr>
          </w:p>
        </w:tc>
        <w:tc>
          <w:tcPr>
            <w:tcW w:w="1160" w:type="dxa"/>
            <w:vAlign w:val="bottom"/>
          </w:tcPr>
          <w:p>
            <w:pPr>
              <w:jc w:val="right"/>
              <w:ind w:right="481"/>
              <w:spacing w:after="0"/>
              <w:rPr>
                <w:sz w:val="20"/>
                <w:szCs w:val="20"/>
                <w:color w:val="auto"/>
              </w:rPr>
            </w:pPr>
            <w:r>
              <w:rPr>
                <w:rFonts w:ascii="Arial" w:cs="Arial" w:eastAsia="Arial" w:hAnsi="Arial"/>
                <w:sz w:val="20"/>
                <w:szCs w:val="20"/>
                <w:color w:val="auto"/>
              </w:rPr>
              <w:t>18</w:t>
            </w:r>
          </w:p>
        </w:tc>
        <w:tc>
          <w:tcPr>
            <w:tcW w:w="82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359</w:t>
            </w:r>
          </w:p>
        </w:tc>
        <w:tc>
          <w:tcPr>
            <w:tcW w:w="0" w:type="dxa"/>
            <w:vAlign w:val="bottom"/>
          </w:tcPr>
          <w:p>
            <w:pPr>
              <w:spacing w:after="0"/>
              <w:rPr>
                <w:sz w:val="1"/>
                <w:szCs w:val="1"/>
                <w:color w:val="auto"/>
              </w:rPr>
            </w:pPr>
          </w:p>
        </w:tc>
      </w:tr>
      <w:tr>
        <w:trPr>
          <w:trHeight w:val="297"/>
        </w:trPr>
        <w:tc>
          <w:tcPr>
            <w:tcW w:w="4160" w:type="dxa"/>
            <w:vAlign w:val="bottom"/>
          </w:tcPr>
          <w:p>
            <w:pPr>
              <w:ind w:left="120"/>
              <w:spacing w:after="0"/>
              <w:rPr>
                <w:sz w:val="20"/>
                <w:szCs w:val="20"/>
                <w:color w:val="auto"/>
              </w:rPr>
            </w:pPr>
            <w:r>
              <w:rPr>
                <w:rFonts w:ascii="Arial" w:cs="Arial" w:eastAsia="Arial" w:hAnsi="Arial"/>
                <w:sz w:val="20"/>
                <w:szCs w:val="20"/>
                <w:color w:val="auto"/>
              </w:rPr>
              <w:t>Other</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597</w:t>
            </w:r>
          </w:p>
        </w:tc>
        <w:tc>
          <w:tcPr>
            <w:tcW w:w="800" w:type="dxa"/>
            <w:vAlign w:val="bottom"/>
          </w:tcPr>
          <w:p>
            <w:pPr>
              <w:spacing w:after="0"/>
              <w:rPr>
                <w:sz w:val="24"/>
                <w:szCs w:val="24"/>
                <w:color w:val="auto"/>
              </w:rPr>
            </w:pPr>
          </w:p>
        </w:tc>
        <w:tc>
          <w:tcPr>
            <w:tcW w:w="1160" w:type="dxa"/>
            <w:vAlign w:val="bottom"/>
          </w:tcPr>
          <w:p>
            <w:pPr>
              <w:jc w:val="right"/>
              <w:ind w:right="421"/>
              <w:spacing w:after="0"/>
              <w:rPr>
                <w:sz w:val="20"/>
                <w:szCs w:val="20"/>
                <w:color w:val="auto"/>
              </w:rPr>
            </w:pPr>
            <w:r>
              <w:rPr>
                <w:rFonts w:ascii="Arial" w:cs="Arial" w:eastAsia="Arial" w:hAnsi="Arial"/>
                <w:sz w:val="20"/>
                <w:szCs w:val="20"/>
                <w:color w:val="auto"/>
              </w:rPr>
              <w:t>(31)</w:t>
            </w:r>
          </w:p>
        </w:tc>
        <w:tc>
          <w:tcPr>
            <w:tcW w:w="82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566</w:t>
            </w:r>
          </w:p>
        </w:tc>
        <w:tc>
          <w:tcPr>
            <w:tcW w:w="0" w:type="dxa"/>
            <w:vAlign w:val="bottom"/>
          </w:tcPr>
          <w:p>
            <w:pPr>
              <w:spacing w:after="0"/>
              <w:rPr>
                <w:sz w:val="1"/>
                <w:szCs w:val="1"/>
                <w:color w:val="auto"/>
              </w:rPr>
            </w:pPr>
          </w:p>
        </w:tc>
      </w:tr>
      <w:tr>
        <w:trPr>
          <w:trHeight w:val="30"/>
        </w:trPr>
        <w:tc>
          <w:tcPr>
            <w:tcW w:w="4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60" w:type="dxa"/>
            <w:vAlign w:val="bottom"/>
          </w:tcPr>
          <w:p>
            <w:pPr>
              <w:ind w:left="20"/>
              <w:spacing w:after="0"/>
              <w:rPr>
                <w:sz w:val="20"/>
                <w:szCs w:val="20"/>
                <w:color w:val="auto"/>
              </w:rPr>
            </w:pPr>
            <w:r>
              <w:rPr>
                <w:rFonts w:ascii="Arial" w:cs="Arial" w:eastAsia="Arial" w:hAnsi="Arial"/>
                <w:sz w:val="20"/>
                <w:szCs w:val="20"/>
                <w:color w:val="auto"/>
              </w:rPr>
              <w:t>Expenses</w:t>
            </w:r>
          </w:p>
        </w:tc>
        <w:tc>
          <w:tcPr>
            <w:tcW w:w="780" w:type="dxa"/>
            <w:vAlign w:val="bottom"/>
          </w:tcPr>
          <w:p>
            <w:pPr>
              <w:spacing w:after="0"/>
              <w:rPr>
                <w:sz w:val="22"/>
                <w:szCs w:val="22"/>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2,153</w:t>
            </w:r>
          </w:p>
        </w:tc>
        <w:tc>
          <w:tcPr>
            <w:tcW w:w="800" w:type="dxa"/>
            <w:vAlign w:val="bottom"/>
          </w:tcPr>
          <w:p>
            <w:pPr>
              <w:spacing w:after="0"/>
              <w:rPr>
                <w:sz w:val="22"/>
                <w:szCs w:val="22"/>
                <w:color w:val="auto"/>
              </w:rPr>
            </w:pPr>
          </w:p>
        </w:tc>
        <w:tc>
          <w:tcPr>
            <w:tcW w:w="1160" w:type="dxa"/>
            <w:vAlign w:val="bottom"/>
          </w:tcPr>
          <w:p>
            <w:pPr>
              <w:jc w:val="right"/>
              <w:ind w:right="481"/>
              <w:spacing w:after="0"/>
              <w:rPr>
                <w:sz w:val="20"/>
                <w:szCs w:val="20"/>
                <w:color w:val="auto"/>
              </w:rPr>
            </w:pPr>
            <w:r>
              <w:rPr>
                <w:rFonts w:ascii="Arial" w:cs="Arial" w:eastAsia="Arial" w:hAnsi="Arial"/>
                <w:sz w:val="20"/>
                <w:szCs w:val="20"/>
                <w:color w:val="auto"/>
              </w:rPr>
              <w:t>2</w:t>
            </w:r>
          </w:p>
        </w:tc>
        <w:tc>
          <w:tcPr>
            <w:tcW w:w="820" w:type="dxa"/>
            <w:vAlign w:val="bottom"/>
          </w:tcPr>
          <w:p>
            <w:pPr>
              <w:spacing w:after="0"/>
              <w:rPr>
                <w:sz w:val="22"/>
                <w:szCs w:val="22"/>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2,155</w:t>
            </w:r>
          </w:p>
        </w:tc>
        <w:tc>
          <w:tcPr>
            <w:tcW w:w="0" w:type="dxa"/>
            <w:vAlign w:val="bottom"/>
          </w:tcPr>
          <w:p>
            <w:pPr>
              <w:spacing w:after="0"/>
              <w:rPr>
                <w:sz w:val="1"/>
                <w:szCs w:val="1"/>
                <w:color w:val="auto"/>
              </w:rPr>
            </w:pPr>
          </w:p>
        </w:tc>
      </w:tr>
      <w:tr>
        <w:trPr>
          <w:trHeight w:val="38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(109)</w:t>
            </w: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105</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83" w:right="339" w:bottom="1440" w:gutter="0" w:footer="0" w:header="0"/>
        </w:sectPr>
      </w:pPr>
    </w:p>
    <w:bookmarkStart w:id="24" w:name="page25"/>
    <w:bookmarkEnd w:id="24"/>
    <w:p>
      <w:pPr>
        <w:jc w:val="center"/>
        <w:ind w:right="240"/>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2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(Unaudited; in millions)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121920</wp:posOffset>
            </wp:positionV>
            <wp:extent cx="677227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73"/>
        </w:trPr>
        <w:tc>
          <w:tcPr>
            <w:tcW w:w="4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60" w:type="dxa"/>
            <w:vAlign w:val="bottom"/>
          </w:tcPr>
          <w:p>
            <w:pPr>
              <w:jc w:val="center"/>
              <w:ind w:right="621"/>
              <w:spacing w:after="0"/>
              <w:rPr>
                <w:sz w:val="20"/>
                <w:szCs w:val="20"/>
                <w:color w:val="auto"/>
              </w:rPr>
            </w:pPr>
            <w:r>
              <w:rPr>
                <w:rFonts w:ascii="Arial" w:cs="Arial" w:eastAsia="Arial" w:hAnsi="Arial"/>
                <w:sz w:val="20"/>
                <w:szCs w:val="20"/>
                <w:b w:val="1"/>
                <w:bCs w:val="1"/>
                <w:color w:val="auto"/>
                <w:w w:val="96"/>
              </w:rPr>
              <w:t>GAAP</w:t>
            </w: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Non-GAAP</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414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14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0" w:type="dxa"/>
            <w:vAlign w:val="bottom"/>
          </w:tcPr>
          <w:p>
            <w:pPr>
              <w:spacing w:after="0"/>
              <w:rPr>
                <w:sz w:val="1"/>
                <w:szCs w:val="1"/>
                <w:color w:val="auto"/>
              </w:rPr>
            </w:pPr>
          </w:p>
        </w:tc>
      </w:tr>
      <w:tr>
        <w:trPr>
          <w:trHeight w:val="273"/>
        </w:trPr>
        <w:tc>
          <w:tcPr>
            <w:tcW w:w="4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60" w:type="dxa"/>
            <w:vAlign w:val="bottom"/>
          </w:tcPr>
          <w:p>
            <w:pPr>
              <w:jc w:val="center"/>
              <w:ind w:right="621"/>
              <w:spacing w:after="0"/>
              <w:rPr>
                <w:sz w:val="20"/>
                <w:szCs w:val="20"/>
                <w:color w:val="auto"/>
              </w:rPr>
            </w:pPr>
            <w:r>
              <w:rPr>
                <w:rFonts w:ascii="Arial" w:cs="Arial" w:eastAsia="Arial" w:hAnsi="Arial"/>
                <w:sz w:val="20"/>
                <w:szCs w:val="20"/>
                <w:b w:val="1"/>
                <w:bCs w:val="1"/>
                <w:color w:val="auto"/>
                <w:w w:val="99"/>
              </w:rPr>
              <w:t>June 30,</w:t>
            </w: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60" w:type="dxa"/>
            <w:vAlign w:val="bottom"/>
          </w:tcPr>
          <w:p>
            <w:pPr>
              <w:jc w:val="center"/>
              <w:ind w:right="621"/>
              <w:spacing w:after="0"/>
              <w:rPr>
                <w:sz w:val="20"/>
                <w:szCs w:val="20"/>
                <w:color w:val="auto"/>
              </w:rPr>
            </w:pPr>
            <w:r>
              <w:rPr>
                <w:rFonts w:ascii="Arial" w:cs="Arial" w:eastAsia="Arial" w:hAnsi="Arial"/>
                <w:sz w:val="20"/>
                <w:szCs w:val="20"/>
                <w:b w:val="1"/>
                <w:bCs w:val="1"/>
                <w:color w:val="auto"/>
                <w:w w:val="99"/>
              </w:rPr>
              <w:t>June 30,</w:t>
            </w:r>
          </w:p>
        </w:tc>
        <w:tc>
          <w:tcPr>
            <w:tcW w:w="0" w:type="dxa"/>
            <w:vAlign w:val="bottom"/>
          </w:tcPr>
          <w:p>
            <w:pPr>
              <w:spacing w:after="0"/>
              <w:rPr>
                <w:sz w:val="1"/>
                <w:szCs w:val="1"/>
                <w:color w:val="auto"/>
              </w:rPr>
            </w:pPr>
          </w:p>
        </w:tc>
      </w:tr>
      <w:tr>
        <w:trPr>
          <w:trHeight w:val="284"/>
        </w:trPr>
        <w:tc>
          <w:tcPr>
            <w:tcW w:w="4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center"/>
              <w:ind w:right="621"/>
              <w:spacing w:after="0"/>
              <w:rPr>
                <w:sz w:val="20"/>
                <w:szCs w:val="20"/>
                <w:color w:val="auto"/>
              </w:rPr>
            </w:pPr>
            <w:r>
              <w:rPr>
                <w:rFonts w:ascii="Arial" w:cs="Arial" w:eastAsia="Arial" w:hAnsi="Arial"/>
                <w:sz w:val="20"/>
                <w:szCs w:val="20"/>
                <w:b w:val="1"/>
                <w:bCs w:val="1"/>
                <w:color w:val="auto"/>
                <w:w w:val="98"/>
              </w:rPr>
              <w:t>2025</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center"/>
              <w:ind w:right="62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960" w:type="dxa"/>
            <w:vAlign w:val="bottom"/>
            <w:gridSpan w:val="2"/>
            <w:vMerge w:val="restart"/>
          </w:tcPr>
          <w:p>
            <w:pPr>
              <w:jc w:val="right"/>
              <w:ind w:right="20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Direct-to-Consumer</w:t>
            </w:r>
          </w:p>
        </w:tc>
        <w:tc>
          <w:tcPr>
            <w:tcW w:w="1960" w:type="dxa"/>
            <w:vAlign w:val="bottom"/>
            <w:tcBorders>
              <w:bottom w:val="single" w:sz="8" w:color="auto"/>
            </w:tcBorders>
            <w:gridSpan w:val="2"/>
            <w:vMerge w:val="continue"/>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Direct-to-Consumer</w:t>
            </w:r>
          </w:p>
        </w:tc>
        <w:tc>
          <w:tcPr>
            <w:tcW w:w="0" w:type="dxa"/>
            <w:vAlign w:val="bottom"/>
          </w:tcPr>
          <w:p>
            <w:pPr>
              <w:spacing w:after="0"/>
              <w:rPr>
                <w:sz w:val="1"/>
                <w:szCs w:val="1"/>
                <w:color w:val="auto"/>
              </w:rPr>
            </w:pPr>
          </w:p>
        </w:tc>
      </w:tr>
      <w:tr>
        <w:trPr>
          <w:trHeight w:val="260"/>
        </w:trPr>
        <w:tc>
          <w:tcPr>
            <w:tcW w:w="4140" w:type="dxa"/>
            <w:vAlign w:val="bottom"/>
          </w:tcPr>
          <w:p>
            <w:pPr>
              <w:ind w:left="220"/>
              <w:spacing w:after="0"/>
              <w:rPr>
                <w:sz w:val="20"/>
                <w:szCs w:val="20"/>
                <w:color w:val="auto"/>
              </w:rPr>
            </w:pPr>
            <w:r>
              <w:rPr>
                <w:rFonts w:ascii="Arial" w:cs="Arial" w:eastAsia="Arial" w:hAnsi="Arial"/>
                <w:sz w:val="20"/>
                <w:szCs w:val="20"/>
                <w:color w:val="auto"/>
              </w:rPr>
              <w:t>Advertising</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494</w:t>
            </w:r>
          </w:p>
        </w:tc>
        <w:tc>
          <w:tcPr>
            <w:tcW w:w="8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494</w:t>
            </w:r>
          </w:p>
        </w:tc>
        <w:tc>
          <w:tcPr>
            <w:tcW w:w="0" w:type="dxa"/>
            <w:vAlign w:val="bottom"/>
          </w:tcPr>
          <w:p>
            <w:pPr>
              <w:spacing w:after="0"/>
              <w:rPr>
                <w:sz w:val="1"/>
                <w:szCs w:val="1"/>
                <w:color w:val="auto"/>
              </w:rPr>
            </w:pPr>
          </w:p>
        </w:tc>
      </w:tr>
      <w:tr>
        <w:trPr>
          <w:trHeight w:val="297"/>
        </w:trPr>
        <w:tc>
          <w:tcPr>
            <w:tcW w:w="4140" w:type="dxa"/>
            <w:vAlign w:val="bottom"/>
          </w:tcPr>
          <w:p>
            <w:pPr>
              <w:ind w:left="220"/>
              <w:spacing w:after="0"/>
              <w:rPr>
                <w:sz w:val="20"/>
                <w:szCs w:val="20"/>
                <w:color w:val="auto"/>
              </w:rPr>
            </w:pPr>
            <w:r>
              <w:rPr>
                <w:rFonts w:ascii="Arial" w:cs="Arial" w:eastAsia="Arial" w:hAnsi="Arial"/>
                <w:sz w:val="20"/>
                <w:szCs w:val="20"/>
                <w:color w:val="auto"/>
              </w:rPr>
              <w:t>Affiliate and subscription</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1,665</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104</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1,769</w:t>
            </w:r>
          </w:p>
        </w:tc>
        <w:tc>
          <w:tcPr>
            <w:tcW w:w="0" w:type="dxa"/>
            <w:vAlign w:val="bottom"/>
          </w:tcPr>
          <w:p>
            <w:pPr>
              <w:spacing w:after="0"/>
              <w:rPr>
                <w:sz w:val="1"/>
                <w:szCs w:val="1"/>
                <w:color w:val="auto"/>
              </w:rPr>
            </w:pPr>
          </w:p>
        </w:tc>
      </w:tr>
      <w:tr>
        <w:trPr>
          <w:trHeight w:val="297"/>
        </w:trPr>
        <w:tc>
          <w:tcPr>
            <w:tcW w:w="4140" w:type="dxa"/>
            <w:vAlign w:val="bottom"/>
          </w:tcPr>
          <w:p>
            <w:pPr>
              <w:ind w:left="220"/>
              <w:spacing w:after="0"/>
              <w:rPr>
                <w:sz w:val="20"/>
                <w:szCs w:val="20"/>
                <w:color w:val="auto"/>
              </w:rPr>
            </w:pPr>
            <w:r>
              <w:rPr>
                <w:rFonts w:ascii="Arial" w:cs="Arial" w:eastAsia="Arial" w:hAnsi="Arial"/>
                <w:sz w:val="20"/>
                <w:szCs w:val="20"/>
                <w:color w:val="auto"/>
              </w:rPr>
              <w:t>Licensing and other</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1</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1"/>
        </w:trPr>
        <w:tc>
          <w:tcPr>
            <w:tcW w:w="4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40" w:type="dxa"/>
            <w:vAlign w:val="bottom"/>
          </w:tcPr>
          <w:p>
            <w:pPr>
              <w:spacing w:after="0"/>
              <w:rPr>
                <w:sz w:val="20"/>
                <w:szCs w:val="20"/>
                <w:color w:val="auto"/>
              </w:rPr>
            </w:pPr>
            <w:r>
              <w:rPr>
                <w:rFonts w:ascii="Arial" w:cs="Arial" w:eastAsia="Arial" w:hAnsi="Arial"/>
                <w:sz w:val="20"/>
                <w:szCs w:val="20"/>
                <w:color w:val="auto"/>
              </w:rPr>
              <w:t>Revenues</w:t>
            </w:r>
          </w:p>
        </w:tc>
        <w:tc>
          <w:tcPr>
            <w:tcW w:w="720" w:type="dxa"/>
            <w:vAlign w:val="bottom"/>
          </w:tcPr>
          <w:p>
            <w:pPr>
              <w:spacing w:after="0"/>
              <w:rPr>
                <w:sz w:val="22"/>
                <w:szCs w:val="22"/>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2,160</w:t>
            </w:r>
          </w:p>
        </w:tc>
        <w:tc>
          <w:tcPr>
            <w:tcW w:w="820" w:type="dxa"/>
            <w:vAlign w:val="bottom"/>
          </w:tcPr>
          <w:p>
            <w:pPr>
              <w:spacing w:after="0"/>
              <w:rPr>
                <w:sz w:val="22"/>
                <w:szCs w:val="22"/>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104</w:t>
            </w:r>
          </w:p>
        </w:tc>
        <w:tc>
          <w:tcPr>
            <w:tcW w:w="720" w:type="dxa"/>
            <w:vAlign w:val="bottom"/>
          </w:tcPr>
          <w:p>
            <w:pPr>
              <w:spacing w:after="0"/>
              <w:rPr>
                <w:sz w:val="22"/>
                <w:szCs w:val="22"/>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2,264</w:t>
            </w:r>
          </w:p>
        </w:tc>
        <w:tc>
          <w:tcPr>
            <w:tcW w:w="0" w:type="dxa"/>
            <w:vAlign w:val="bottom"/>
          </w:tcPr>
          <w:p>
            <w:pPr>
              <w:spacing w:after="0"/>
              <w:rPr>
                <w:sz w:val="1"/>
                <w:szCs w:val="1"/>
                <w:color w:val="auto"/>
              </w:rPr>
            </w:pPr>
          </w:p>
        </w:tc>
      </w:tr>
      <w:tr>
        <w:trPr>
          <w:trHeight w:val="405"/>
        </w:trPr>
        <w:tc>
          <w:tcPr>
            <w:tcW w:w="4140" w:type="dxa"/>
            <w:vAlign w:val="bottom"/>
          </w:tcPr>
          <w:p>
            <w:pPr>
              <w:ind w:left="120"/>
              <w:spacing w:after="0"/>
              <w:rPr>
                <w:sz w:val="20"/>
                <w:szCs w:val="20"/>
                <w:color w:val="auto"/>
              </w:rPr>
            </w:pPr>
            <w:r>
              <w:rPr>
                <w:rFonts w:ascii="Arial" w:cs="Arial" w:eastAsia="Arial" w:hAnsi="Arial"/>
                <w:sz w:val="20"/>
                <w:szCs w:val="20"/>
                <w:color w:val="auto"/>
              </w:rPr>
              <w:t>Content costs</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1,085</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29</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1,114</w:t>
            </w:r>
          </w:p>
        </w:tc>
        <w:tc>
          <w:tcPr>
            <w:tcW w:w="0" w:type="dxa"/>
            <w:vAlign w:val="bottom"/>
          </w:tcPr>
          <w:p>
            <w:pPr>
              <w:spacing w:after="0"/>
              <w:rPr>
                <w:sz w:val="1"/>
                <w:szCs w:val="1"/>
                <w:color w:val="auto"/>
              </w:rPr>
            </w:pPr>
          </w:p>
        </w:tc>
      </w:tr>
      <w:tr>
        <w:trPr>
          <w:trHeight w:val="297"/>
        </w:trPr>
        <w:tc>
          <w:tcPr>
            <w:tcW w:w="4140" w:type="dxa"/>
            <w:vAlign w:val="bottom"/>
          </w:tcPr>
          <w:p>
            <w:pPr>
              <w:ind w:left="120"/>
              <w:spacing w:after="0"/>
              <w:rPr>
                <w:sz w:val="20"/>
                <w:szCs w:val="20"/>
                <w:color w:val="auto"/>
              </w:rPr>
            </w:pPr>
            <w:r>
              <w:rPr>
                <w:rFonts w:ascii="Arial" w:cs="Arial" w:eastAsia="Arial" w:hAnsi="Arial"/>
                <w:sz w:val="20"/>
                <w:szCs w:val="20"/>
                <w:color w:val="auto"/>
              </w:rPr>
              <w:t>Advertising and marketing</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294</w:t>
            </w:r>
          </w:p>
        </w:tc>
        <w:tc>
          <w:tcPr>
            <w:tcW w:w="8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11</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305</w:t>
            </w:r>
          </w:p>
        </w:tc>
        <w:tc>
          <w:tcPr>
            <w:tcW w:w="0" w:type="dxa"/>
            <w:vAlign w:val="bottom"/>
          </w:tcPr>
          <w:p>
            <w:pPr>
              <w:spacing w:after="0"/>
              <w:rPr>
                <w:sz w:val="1"/>
                <w:szCs w:val="1"/>
                <w:color w:val="auto"/>
              </w:rPr>
            </w:pPr>
          </w:p>
        </w:tc>
      </w:tr>
      <w:tr>
        <w:trPr>
          <w:trHeight w:val="297"/>
        </w:trPr>
        <w:tc>
          <w:tcPr>
            <w:tcW w:w="4140" w:type="dxa"/>
            <w:vAlign w:val="bottom"/>
          </w:tcPr>
          <w:p>
            <w:pPr>
              <w:ind w:left="120"/>
              <w:spacing w:after="0"/>
              <w:rPr>
                <w:sz w:val="20"/>
                <w:szCs w:val="20"/>
                <w:color w:val="auto"/>
              </w:rPr>
            </w:pPr>
            <w:r>
              <w:rPr>
                <w:rFonts w:ascii="Arial" w:cs="Arial" w:eastAsia="Arial" w:hAnsi="Arial"/>
                <w:sz w:val="20"/>
                <w:szCs w:val="20"/>
                <w:color w:val="auto"/>
              </w:rPr>
              <w:t>Other</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624</w:t>
            </w:r>
          </w:p>
        </w:tc>
        <w:tc>
          <w:tcPr>
            <w:tcW w:w="820" w:type="dxa"/>
            <w:vAlign w:val="bottom"/>
          </w:tcPr>
          <w:p>
            <w:pPr>
              <w:spacing w:after="0"/>
              <w:rPr>
                <w:sz w:val="24"/>
                <w:szCs w:val="24"/>
                <w:color w:val="auto"/>
              </w:rPr>
            </w:pPr>
          </w:p>
        </w:tc>
        <w:tc>
          <w:tcPr>
            <w:tcW w:w="1140" w:type="dxa"/>
            <w:vAlign w:val="bottom"/>
          </w:tcPr>
          <w:p>
            <w:pPr>
              <w:jc w:val="right"/>
              <w:ind w:right="401"/>
              <w:spacing w:after="0"/>
              <w:rPr>
                <w:sz w:val="20"/>
                <w:szCs w:val="20"/>
                <w:color w:val="auto"/>
              </w:rPr>
            </w:pPr>
            <w:r>
              <w:rPr>
                <w:rFonts w:ascii="Arial" w:cs="Arial" w:eastAsia="Arial" w:hAnsi="Arial"/>
                <w:sz w:val="20"/>
                <w:szCs w:val="20"/>
                <w:color w:val="auto"/>
              </w:rPr>
              <w:t>(33)</w:t>
            </w:r>
          </w:p>
        </w:tc>
        <w:tc>
          <w:tcPr>
            <w:tcW w:w="720" w:type="dxa"/>
            <w:vAlign w:val="bottom"/>
          </w:tcPr>
          <w:p>
            <w:pPr>
              <w:spacing w:after="0"/>
              <w:rPr>
                <w:sz w:val="24"/>
                <w:szCs w:val="24"/>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591</w:t>
            </w:r>
          </w:p>
        </w:tc>
        <w:tc>
          <w:tcPr>
            <w:tcW w:w="0" w:type="dxa"/>
            <w:vAlign w:val="bottom"/>
          </w:tcPr>
          <w:p>
            <w:pPr>
              <w:spacing w:after="0"/>
              <w:rPr>
                <w:sz w:val="1"/>
                <w:szCs w:val="1"/>
                <w:color w:val="auto"/>
              </w:rPr>
            </w:pPr>
          </w:p>
        </w:tc>
      </w:tr>
      <w:tr>
        <w:trPr>
          <w:trHeight w:val="30"/>
        </w:trPr>
        <w:tc>
          <w:tcPr>
            <w:tcW w:w="4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40" w:type="dxa"/>
            <w:vAlign w:val="bottom"/>
          </w:tcPr>
          <w:p>
            <w:pPr>
              <w:spacing w:after="0"/>
              <w:rPr>
                <w:sz w:val="20"/>
                <w:szCs w:val="20"/>
                <w:color w:val="auto"/>
              </w:rPr>
            </w:pPr>
            <w:r>
              <w:rPr>
                <w:rFonts w:ascii="Arial" w:cs="Arial" w:eastAsia="Arial" w:hAnsi="Arial"/>
                <w:sz w:val="20"/>
                <w:szCs w:val="20"/>
                <w:color w:val="auto"/>
              </w:rPr>
              <w:t>Expenses</w:t>
            </w:r>
          </w:p>
        </w:tc>
        <w:tc>
          <w:tcPr>
            <w:tcW w:w="720" w:type="dxa"/>
            <w:vAlign w:val="bottom"/>
          </w:tcPr>
          <w:p>
            <w:pPr>
              <w:spacing w:after="0"/>
              <w:rPr>
                <w:sz w:val="22"/>
                <w:szCs w:val="22"/>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2,003</w:t>
            </w:r>
          </w:p>
        </w:tc>
        <w:tc>
          <w:tcPr>
            <w:tcW w:w="820" w:type="dxa"/>
            <w:vAlign w:val="bottom"/>
          </w:tcPr>
          <w:p>
            <w:pPr>
              <w:spacing w:after="0"/>
              <w:rPr>
                <w:sz w:val="22"/>
                <w:szCs w:val="22"/>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7</w:t>
            </w:r>
          </w:p>
        </w:tc>
        <w:tc>
          <w:tcPr>
            <w:tcW w:w="720" w:type="dxa"/>
            <w:vAlign w:val="bottom"/>
          </w:tcPr>
          <w:p>
            <w:pPr>
              <w:spacing w:after="0"/>
              <w:rPr>
                <w:sz w:val="22"/>
                <w:szCs w:val="22"/>
                <w:color w:val="auto"/>
              </w:rPr>
            </w:pPr>
          </w:p>
        </w:tc>
        <w:tc>
          <w:tcPr>
            <w:tcW w:w="1560" w:type="dxa"/>
            <w:vAlign w:val="bottom"/>
          </w:tcPr>
          <w:p>
            <w:pPr>
              <w:jc w:val="right"/>
              <w:ind w:right="561"/>
              <w:spacing w:after="0"/>
              <w:rPr>
                <w:sz w:val="20"/>
                <w:szCs w:val="20"/>
                <w:color w:val="auto"/>
              </w:rPr>
            </w:pPr>
            <w:r>
              <w:rPr>
                <w:rFonts w:ascii="Arial" w:cs="Arial" w:eastAsia="Arial" w:hAnsi="Arial"/>
                <w:sz w:val="20"/>
                <w:szCs w:val="20"/>
                <w:color w:val="auto"/>
              </w:rPr>
              <w:t>2,010</w:t>
            </w:r>
          </w:p>
        </w:tc>
        <w:tc>
          <w:tcPr>
            <w:tcW w:w="0" w:type="dxa"/>
            <w:vAlign w:val="bottom"/>
          </w:tcPr>
          <w:p>
            <w:pPr>
              <w:spacing w:after="0"/>
              <w:rPr>
                <w:sz w:val="1"/>
                <w:szCs w:val="1"/>
                <w:color w:val="auto"/>
              </w:rPr>
            </w:pPr>
          </w:p>
        </w:tc>
      </w:tr>
      <w:tr>
        <w:trPr>
          <w:trHeight w:val="443"/>
        </w:trPr>
        <w:tc>
          <w:tcPr>
            <w:tcW w:w="4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157</w:t>
            </w: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97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Period from July 1-August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121920</wp:posOffset>
            </wp:positionV>
            <wp:extent cx="67894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89420" cy="17145"/>
                    </a:xfrm>
                    <a:prstGeom prst="rect">
                      <a:avLst/>
                    </a:prstGeom>
                    <a:noFill/>
                  </pic:spPr>
                </pic:pic>
              </a:graphicData>
            </a:graphic>
          </wp:anchor>
        </w:drawing>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273"/>
        </w:trPr>
        <w:tc>
          <w:tcPr>
            <w:tcW w:w="4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jc w:val="center"/>
              <w:ind w:right="681"/>
              <w:spacing w:after="0"/>
              <w:rPr>
                <w:sz w:val="20"/>
                <w:szCs w:val="20"/>
                <w:color w:val="auto"/>
              </w:rPr>
            </w:pPr>
            <w:r>
              <w:rPr>
                <w:rFonts w:ascii="Arial" w:cs="Arial" w:eastAsia="Arial" w:hAnsi="Arial"/>
                <w:sz w:val="20"/>
                <w:szCs w:val="20"/>
                <w:b w:val="1"/>
                <w:bCs w:val="1"/>
                <w:color w:val="auto"/>
                <w:w w:val="96"/>
              </w:rPr>
              <w:t>GAAP</w:t>
            </w: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Non-GAAP</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18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Period From July 1 -</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Period From July 1 -</w:t>
            </w:r>
          </w:p>
        </w:tc>
        <w:tc>
          <w:tcPr>
            <w:tcW w:w="0" w:type="dxa"/>
            <w:vAlign w:val="bottom"/>
          </w:tcPr>
          <w:p>
            <w:pPr>
              <w:spacing w:after="0"/>
              <w:rPr>
                <w:sz w:val="1"/>
                <w:szCs w:val="1"/>
                <w:color w:val="auto"/>
              </w:rPr>
            </w:pPr>
          </w:p>
        </w:tc>
      </w:tr>
      <w:tr>
        <w:trPr>
          <w:trHeight w:val="273"/>
        </w:trPr>
        <w:tc>
          <w:tcPr>
            <w:tcW w:w="418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August 6,</w:t>
            </w: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August 6,</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jc w:val="center"/>
              <w:ind w:right="681"/>
              <w:spacing w:after="0"/>
              <w:rPr>
                <w:sz w:val="20"/>
                <w:szCs w:val="20"/>
                <w:color w:val="auto"/>
              </w:rPr>
            </w:pPr>
            <w:r>
              <w:rPr>
                <w:rFonts w:ascii="Arial" w:cs="Arial" w:eastAsia="Arial" w:hAnsi="Arial"/>
                <w:sz w:val="20"/>
                <w:szCs w:val="20"/>
                <w:b w:val="1"/>
                <w:bCs w:val="1"/>
                <w:color w:val="auto"/>
                <w:w w:val="98"/>
              </w:rPr>
              <w:t>2025</w:t>
            </w: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jc w:val="center"/>
              <w:ind w:right="72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940" w:type="dxa"/>
            <w:vAlign w:val="bottom"/>
            <w:gridSpan w:val="2"/>
            <w:vMerge w:val="restart"/>
          </w:tcPr>
          <w:p>
            <w:pPr>
              <w:jc w:val="right"/>
              <w:ind w:right="18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2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Direct-to-Consumer</w:t>
            </w:r>
          </w:p>
        </w:tc>
        <w:tc>
          <w:tcPr>
            <w:tcW w:w="1940" w:type="dxa"/>
            <w:vAlign w:val="bottom"/>
            <w:tcBorders>
              <w:bottom w:val="single" w:sz="8" w:color="auto"/>
            </w:tcBorders>
            <w:gridSpan w:val="2"/>
            <w:vMerge w:val="continue"/>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Direct-to-Consumer</w:t>
            </w:r>
          </w:p>
        </w:tc>
        <w:tc>
          <w:tcPr>
            <w:tcW w:w="0" w:type="dxa"/>
            <w:vAlign w:val="bottom"/>
          </w:tcPr>
          <w:p>
            <w:pPr>
              <w:spacing w:after="0"/>
              <w:rPr>
                <w:sz w:val="1"/>
                <w:szCs w:val="1"/>
                <w:color w:val="auto"/>
              </w:rPr>
            </w:pPr>
          </w:p>
        </w:tc>
      </w:tr>
      <w:tr>
        <w:trPr>
          <w:trHeight w:val="260"/>
        </w:trPr>
        <w:tc>
          <w:tcPr>
            <w:tcW w:w="4180" w:type="dxa"/>
            <w:vAlign w:val="bottom"/>
          </w:tcPr>
          <w:p>
            <w:pPr>
              <w:ind w:left="220"/>
              <w:spacing w:after="0"/>
              <w:rPr>
                <w:sz w:val="20"/>
                <w:szCs w:val="20"/>
                <w:color w:val="auto"/>
              </w:rPr>
            </w:pPr>
            <w:r>
              <w:rPr>
                <w:rFonts w:ascii="Arial" w:cs="Arial" w:eastAsia="Arial" w:hAnsi="Arial"/>
                <w:sz w:val="20"/>
                <w:szCs w:val="20"/>
                <w:color w:val="auto"/>
              </w:rPr>
              <w:t>Advertising</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179</w:t>
            </w:r>
          </w:p>
        </w:tc>
        <w:tc>
          <w:tcPr>
            <w:tcW w:w="8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179</w:t>
            </w:r>
          </w:p>
        </w:tc>
        <w:tc>
          <w:tcPr>
            <w:tcW w:w="0" w:type="dxa"/>
            <w:vAlign w:val="bottom"/>
          </w:tcPr>
          <w:p>
            <w:pPr>
              <w:spacing w:after="0"/>
              <w:rPr>
                <w:sz w:val="1"/>
                <w:szCs w:val="1"/>
                <w:color w:val="auto"/>
              </w:rPr>
            </w:pPr>
          </w:p>
        </w:tc>
      </w:tr>
      <w:tr>
        <w:trPr>
          <w:trHeight w:val="297"/>
        </w:trPr>
        <w:tc>
          <w:tcPr>
            <w:tcW w:w="4180" w:type="dxa"/>
            <w:vAlign w:val="bottom"/>
          </w:tcPr>
          <w:p>
            <w:pPr>
              <w:ind w:left="220"/>
              <w:spacing w:after="0"/>
              <w:rPr>
                <w:sz w:val="20"/>
                <w:szCs w:val="20"/>
                <w:color w:val="auto"/>
              </w:rPr>
            </w:pPr>
            <w:r>
              <w:rPr>
                <w:rFonts w:ascii="Arial" w:cs="Arial" w:eastAsia="Arial" w:hAnsi="Arial"/>
                <w:sz w:val="20"/>
                <w:szCs w:val="20"/>
                <w:color w:val="auto"/>
              </w:rPr>
              <w:t>Affiliate and subscription</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704</w:t>
            </w:r>
          </w:p>
        </w:tc>
        <w:tc>
          <w:tcPr>
            <w:tcW w:w="820" w:type="dxa"/>
            <w:vAlign w:val="bottom"/>
          </w:tcPr>
          <w:p>
            <w:pPr>
              <w:spacing w:after="0"/>
              <w:rPr>
                <w:sz w:val="24"/>
                <w:szCs w:val="24"/>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40</w:t>
            </w:r>
          </w:p>
        </w:tc>
        <w:tc>
          <w:tcPr>
            <w:tcW w:w="82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744</w:t>
            </w:r>
          </w:p>
        </w:tc>
        <w:tc>
          <w:tcPr>
            <w:tcW w:w="0" w:type="dxa"/>
            <w:vAlign w:val="bottom"/>
          </w:tcPr>
          <w:p>
            <w:pPr>
              <w:spacing w:after="0"/>
              <w:rPr>
                <w:sz w:val="1"/>
                <w:szCs w:val="1"/>
                <w:color w:val="auto"/>
              </w:rPr>
            </w:pPr>
          </w:p>
        </w:tc>
      </w:tr>
      <w:tr>
        <w:trPr>
          <w:trHeight w:val="30"/>
        </w:trPr>
        <w:tc>
          <w:tcPr>
            <w:tcW w:w="4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80" w:type="dxa"/>
            <w:vAlign w:val="bottom"/>
          </w:tcPr>
          <w:p>
            <w:pPr>
              <w:ind w:left="20"/>
              <w:spacing w:after="0"/>
              <w:rPr>
                <w:sz w:val="20"/>
                <w:szCs w:val="20"/>
                <w:color w:val="auto"/>
              </w:rPr>
            </w:pPr>
            <w:r>
              <w:rPr>
                <w:rFonts w:ascii="Arial" w:cs="Arial" w:eastAsia="Arial" w:hAnsi="Arial"/>
                <w:sz w:val="20"/>
                <w:szCs w:val="20"/>
                <w:color w:val="auto"/>
              </w:rPr>
              <w:t>Revenues</w:t>
            </w:r>
          </w:p>
        </w:tc>
        <w:tc>
          <w:tcPr>
            <w:tcW w:w="780" w:type="dxa"/>
            <w:vAlign w:val="bottom"/>
          </w:tcPr>
          <w:p>
            <w:pPr>
              <w:spacing w:after="0"/>
              <w:rPr>
                <w:sz w:val="22"/>
                <w:szCs w:val="22"/>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883</w:t>
            </w:r>
          </w:p>
        </w:tc>
        <w:tc>
          <w:tcPr>
            <w:tcW w:w="820" w:type="dxa"/>
            <w:vAlign w:val="bottom"/>
          </w:tcPr>
          <w:p>
            <w:pPr>
              <w:spacing w:after="0"/>
              <w:rPr>
                <w:sz w:val="22"/>
                <w:szCs w:val="22"/>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40</w:t>
            </w:r>
          </w:p>
        </w:tc>
        <w:tc>
          <w:tcPr>
            <w:tcW w:w="820" w:type="dxa"/>
            <w:vAlign w:val="bottom"/>
          </w:tcPr>
          <w:p>
            <w:pPr>
              <w:spacing w:after="0"/>
              <w:rPr>
                <w:sz w:val="22"/>
                <w:szCs w:val="22"/>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923</w:t>
            </w:r>
          </w:p>
        </w:tc>
        <w:tc>
          <w:tcPr>
            <w:tcW w:w="0" w:type="dxa"/>
            <w:vAlign w:val="bottom"/>
          </w:tcPr>
          <w:p>
            <w:pPr>
              <w:spacing w:after="0"/>
              <w:rPr>
                <w:sz w:val="1"/>
                <w:szCs w:val="1"/>
                <w:color w:val="auto"/>
              </w:rPr>
            </w:pPr>
          </w:p>
        </w:tc>
      </w:tr>
      <w:tr>
        <w:trPr>
          <w:trHeight w:val="405"/>
        </w:trPr>
        <w:tc>
          <w:tcPr>
            <w:tcW w:w="4180" w:type="dxa"/>
            <w:vAlign w:val="bottom"/>
          </w:tcPr>
          <w:p>
            <w:pPr>
              <w:ind w:left="120"/>
              <w:spacing w:after="0"/>
              <w:rPr>
                <w:sz w:val="20"/>
                <w:szCs w:val="20"/>
                <w:color w:val="auto"/>
              </w:rPr>
            </w:pPr>
            <w:r>
              <w:rPr>
                <w:rFonts w:ascii="Arial" w:cs="Arial" w:eastAsia="Arial" w:hAnsi="Arial"/>
                <w:sz w:val="20"/>
                <w:szCs w:val="20"/>
                <w:color w:val="auto"/>
              </w:rPr>
              <w:t>Content costs</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412</w:t>
            </w:r>
          </w:p>
        </w:tc>
        <w:tc>
          <w:tcPr>
            <w:tcW w:w="820" w:type="dxa"/>
            <w:vAlign w:val="bottom"/>
          </w:tcPr>
          <w:p>
            <w:pPr>
              <w:spacing w:after="0"/>
              <w:rPr>
                <w:sz w:val="24"/>
                <w:szCs w:val="24"/>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16</w:t>
            </w:r>
          </w:p>
        </w:tc>
        <w:tc>
          <w:tcPr>
            <w:tcW w:w="82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428</w:t>
            </w:r>
          </w:p>
        </w:tc>
        <w:tc>
          <w:tcPr>
            <w:tcW w:w="0" w:type="dxa"/>
            <w:vAlign w:val="bottom"/>
          </w:tcPr>
          <w:p>
            <w:pPr>
              <w:spacing w:after="0"/>
              <w:rPr>
                <w:sz w:val="1"/>
                <w:szCs w:val="1"/>
                <w:color w:val="auto"/>
              </w:rPr>
            </w:pPr>
          </w:p>
        </w:tc>
      </w:tr>
      <w:tr>
        <w:trPr>
          <w:trHeight w:val="297"/>
        </w:trPr>
        <w:tc>
          <w:tcPr>
            <w:tcW w:w="4180" w:type="dxa"/>
            <w:vAlign w:val="bottom"/>
          </w:tcPr>
          <w:p>
            <w:pPr>
              <w:ind w:left="120"/>
              <w:spacing w:after="0"/>
              <w:rPr>
                <w:sz w:val="20"/>
                <w:szCs w:val="20"/>
                <w:color w:val="auto"/>
              </w:rPr>
            </w:pPr>
            <w:r>
              <w:rPr>
                <w:rFonts w:ascii="Arial" w:cs="Arial" w:eastAsia="Arial" w:hAnsi="Arial"/>
                <w:sz w:val="20"/>
                <w:szCs w:val="20"/>
                <w:color w:val="auto"/>
              </w:rPr>
              <w:t>Advertising and marketing</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114</w:t>
            </w:r>
          </w:p>
        </w:tc>
        <w:tc>
          <w:tcPr>
            <w:tcW w:w="820" w:type="dxa"/>
            <w:vAlign w:val="bottom"/>
          </w:tcPr>
          <w:p>
            <w:pPr>
              <w:spacing w:after="0"/>
              <w:rPr>
                <w:sz w:val="24"/>
                <w:szCs w:val="24"/>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6</w:t>
            </w:r>
          </w:p>
        </w:tc>
        <w:tc>
          <w:tcPr>
            <w:tcW w:w="82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120</w:t>
            </w:r>
          </w:p>
        </w:tc>
        <w:tc>
          <w:tcPr>
            <w:tcW w:w="0" w:type="dxa"/>
            <w:vAlign w:val="bottom"/>
          </w:tcPr>
          <w:p>
            <w:pPr>
              <w:spacing w:after="0"/>
              <w:rPr>
                <w:sz w:val="1"/>
                <w:szCs w:val="1"/>
                <w:color w:val="auto"/>
              </w:rPr>
            </w:pPr>
          </w:p>
        </w:tc>
      </w:tr>
      <w:tr>
        <w:trPr>
          <w:trHeight w:val="297"/>
        </w:trPr>
        <w:tc>
          <w:tcPr>
            <w:tcW w:w="4180" w:type="dxa"/>
            <w:vAlign w:val="bottom"/>
          </w:tcPr>
          <w:p>
            <w:pPr>
              <w:ind w:left="120"/>
              <w:spacing w:after="0"/>
              <w:rPr>
                <w:sz w:val="20"/>
                <w:szCs w:val="20"/>
                <w:color w:val="auto"/>
              </w:rPr>
            </w:pPr>
            <w:r>
              <w:rPr>
                <w:rFonts w:ascii="Arial" w:cs="Arial" w:eastAsia="Arial" w:hAnsi="Arial"/>
                <w:sz w:val="20"/>
                <w:szCs w:val="20"/>
                <w:color w:val="auto"/>
              </w:rPr>
              <w:t>Other</w:t>
            </w:r>
          </w:p>
        </w:tc>
        <w:tc>
          <w:tcPr>
            <w:tcW w:w="780" w:type="dxa"/>
            <w:vAlign w:val="bottom"/>
          </w:tcPr>
          <w:p>
            <w:pPr>
              <w:spacing w:after="0"/>
              <w:rPr>
                <w:sz w:val="24"/>
                <w:szCs w:val="24"/>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252</w:t>
            </w:r>
          </w:p>
        </w:tc>
        <w:tc>
          <w:tcPr>
            <w:tcW w:w="820" w:type="dxa"/>
            <w:vAlign w:val="bottom"/>
          </w:tcPr>
          <w:p>
            <w:pPr>
              <w:spacing w:after="0"/>
              <w:rPr>
                <w:sz w:val="24"/>
                <w:szCs w:val="24"/>
                <w:color w:val="auto"/>
              </w:rPr>
            </w:pPr>
          </w:p>
        </w:tc>
        <w:tc>
          <w:tcPr>
            <w:tcW w:w="1120" w:type="dxa"/>
            <w:vAlign w:val="bottom"/>
          </w:tcPr>
          <w:p>
            <w:pPr>
              <w:jc w:val="right"/>
              <w:ind w:right="401"/>
              <w:spacing w:after="0"/>
              <w:rPr>
                <w:sz w:val="20"/>
                <w:szCs w:val="20"/>
                <w:color w:val="auto"/>
              </w:rPr>
            </w:pPr>
            <w:r>
              <w:rPr>
                <w:rFonts w:ascii="Arial" w:cs="Arial" w:eastAsia="Arial" w:hAnsi="Arial"/>
                <w:sz w:val="20"/>
                <w:szCs w:val="20"/>
                <w:color w:val="auto"/>
              </w:rPr>
              <w:t>(14)</w:t>
            </w:r>
          </w:p>
        </w:tc>
        <w:tc>
          <w:tcPr>
            <w:tcW w:w="82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238</w:t>
            </w:r>
          </w:p>
        </w:tc>
        <w:tc>
          <w:tcPr>
            <w:tcW w:w="0" w:type="dxa"/>
            <w:vAlign w:val="bottom"/>
          </w:tcPr>
          <w:p>
            <w:pPr>
              <w:spacing w:after="0"/>
              <w:rPr>
                <w:sz w:val="1"/>
                <w:szCs w:val="1"/>
                <w:color w:val="auto"/>
              </w:rPr>
            </w:pPr>
          </w:p>
        </w:tc>
      </w:tr>
      <w:tr>
        <w:trPr>
          <w:trHeight w:val="30"/>
        </w:trPr>
        <w:tc>
          <w:tcPr>
            <w:tcW w:w="4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80" w:type="dxa"/>
            <w:vAlign w:val="bottom"/>
          </w:tcPr>
          <w:p>
            <w:pPr>
              <w:ind w:left="20"/>
              <w:spacing w:after="0"/>
              <w:rPr>
                <w:sz w:val="20"/>
                <w:szCs w:val="20"/>
                <w:color w:val="auto"/>
              </w:rPr>
            </w:pPr>
            <w:r>
              <w:rPr>
                <w:rFonts w:ascii="Arial" w:cs="Arial" w:eastAsia="Arial" w:hAnsi="Arial"/>
                <w:sz w:val="20"/>
                <w:szCs w:val="20"/>
                <w:color w:val="auto"/>
              </w:rPr>
              <w:t>Expenses</w:t>
            </w:r>
          </w:p>
        </w:tc>
        <w:tc>
          <w:tcPr>
            <w:tcW w:w="780" w:type="dxa"/>
            <w:vAlign w:val="bottom"/>
          </w:tcPr>
          <w:p>
            <w:pPr>
              <w:spacing w:after="0"/>
              <w:rPr>
                <w:sz w:val="22"/>
                <w:szCs w:val="22"/>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778</w:t>
            </w:r>
          </w:p>
        </w:tc>
        <w:tc>
          <w:tcPr>
            <w:tcW w:w="820" w:type="dxa"/>
            <w:vAlign w:val="bottom"/>
          </w:tcPr>
          <w:p>
            <w:pPr>
              <w:spacing w:after="0"/>
              <w:rPr>
                <w:sz w:val="22"/>
                <w:szCs w:val="22"/>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8</w:t>
            </w:r>
          </w:p>
        </w:tc>
        <w:tc>
          <w:tcPr>
            <w:tcW w:w="820" w:type="dxa"/>
            <w:vAlign w:val="bottom"/>
          </w:tcPr>
          <w:p>
            <w:pPr>
              <w:spacing w:after="0"/>
              <w:rPr>
                <w:sz w:val="22"/>
                <w:szCs w:val="22"/>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786</w:t>
            </w:r>
          </w:p>
        </w:tc>
        <w:tc>
          <w:tcPr>
            <w:tcW w:w="0" w:type="dxa"/>
            <w:vAlign w:val="bottom"/>
          </w:tcPr>
          <w:p>
            <w:pPr>
              <w:spacing w:after="0"/>
              <w:rPr>
                <w:sz w:val="1"/>
                <w:szCs w:val="1"/>
                <w:color w:val="auto"/>
              </w:rPr>
            </w:pPr>
          </w:p>
        </w:tc>
      </w:tr>
      <w:tr>
        <w:trPr>
          <w:trHeight w:val="44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105</w:t>
            </w: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32</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249"/>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first quarter of 2026, we renamed our primary measure of profit and loss for our operating segments from Adjusted OIBDA to Adjusted</w:t>
      </w:r>
    </w:p>
    <w:p>
      <w:pPr>
        <w:spacing w:after="0" w:line="2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EBITDA.</w:t>
      </w:r>
    </w:p>
    <w:p>
      <w:pPr>
        <w:spacing w:after="0" w:line="70" w:lineRule="exact"/>
        <w:rPr>
          <w:rFonts w:ascii="Arial" w:cs="Arial" w:eastAsia="Arial" w:hAnsi="Arial"/>
          <w:sz w:val="16"/>
          <w:szCs w:val="16"/>
          <w:color w:val="auto"/>
        </w:rPr>
      </w:pPr>
    </w:p>
    <w:p>
      <w:pPr>
        <w:ind w:left="500" w:right="700" w:hanging="249"/>
        <w:spacing w:after="0" w:line="304"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Reflects the inclusion of our premium cable channel, Paramount+ with Showtime, which was included in the </w:t>
      </w:r>
      <w:r>
        <w:rPr>
          <w:rFonts w:ascii="Arial" w:cs="Arial" w:eastAsia="Arial" w:hAnsi="Arial"/>
          <w:sz w:val="16"/>
          <w:szCs w:val="16"/>
          <w:i w:val="1"/>
          <w:iCs w:val="1"/>
          <w:color w:val="auto"/>
        </w:rPr>
        <w:t>TV Media</w:t>
      </w:r>
      <w:r>
        <w:rPr>
          <w:rFonts w:ascii="Arial" w:cs="Arial" w:eastAsia="Arial" w:hAnsi="Arial"/>
          <w:sz w:val="16"/>
          <w:szCs w:val="16"/>
          <w:color w:val="auto"/>
        </w:rPr>
        <w:t xml:space="preserve"> segment in 2025, and updates to our segment expense allocations to better reflect how we operate and make cost decisions across the business.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935" w:right="339" w:bottom="1440" w:gutter="0" w:footer="0" w:header="0"/>
          <w:type w:val="continuous"/>
        </w:sectPr>
      </w:pPr>
    </w:p>
    <w:bookmarkStart w:id="25" w:name="page26"/>
    <w:bookmarkEnd w:id="25"/>
    <w:p>
      <w:pPr>
        <w:jc w:val="center"/>
        <w:ind w:right="240"/>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2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(Unaudited;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TV Media</w:t>
      </w:r>
    </w:p>
    <w:p>
      <w:pPr>
        <w:spacing w:after="0" w:line="154"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 xml:space="preserve">Our </w:t>
      </w:r>
      <w:r>
        <w:rPr>
          <w:rFonts w:ascii="Arial" w:cs="Arial" w:eastAsia="Arial" w:hAnsi="Arial"/>
          <w:sz w:val="22"/>
          <w:szCs w:val="22"/>
          <w:i w:val="1"/>
          <w:iCs w:val="1"/>
          <w:color w:val="auto"/>
        </w:rPr>
        <w:t>TV Media</w:t>
      </w:r>
      <w:r>
        <w:rPr>
          <w:rFonts w:ascii="Arial" w:cs="Arial" w:eastAsia="Arial" w:hAnsi="Arial"/>
          <w:sz w:val="22"/>
          <w:szCs w:val="22"/>
          <w:color w:val="auto"/>
        </w:rPr>
        <w:t xml:space="preserve"> segment consists of our (1) broadcast operations—the CBS Television Network, our domestic broadcast television network; CBS Stations, our owned television stations; and our international free-to-air networks, including Network 10 and Channel 5; (2) domestic basic cable networks, including MTV, Comedy Central, Paramount Network, The Smithsonian Channel, Nickelodeon, BET Media Group, CBS Sports Network, and international extensions of certain of these brands; and (3) CBS Media Ventures, which produces and distributes first-run syndicated programming. </w:t>
      </w:r>
      <w:r>
        <w:rPr>
          <w:rFonts w:ascii="Arial" w:cs="Arial" w:eastAsia="Arial" w:hAnsi="Arial"/>
          <w:sz w:val="22"/>
          <w:szCs w:val="22"/>
          <w:i w:val="1"/>
          <w:iCs w:val="1"/>
          <w:color w:val="auto"/>
        </w:rPr>
        <w:t>TV Media</w:t>
      </w:r>
      <w:r>
        <w:rPr>
          <w:rFonts w:ascii="Arial" w:cs="Arial" w:eastAsia="Arial" w:hAnsi="Arial"/>
          <w:sz w:val="22"/>
          <w:szCs w:val="22"/>
          <w:color w:val="auto"/>
        </w:rPr>
        <w:t xml:space="preserve"> also includes a number of digital properties such as CBS News 24/7 for 24-hour news and CBS Sports HQ for sports news and analysis. For the Predecessor period, the </w:t>
      </w:r>
      <w:r>
        <w:rPr>
          <w:rFonts w:ascii="Arial" w:cs="Arial" w:eastAsia="Arial" w:hAnsi="Arial"/>
          <w:sz w:val="22"/>
          <w:szCs w:val="22"/>
          <w:i w:val="1"/>
          <w:iCs w:val="1"/>
          <w:color w:val="auto"/>
        </w:rPr>
        <w:t>TV</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Media </w:t>
      </w:r>
      <w:r>
        <w:rPr>
          <w:rFonts w:ascii="Arial" w:cs="Arial" w:eastAsia="Arial" w:hAnsi="Arial"/>
          <w:sz w:val="22"/>
          <w:szCs w:val="22"/>
          <w:color w:val="auto"/>
        </w:rPr>
        <w:t>segment also included television studio operations and the premium cable network, Paramount+ with</w:t>
      </w:r>
      <w:r>
        <w:rPr>
          <w:rFonts w:ascii="Arial" w:cs="Arial" w:eastAsia="Arial" w:hAnsi="Arial"/>
          <w:sz w:val="22"/>
          <w:szCs w:val="22"/>
          <w:i w:val="1"/>
          <w:iCs w:val="1"/>
          <w:color w:val="auto"/>
        </w:rPr>
        <w:t xml:space="preserve"> </w:t>
      </w:r>
      <w:r>
        <w:rPr>
          <w:rFonts w:ascii="Arial" w:cs="Arial" w:eastAsia="Arial" w:hAnsi="Arial"/>
          <w:sz w:val="22"/>
          <w:szCs w:val="22"/>
          <w:color w:val="auto"/>
        </w:rPr>
        <w:t>Showtime.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121920</wp:posOffset>
            </wp:positionV>
            <wp:extent cx="67894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89420" cy="17145"/>
                    </a:xfrm>
                    <a:prstGeom prst="rect">
                      <a:avLst/>
                    </a:prstGeom>
                    <a:noFill/>
                  </pic:spPr>
                </pic:pic>
              </a:graphicData>
            </a:graphic>
          </wp:anchor>
        </w:drawing>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273"/>
        </w:trPr>
        <w:tc>
          <w:tcPr>
            <w:tcW w:w="4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60" w:type="dxa"/>
            <w:vAlign w:val="bottom"/>
          </w:tcPr>
          <w:p>
            <w:pPr>
              <w:jc w:val="center"/>
              <w:ind w:right="661"/>
              <w:spacing w:after="0"/>
              <w:rPr>
                <w:sz w:val="20"/>
                <w:szCs w:val="20"/>
                <w:color w:val="auto"/>
              </w:rPr>
            </w:pPr>
            <w:r>
              <w:rPr>
                <w:rFonts w:ascii="Arial" w:cs="Arial" w:eastAsia="Arial" w:hAnsi="Arial"/>
                <w:sz w:val="20"/>
                <w:szCs w:val="20"/>
                <w:b w:val="1"/>
                <w:bCs w:val="1"/>
                <w:color w:val="auto"/>
              </w:rPr>
              <w:t>GAAP</w:t>
            </w: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Non-GAAP</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22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120" w:type="dxa"/>
            <w:vAlign w:val="bottom"/>
          </w:tcPr>
          <w:p>
            <w:pPr>
              <w:spacing w:after="0"/>
              <w:rPr>
                <w:sz w:val="19"/>
                <w:szCs w:val="19"/>
                <w:color w:val="auto"/>
              </w:rPr>
            </w:pPr>
          </w:p>
        </w:tc>
        <w:tc>
          <w:tcPr>
            <w:tcW w:w="2220" w:type="dxa"/>
            <w:vAlign w:val="bottom"/>
            <w:gridSpan w:val="2"/>
          </w:tcPr>
          <w:p>
            <w:pPr>
              <w:jc w:val="center"/>
              <w:spacing w:after="0" w:line="227" w:lineRule="exact"/>
              <w:rPr>
                <w:sz w:val="20"/>
                <w:szCs w:val="20"/>
                <w:color w:val="auto"/>
              </w:rPr>
            </w:pPr>
            <w:r>
              <w:rPr>
                <w:rFonts w:ascii="Arial" w:cs="Arial" w:eastAsia="Arial" w:hAnsi="Arial"/>
                <w:sz w:val="20"/>
                <w:szCs w:val="20"/>
                <w:b w:val="1"/>
                <w:bCs w:val="1"/>
                <w:color w:val="auto"/>
                <w:w w:val="98"/>
              </w:rPr>
              <w:t>Three Months Ended</w:t>
            </w: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40" w:type="dxa"/>
            <w:vAlign w:val="bottom"/>
            <w:gridSpan w:val="2"/>
          </w:tcPr>
          <w:p>
            <w:pPr>
              <w:jc w:val="center"/>
              <w:spacing w:after="0" w:line="227" w:lineRule="exact"/>
              <w:rPr>
                <w:sz w:val="20"/>
                <w:szCs w:val="20"/>
                <w:color w:val="auto"/>
              </w:rPr>
            </w:pPr>
            <w:r>
              <w:rPr>
                <w:rFonts w:ascii="Arial" w:cs="Arial" w:eastAsia="Arial" w:hAnsi="Arial"/>
                <w:sz w:val="20"/>
                <w:szCs w:val="20"/>
                <w:b w:val="1"/>
                <w:bCs w:val="1"/>
                <w:color w:val="auto"/>
                <w:w w:val="98"/>
              </w:rPr>
              <w:t>Three Months Ended</w:t>
            </w:r>
          </w:p>
        </w:tc>
        <w:tc>
          <w:tcPr>
            <w:tcW w:w="0" w:type="dxa"/>
            <w:vAlign w:val="bottom"/>
          </w:tcPr>
          <w:p>
            <w:pPr>
              <w:spacing w:after="0"/>
              <w:rPr>
                <w:sz w:val="1"/>
                <w:szCs w:val="1"/>
                <w:color w:val="auto"/>
              </w:rPr>
            </w:pPr>
          </w:p>
        </w:tc>
      </w:tr>
      <w:tr>
        <w:trPr>
          <w:trHeight w:val="273"/>
        </w:trPr>
        <w:tc>
          <w:tcPr>
            <w:tcW w:w="4120" w:type="dxa"/>
            <w:vAlign w:val="bottom"/>
          </w:tcPr>
          <w:p>
            <w:pPr>
              <w:spacing w:after="0"/>
              <w:rPr>
                <w:sz w:val="23"/>
                <w:szCs w:val="23"/>
                <w:color w:val="auto"/>
              </w:rPr>
            </w:pPr>
          </w:p>
        </w:tc>
        <w:tc>
          <w:tcPr>
            <w:tcW w:w="2220" w:type="dxa"/>
            <w:vAlign w:val="bottom"/>
            <w:gridSpan w:val="2"/>
          </w:tcPr>
          <w:p>
            <w:pPr>
              <w:jc w:val="center"/>
              <w:spacing w:after="0"/>
              <w:rPr>
                <w:sz w:val="20"/>
                <w:szCs w:val="20"/>
                <w:color w:val="auto"/>
              </w:rPr>
            </w:pPr>
            <w:r>
              <w:rPr>
                <w:rFonts w:ascii="Arial" w:cs="Arial" w:eastAsia="Arial" w:hAnsi="Arial"/>
                <w:sz w:val="20"/>
                <w:szCs w:val="20"/>
                <w:b w:val="1"/>
                <w:bCs w:val="1"/>
                <w:color w:val="auto"/>
                <w:w w:val="97"/>
              </w:rPr>
              <w:t>March 31,</w:t>
            </w: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7"/>
              </w:rPr>
              <w:t>March 31,</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jc w:val="center"/>
              <w:ind w:right="681"/>
              <w:spacing w:after="0"/>
              <w:rPr>
                <w:sz w:val="20"/>
                <w:szCs w:val="20"/>
                <w:color w:val="auto"/>
              </w:rPr>
            </w:pPr>
            <w:r>
              <w:rPr>
                <w:rFonts w:ascii="Arial" w:cs="Arial" w:eastAsia="Arial" w:hAnsi="Arial"/>
                <w:sz w:val="20"/>
                <w:szCs w:val="20"/>
                <w:b w:val="1"/>
                <w:bCs w:val="1"/>
                <w:color w:val="auto"/>
                <w:w w:val="98"/>
              </w:rPr>
              <w:t>2025</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jc w:val="center"/>
              <w:ind w:right="72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2100" w:type="dxa"/>
            <w:vAlign w:val="bottom"/>
            <w:gridSpan w:val="2"/>
            <w:vMerge w:val="restart"/>
          </w:tcPr>
          <w:p>
            <w:pPr>
              <w:jc w:val="right"/>
              <w:ind w:right="26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2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7"/>
              </w:rPr>
              <w:t>TV Media</w:t>
            </w:r>
          </w:p>
        </w:tc>
        <w:tc>
          <w:tcPr>
            <w:tcW w:w="2100" w:type="dxa"/>
            <w:vAlign w:val="bottom"/>
            <w:tcBorders>
              <w:bottom w:val="single" w:sz="8" w:color="auto"/>
            </w:tcBorders>
            <w:gridSpan w:val="2"/>
            <w:vMerge w:val="continue"/>
          </w:tcPr>
          <w:p>
            <w:pPr>
              <w:spacing w:after="0"/>
              <w:rPr>
                <w:sz w:val="24"/>
                <w:szCs w:val="24"/>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7"/>
              </w:rPr>
              <w:t>TV Media</w:t>
            </w:r>
          </w:p>
        </w:tc>
        <w:tc>
          <w:tcPr>
            <w:tcW w:w="0" w:type="dxa"/>
            <w:vAlign w:val="bottom"/>
          </w:tcPr>
          <w:p>
            <w:pPr>
              <w:spacing w:after="0"/>
              <w:rPr>
                <w:sz w:val="1"/>
                <w:szCs w:val="1"/>
                <w:color w:val="auto"/>
              </w:rPr>
            </w:pPr>
          </w:p>
        </w:tc>
      </w:tr>
      <w:tr>
        <w:trPr>
          <w:trHeight w:val="260"/>
        </w:trPr>
        <w:tc>
          <w:tcPr>
            <w:tcW w:w="4120" w:type="dxa"/>
            <w:vAlign w:val="bottom"/>
          </w:tcPr>
          <w:p>
            <w:pPr>
              <w:ind w:left="140"/>
              <w:spacing w:after="0"/>
              <w:rPr>
                <w:sz w:val="20"/>
                <w:szCs w:val="20"/>
                <w:color w:val="auto"/>
              </w:rPr>
            </w:pPr>
            <w:r>
              <w:rPr>
                <w:rFonts w:ascii="Arial" w:cs="Arial" w:eastAsia="Arial" w:hAnsi="Arial"/>
                <w:sz w:val="20"/>
                <w:szCs w:val="20"/>
                <w:color w:val="auto"/>
              </w:rPr>
              <w:t>Advertising</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2,038</w:t>
            </w:r>
          </w:p>
        </w:tc>
        <w:tc>
          <w:tcPr>
            <w:tcW w:w="8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01"/>
              <w:spacing w:after="0"/>
              <w:rPr>
                <w:sz w:val="20"/>
                <w:szCs w:val="20"/>
                <w:color w:val="auto"/>
              </w:rPr>
            </w:pPr>
            <w:r>
              <w:rPr>
                <w:rFonts w:ascii="Arial" w:cs="Arial" w:eastAsia="Arial" w:hAnsi="Arial"/>
                <w:sz w:val="20"/>
                <w:szCs w:val="20"/>
                <w:color w:val="auto"/>
              </w:rPr>
              <w:t>(2)</w:t>
            </w:r>
          </w:p>
        </w:tc>
        <w:tc>
          <w:tcPr>
            <w:tcW w:w="8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561"/>
              <w:spacing w:after="0"/>
              <w:rPr>
                <w:sz w:val="20"/>
                <w:szCs w:val="20"/>
                <w:color w:val="auto"/>
              </w:rPr>
            </w:pPr>
            <w:r>
              <w:rPr>
                <w:rFonts w:ascii="Arial" w:cs="Arial" w:eastAsia="Arial" w:hAnsi="Arial"/>
                <w:sz w:val="20"/>
                <w:szCs w:val="20"/>
                <w:color w:val="auto"/>
              </w:rPr>
              <w:t>2,036</w:t>
            </w:r>
          </w:p>
        </w:tc>
        <w:tc>
          <w:tcPr>
            <w:tcW w:w="0" w:type="dxa"/>
            <w:vAlign w:val="bottom"/>
          </w:tcPr>
          <w:p>
            <w:pPr>
              <w:spacing w:after="0"/>
              <w:rPr>
                <w:sz w:val="1"/>
                <w:szCs w:val="1"/>
                <w:color w:val="auto"/>
              </w:rPr>
            </w:pPr>
          </w:p>
        </w:tc>
      </w:tr>
      <w:tr>
        <w:trPr>
          <w:trHeight w:val="297"/>
        </w:trPr>
        <w:tc>
          <w:tcPr>
            <w:tcW w:w="4120" w:type="dxa"/>
            <w:vAlign w:val="bottom"/>
          </w:tcPr>
          <w:p>
            <w:pPr>
              <w:ind w:left="140"/>
              <w:spacing w:after="0"/>
              <w:rPr>
                <w:sz w:val="20"/>
                <w:szCs w:val="20"/>
                <w:color w:val="auto"/>
              </w:rPr>
            </w:pPr>
            <w:r>
              <w:rPr>
                <w:rFonts w:ascii="Arial" w:cs="Arial" w:eastAsia="Arial" w:hAnsi="Arial"/>
                <w:sz w:val="20"/>
                <w:szCs w:val="20"/>
                <w:color w:val="auto"/>
              </w:rPr>
              <w:t>Affiliate and subscription</w:t>
            </w:r>
          </w:p>
        </w:tc>
        <w:tc>
          <w:tcPr>
            <w:tcW w:w="76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1,826</w:t>
            </w:r>
          </w:p>
        </w:tc>
        <w:tc>
          <w:tcPr>
            <w:tcW w:w="840" w:type="dxa"/>
            <w:vAlign w:val="bottom"/>
          </w:tcPr>
          <w:p>
            <w:pPr>
              <w:spacing w:after="0"/>
              <w:rPr>
                <w:sz w:val="24"/>
                <w:szCs w:val="24"/>
                <w:color w:val="auto"/>
              </w:rPr>
            </w:pPr>
          </w:p>
        </w:tc>
        <w:tc>
          <w:tcPr>
            <w:tcW w:w="1260" w:type="dxa"/>
            <w:vAlign w:val="bottom"/>
          </w:tcPr>
          <w:p>
            <w:pPr>
              <w:jc w:val="right"/>
              <w:ind w:right="401"/>
              <w:spacing w:after="0"/>
              <w:rPr>
                <w:sz w:val="20"/>
                <w:szCs w:val="20"/>
                <w:color w:val="auto"/>
              </w:rPr>
            </w:pPr>
            <w:r>
              <w:rPr>
                <w:rFonts w:ascii="Arial" w:cs="Arial" w:eastAsia="Arial" w:hAnsi="Arial"/>
                <w:sz w:val="20"/>
                <w:szCs w:val="20"/>
                <w:color w:val="auto"/>
              </w:rPr>
              <w:t>(107)</w:t>
            </w:r>
          </w:p>
        </w:tc>
        <w:tc>
          <w:tcPr>
            <w:tcW w:w="820" w:type="dxa"/>
            <w:vAlign w:val="bottom"/>
          </w:tcPr>
          <w:p>
            <w:pPr>
              <w:spacing w:after="0"/>
              <w:rPr>
                <w:sz w:val="24"/>
                <w:szCs w:val="24"/>
                <w:color w:val="auto"/>
              </w:rPr>
            </w:pPr>
          </w:p>
        </w:tc>
        <w:tc>
          <w:tcPr>
            <w:tcW w:w="1420" w:type="dxa"/>
            <w:vAlign w:val="bottom"/>
          </w:tcPr>
          <w:p>
            <w:pPr>
              <w:jc w:val="right"/>
              <w:ind w:right="561"/>
              <w:spacing w:after="0"/>
              <w:rPr>
                <w:sz w:val="20"/>
                <w:szCs w:val="20"/>
                <w:color w:val="auto"/>
              </w:rPr>
            </w:pPr>
            <w:r>
              <w:rPr>
                <w:rFonts w:ascii="Arial" w:cs="Arial" w:eastAsia="Arial" w:hAnsi="Arial"/>
                <w:sz w:val="20"/>
                <w:szCs w:val="20"/>
                <w:color w:val="auto"/>
              </w:rPr>
              <w:t>1,719</w:t>
            </w:r>
          </w:p>
        </w:tc>
        <w:tc>
          <w:tcPr>
            <w:tcW w:w="0" w:type="dxa"/>
            <w:vAlign w:val="bottom"/>
          </w:tcPr>
          <w:p>
            <w:pPr>
              <w:spacing w:after="0"/>
              <w:rPr>
                <w:sz w:val="1"/>
                <w:szCs w:val="1"/>
                <w:color w:val="auto"/>
              </w:rPr>
            </w:pPr>
          </w:p>
        </w:tc>
      </w:tr>
      <w:tr>
        <w:trPr>
          <w:trHeight w:val="297"/>
        </w:trPr>
        <w:tc>
          <w:tcPr>
            <w:tcW w:w="4120" w:type="dxa"/>
            <w:vAlign w:val="bottom"/>
          </w:tcPr>
          <w:p>
            <w:pPr>
              <w:ind w:left="140"/>
              <w:spacing w:after="0"/>
              <w:rPr>
                <w:sz w:val="20"/>
                <w:szCs w:val="20"/>
                <w:color w:val="auto"/>
              </w:rPr>
            </w:pPr>
            <w:r>
              <w:rPr>
                <w:rFonts w:ascii="Arial" w:cs="Arial" w:eastAsia="Arial" w:hAnsi="Arial"/>
                <w:sz w:val="20"/>
                <w:szCs w:val="20"/>
                <w:color w:val="auto"/>
              </w:rPr>
              <w:t>Licensing and other</w:t>
            </w:r>
          </w:p>
        </w:tc>
        <w:tc>
          <w:tcPr>
            <w:tcW w:w="76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674</w:t>
            </w:r>
          </w:p>
        </w:tc>
        <w:tc>
          <w:tcPr>
            <w:tcW w:w="840" w:type="dxa"/>
            <w:vAlign w:val="bottom"/>
          </w:tcPr>
          <w:p>
            <w:pPr>
              <w:spacing w:after="0"/>
              <w:rPr>
                <w:sz w:val="24"/>
                <w:szCs w:val="24"/>
                <w:color w:val="auto"/>
              </w:rPr>
            </w:pPr>
          </w:p>
        </w:tc>
        <w:tc>
          <w:tcPr>
            <w:tcW w:w="1260" w:type="dxa"/>
            <w:vAlign w:val="bottom"/>
          </w:tcPr>
          <w:p>
            <w:pPr>
              <w:jc w:val="right"/>
              <w:ind w:right="401"/>
              <w:spacing w:after="0"/>
              <w:rPr>
                <w:sz w:val="20"/>
                <w:szCs w:val="20"/>
                <w:color w:val="auto"/>
              </w:rPr>
            </w:pPr>
            <w:r>
              <w:rPr>
                <w:rFonts w:ascii="Arial" w:cs="Arial" w:eastAsia="Arial" w:hAnsi="Arial"/>
                <w:sz w:val="20"/>
                <w:szCs w:val="20"/>
                <w:color w:val="auto"/>
              </w:rPr>
              <w:t>(545)</w:t>
            </w:r>
          </w:p>
        </w:tc>
        <w:tc>
          <w:tcPr>
            <w:tcW w:w="820" w:type="dxa"/>
            <w:vAlign w:val="bottom"/>
          </w:tcPr>
          <w:p>
            <w:pPr>
              <w:spacing w:after="0"/>
              <w:rPr>
                <w:sz w:val="24"/>
                <w:szCs w:val="24"/>
                <w:color w:val="auto"/>
              </w:rPr>
            </w:pPr>
          </w:p>
        </w:tc>
        <w:tc>
          <w:tcPr>
            <w:tcW w:w="1420" w:type="dxa"/>
            <w:vAlign w:val="bottom"/>
          </w:tcPr>
          <w:p>
            <w:pPr>
              <w:jc w:val="right"/>
              <w:ind w:right="561"/>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30"/>
        </w:trPr>
        <w:tc>
          <w:tcPr>
            <w:tcW w:w="4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20" w:type="dxa"/>
            <w:vAlign w:val="bottom"/>
          </w:tcPr>
          <w:p>
            <w:pPr>
              <w:ind w:left="20"/>
              <w:spacing w:after="0"/>
              <w:rPr>
                <w:sz w:val="20"/>
                <w:szCs w:val="20"/>
                <w:color w:val="auto"/>
              </w:rPr>
            </w:pPr>
            <w:r>
              <w:rPr>
                <w:rFonts w:ascii="Arial" w:cs="Arial" w:eastAsia="Arial" w:hAnsi="Arial"/>
                <w:sz w:val="20"/>
                <w:szCs w:val="20"/>
                <w:color w:val="auto"/>
              </w:rPr>
              <w:t>Revenues</w:t>
            </w:r>
          </w:p>
        </w:tc>
        <w:tc>
          <w:tcPr>
            <w:tcW w:w="760" w:type="dxa"/>
            <w:vAlign w:val="bottom"/>
          </w:tcPr>
          <w:p>
            <w:pPr>
              <w:spacing w:after="0"/>
              <w:rPr>
                <w:sz w:val="22"/>
                <w:szCs w:val="22"/>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4,538</w:t>
            </w:r>
          </w:p>
        </w:tc>
        <w:tc>
          <w:tcPr>
            <w:tcW w:w="840" w:type="dxa"/>
            <w:vAlign w:val="bottom"/>
          </w:tcPr>
          <w:p>
            <w:pPr>
              <w:spacing w:after="0"/>
              <w:rPr>
                <w:sz w:val="22"/>
                <w:szCs w:val="22"/>
                <w:color w:val="auto"/>
              </w:rPr>
            </w:pPr>
          </w:p>
        </w:tc>
        <w:tc>
          <w:tcPr>
            <w:tcW w:w="1260" w:type="dxa"/>
            <w:vAlign w:val="bottom"/>
          </w:tcPr>
          <w:p>
            <w:pPr>
              <w:jc w:val="right"/>
              <w:ind w:right="401"/>
              <w:spacing w:after="0"/>
              <w:rPr>
                <w:sz w:val="20"/>
                <w:szCs w:val="20"/>
                <w:color w:val="auto"/>
              </w:rPr>
            </w:pPr>
            <w:r>
              <w:rPr>
                <w:rFonts w:ascii="Arial" w:cs="Arial" w:eastAsia="Arial" w:hAnsi="Arial"/>
                <w:sz w:val="20"/>
                <w:szCs w:val="20"/>
                <w:color w:val="auto"/>
              </w:rPr>
              <w:t>(654)</w:t>
            </w:r>
          </w:p>
        </w:tc>
        <w:tc>
          <w:tcPr>
            <w:tcW w:w="820" w:type="dxa"/>
            <w:vAlign w:val="bottom"/>
          </w:tcPr>
          <w:p>
            <w:pPr>
              <w:spacing w:after="0"/>
              <w:rPr>
                <w:sz w:val="22"/>
                <w:szCs w:val="22"/>
                <w:color w:val="auto"/>
              </w:rPr>
            </w:pPr>
          </w:p>
        </w:tc>
        <w:tc>
          <w:tcPr>
            <w:tcW w:w="1420" w:type="dxa"/>
            <w:vAlign w:val="bottom"/>
          </w:tcPr>
          <w:p>
            <w:pPr>
              <w:jc w:val="right"/>
              <w:ind w:right="561"/>
              <w:spacing w:after="0"/>
              <w:rPr>
                <w:sz w:val="20"/>
                <w:szCs w:val="20"/>
                <w:color w:val="auto"/>
              </w:rPr>
            </w:pPr>
            <w:r>
              <w:rPr>
                <w:rFonts w:ascii="Arial" w:cs="Arial" w:eastAsia="Arial" w:hAnsi="Arial"/>
                <w:sz w:val="20"/>
                <w:szCs w:val="20"/>
                <w:color w:val="auto"/>
              </w:rPr>
              <w:t>3,884</w:t>
            </w:r>
          </w:p>
        </w:tc>
        <w:tc>
          <w:tcPr>
            <w:tcW w:w="0" w:type="dxa"/>
            <w:vAlign w:val="bottom"/>
          </w:tcPr>
          <w:p>
            <w:pPr>
              <w:spacing w:after="0"/>
              <w:rPr>
                <w:sz w:val="1"/>
                <w:szCs w:val="1"/>
                <w:color w:val="auto"/>
              </w:rPr>
            </w:pPr>
          </w:p>
        </w:tc>
      </w:tr>
      <w:tr>
        <w:trPr>
          <w:trHeight w:val="391"/>
        </w:trPr>
        <w:tc>
          <w:tcPr>
            <w:tcW w:w="4120" w:type="dxa"/>
            <w:vAlign w:val="bottom"/>
          </w:tcPr>
          <w:p>
            <w:pPr>
              <w:ind w:left="120"/>
              <w:spacing w:after="0"/>
              <w:rPr>
                <w:sz w:val="20"/>
                <w:szCs w:val="20"/>
                <w:color w:val="auto"/>
              </w:rPr>
            </w:pPr>
            <w:r>
              <w:rPr>
                <w:rFonts w:ascii="Arial" w:cs="Arial" w:eastAsia="Arial" w:hAnsi="Arial"/>
                <w:sz w:val="20"/>
                <w:szCs w:val="20"/>
                <w:color w:val="auto"/>
              </w:rPr>
              <w:t>Content costs</w:t>
            </w:r>
          </w:p>
        </w:tc>
        <w:tc>
          <w:tcPr>
            <w:tcW w:w="76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2,343</w:t>
            </w:r>
          </w:p>
        </w:tc>
        <w:tc>
          <w:tcPr>
            <w:tcW w:w="840" w:type="dxa"/>
            <w:vAlign w:val="bottom"/>
          </w:tcPr>
          <w:p>
            <w:pPr>
              <w:spacing w:after="0"/>
              <w:rPr>
                <w:sz w:val="24"/>
                <w:szCs w:val="24"/>
                <w:color w:val="auto"/>
              </w:rPr>
            </w:pPr>
          </w:p>
        </w:tc>
        <w:tc>
          <w:tcPr>
            <w:tcW w:w="1260" w:type="dxa"/>
            <w:vAlign w:val="bottom"/>
          </w:tcPr>
          <w:p>
            <w:pPr>
              <w:jc w:val="right"/>
              <w:ind w:right="401"/>
              <w:spacing w:after="0"/>
              <w:rPr>
                <w:sz w:val="20"/>
                <w:szCs w:val="20"/>
                <w:color w:val="auto"/>
              </w:rPr>
            </w:pPr>
            <w:r>
              <w:rPr>
                <w:rFonts w:ascii="Arial" w:cs="Arial" w:eastAsia="Arial" w:hAnsi="Arial"/>
                <w:sz w:val="20"/>
                <w:szCs w:val="20"/>
                <w:color w:val="auto"/>
              </w:rPr>
              <w:t>(447)</w:t>
            </w:r>
          </w:p>
        </w:tc>
        <w:tc>
          <w:tcPr>
            <w:tcW w:w="820" w:type="dxa"/>
            <w:vAlign w:val="bottom"/>
          </w:tcPr>
          <w:p>
            <w:pPr>
              <w:spacing w:after="0"/>
              <w:rPr>
                <w:sz w:val="24"/>
                <w:szCs w:val="24"/>
                <w:color w:val="auto"/>
              </w:rPr>
            </w:pPr>
          </w:p>
        </w:tc>
        <w:tc>
          <w:tcPr>
            <w:tcW w:w="1420" w:type="dxa"/>
            <w:vAlign w:val="bottom"/>
          </w:tcPr>
          <w:p>
            <w:pPr>
              <w:jc w:val="right"/>
              <w:ind w:right="561"/>
              <w:spacing w:after="0"/>
              <w:rPr>
                <w:sz w:val="20"/>
                <w:szCs w:val="20"/>
                <w:color w:val="auto"/>
              </w:rPr>
            </w:pPr>
            <w:r>
              <w:rPr>
                <w:rFonts w:ascii="Arial" w:cs="Arial" w:eastAsia="Arial" w:hAnsi="Arial"/>
                <w:sz w:val="20"/>
                <w:szCs w:val="20"/>
                <w:color w:val="auto"/>
              </w:rPr>
              <w:t>1,896</w:t>
            </w:r>
          </w:p>
        </w:tc>
        <w:tc>
          <w:tcPr>
            <w:tcW w:w="0" w:type="dxa"/>
            <w:vAlign w:val="bottom"/>
          </w:tcPr>
          <w:p>
            <w:pPr>
              <w:spacing w:after="0"/>
              <w:rPr>
                <w:sz w:val="1"/>
                <w:szCs w:val="1"/>
                <w:color w:val="auto"/>
              </w:rPr>
            </w:pPr>
          </w:p>
        </w:tc>
      </w:tr>
      <w:tr>
        <w:trPr>
          <w:trHeight w:val="297"/>
        </w:trPr>
        <w:tc>
          <w:tcPr>
            <w:tcW w:w="4120" w:type="dxa"/>
            <w:vAlign w:val="bottom"/>
          </w:tcPr>
          <w:p>
            <w:pPr>
              <w:ind w:left="120"/>
              <w:spacing w:after="0"/>
              <w:rPr>
                <w:sz w:val="20"/>
                <w:szCs w:val="20"/>
                <w:color w:val="auto"/>
              </w:rPr>
            </w:pPr>
            <w:r>
              <w:rPr>
                <w:rFonts w:ascii="Arial" w:cs="Arial" w:eastAsia="Arial" w:hAnsi="Arial"/>
                <w:sz w:val="20"/>
                <w:szCs w:val="20"/>
                <w:color w:val="auto"/>
              </w:rPr>
              <w:t>Advertising and marketing</w:t>
            </w:r>
          </w:p>
        </w:tc>
        <w:tc>
          <w:tcPr>
            <w:tcW w:w="76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153</w:t>
            </w:r>
          </w:p>
        </w:tc>
        <w:tc>
          <w:tcPr>
            <w:tcW w:w="840" w:type="dxa"/>
            <w:vAlign w:val="bottom"/>
          </w:tcPr>
          <w:p>
            <w:pPr>
              <w:spacing w:after="0"/>
              <w:rPr>
                <w:sz w:val="24"/>
                <w:szCs w:val="24"/>
                <w:color w:val="auto"/>
              </w:rPr>
            </w:pPr>
          </w:p>
        </w:tc>
        <w:tc>
          <w:tcPr>
            <w:tcW w:w="1260" w:type="dxa"/>
            <w:vAlign w:val="bottom"/>
          </w:tcPr>
          <w:p>
            <w:pPr>
              <w:jc w:val="right"/>
              <w:ind w:right="401"/>
              <w:spacing w:after="0"/>
              <w:rPr>
                <w:sz w:val="20"/>
                <w:szCs w:val="20"/>
                <w:color w:val="auto"/>
              </w:rPr>
            </w:pPr>
            <w:r>
              <w:rPr>
                <w:rFonts w:ascii="Arial" w:cs="Arial" w:eastAsia="Arial" w:hAnsi="Arial"/>
                <w:sz w:val="20"/>
                <w:szCs w:val="20"/>
                <w:color w:val="auto"/>
              </w:rPr>
              <w:t>(20)</w:t>
            </w:r>
          </w:p>
        </w:tc>
        <w:tc>
          <w:tcPr>
            <w:tcW w:w="820" w:type="dxa"/>
            <w:vAlign w:val="bottom"/>
          </w:tcPr>
          <w:p>
            <w:pPr>
              <w:spacing w:after="0"/>
              <w:rPr>
                <w:sz w:val="24"/>
                <w:szCs w:val="24"/>
                <w:color w:val="auto"/>
              </w:rPr>
            </w:pPr>
          </w:p>
        </w:tc>
        <w:tc>
          <w:tcPr>
            <w:tcW w:w="1420" w:type="dxa"/>
            <w:vAlign w:val="bottom"/>
          </w:tcPr>
          <w:p>
            <w:pPr>
              <w:jc w:val="right"/>
              <w:ind w:right="561"/>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97"/>
        </w:trPr>
        <w:tc>
          <w:tcPr>
            <w:tcW w:w="4120" w:type="dxa"/>
            <w:vAlign w:val="bottom"/>
          </w:tcPr>
          <w:p>
            <w:pPr>
              <w:ind w:left="120"/>
              <w:spacing w:after="0"/>
              <w:rPr>
                <w:sz w:val="20"/>
                <w:szCs w:val="20"/>
                <w:color w:val="auto"/>
              </w:rPr>
            </w:pPr>
            <w:r>
              <w:rPr>
                <w:rFonts w:ascii="Arial" w:cs="Arial" w:eastAsia="Arial" w:hAnsi="Arial"/>
                <w:sz w:val="20"/>
                <w:szCs w:val="20"/>
                <w:color w:val="auto"/>
              </w:rPr>
              <w:t>Other</w:t>
            </w:r>
          </w:p>
        </w:tc>
        <w:tc>
          <w:tcPr>
            <w:tcW w:w="760" w:type="dxa"/>
            <w:vAlign w:val="bottom"/>
          </w:tcPr>
          <w:p>
            <w:pPr>
              <w:spacing w:after="0"/>
              <w:rPr>
                <w:sz w:val="24"/>
                <w:szCs w:val="24"/>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1,120</w:t>
            </w:r>
          </w:p>
        </w:tc>
        <w:tc>
          <w:tcPr>
            <w:tcW w:w="840" w:type="dxa"/>
            <w:vAlign w:val="bottom"/>
          </w:tcPr>
          <w:p>
            <w:pPr>
              <w:spacing w:after="0"/>
              <w:rPr>
                <w:sz w:val="24"/>
                <w:szCs w:val="24"/>
                <w:color w:val="auto"/>
              </w:rPr>
            </w:pPr>
          </w:p>
        </w:tc>
        <w:tc>
          <w:tcPr>
            <w:tcW w:w="1260" w:type="dxa"/>
            <w:vAlign w:val="bottom"/>
          </w:tcPr>
          <w:p>
            <w:pPr>
              <w:jc w:val="right"/>
              <w:ind w:right="401"/>
              <w:spacing w:after="0"/>
              <w:rPr>
                <w:sz w:val="20"/>
                <w:szCs w:val="20"/>
                <w:color w:val="auto"/>
              </w:rPr>
            </w:pPr>
            <w:r>
              <w:rPr>
                <w:rFonts w:ascii="Arial" w:cs="Arial" w:eastAsia="Arial" w:hAnsi="Arial"/>
                <w:sz w:val="20"/>
                <w:szCs w:val="20"/>
                <w:color w:val="auto"/>
              </w:rPr>
              <w:t>(216)</w:t>
            </w:r>
          </w:p>
        </w:tc>
        <w:tc>
          <w:tcPr>
            <w:tcW w:w="820" w:type="dxa"/>
            <w:vAlign w:val="bottom"/>
          </w:tcPr>
          <w:p>
            <w:pPr>
              <w:spacing w:after="0"/>
              <w:rPr>
                <w:sz w:val="24"/>
                <w:szCs w:val="24"/>
                <w:color w:val="auto"/>
              </w:rPr>
            </w:pPr>
          </w:p>
        </w:tc>
        <w:tc>
          <w:tcPr>
            <w:tcW w:w="1420" w:type="dxa"/>
            <w:vAlign w:val="bottom"/>
          </w:tcPr>
          <w:p>
            <w:pPr>
              <w:jc w:val="right"/>
              <w:ind w:right="561"/>
              <w:spacing w:after="0"/>
              <w:rPr>
                <w:sz w:val="20"/>
                <w:szCs w:val="20"/>
                <w:color w:val="auto"/>
              </w:rPr>
            </w:pPr>
            <w:r>
              <w:rPr>
                <w:rFonts w:ascii="Arial" w:cs="Arial" w:eastAsia="Arial" w:hAnsi="Arial"/>
                <w:sz w:val="20"/>
                <w:szCs w:val="20"/>
                <w:color w:val="auto"/>
              </w:rPr>
              <w:t>904</w:t>
            </w:r>
          </w:p>
        </w:tc>
        <w:tc>
          <w:tcPr>
            <w:tcW w:w="0" w:type="dxa"/>
            <w:vAlign w:val="bottom"/>
          </w:tcPr>
          <w:p>
            <w:pPr>
              <w:spacing w:after="0"/>
              <w:rPr>
                <w:sz w:val="1"/>
                <w:szCs w:val="1"/>
                <w:color w:val="auto"/>
              </w:rPr>
            </w:pPr>
          </w:p>
        </w:tc>
      </w:tr>
      <w:tr>
        <w:trPr>
          <w:trHeight w:val="30"/>
        </w:trPr>
        <w:tc>
          <w:tcPr>
            <w:tcW w:w="4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20" w:type="dxa"/>
            <w:vAlign w:val="bottom"/>
          </w:tcPr>
          <w:p>
            <w:pPr>
              <w:ind w:left="20"/>
              <w:spacing w:after="0"/>
              <w:rPr>
                <w:sz w:val="20"/>
                <w:szCs w:val="20"/>
                <w:color w:val="auto"/>
              </w:rPr>
            </w:pPr>
            <w:r>
              <w:rPr>
                <w:rFonts w:ascii="Arial" w:cs="Arial" w:eastAsia="Arial" w:hAnsi="Arial"/>
                <w:sz w:val="20"/>
                <w:szCs w:val="20"/>
                <w:color w:val="auto"/>
              </w:rPr>
              <w:t>Expenses</w:t>
            </w:r>
          </w:p>
        </w:tc>
        <w:tc>
          <w:tcPr>
            <w:tcW w:w="760" w:type="dxa"/>
            <w:vAlign w:val="bottom"/>
          </w:tcPr>
          <w:p>
            <w:pPr>
              <w:spacing w:after="0"/>
              <w:rPr>
                <w:sz w:val="22"/>
                <w:szCs w:val="22"/>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color w:val="auto"/>
              </w:rPr>
              <w:t>3,616</w:t>
            </w:r>
          </w:p>
        </w:tc>
        <w:tc>
          <w:tcPr>
            <w:tcW w:w="840" w:type="dxa"/>
            <w:vAlign w:val="bottom"/>
          </w:tcPr>
          <w:p>
            <w:pPr>
              <w:spacing w:after="0"/>
              <w:rPr>
                <w:sz w:val="22"/>
                <w:szCs w:val="22"/>
                <w:color w:val="auto"/>
              </w:rPr>
            </w:pPr>
          </w:p>
        </w:tc>
        <w:tc>
          <w:tcPr>
            <w:tcW w:w="1260" w:type="dxa"/>
            <w:vAlign w:val="bottom"/>
          </w:tcPr>
          <w:p>
            <w:pPr>
              <w:jc w:val="right"/>
              <w:ind w:right="401"/>
              <w:spacing w:after="0"/>
              <w:rPr>
                <w:sz w:val="20"/>
                <w:szCs w:val="20"/>
                <w:color w:val="auto"/>
              </w:rPr>
            </w:pPr>
            <w:r>
              <w:rPr>
                <w:rFonts w:ascii="Arial" w:cs="Arial" w:eastAsia="Arial" w:hAnsi="Arial"/>
                <w:sz w:val="20"/>
                <w:szCs w:val="20"/>
                <w:color w:val="auto"/>
              </w:rPr>
              <w:t>(683)</w:t>
            </w:r>
          </w:p>
        </w:tc>
        <w:tc>
          <w:tcPr>
            <w:tcW w:w="820" w:type="dxa"/>
            <w:vAlign w:val="bottom"/>
          </w:tcPr>
          <w:p>
            <w:pPr>
              <w:spacing w:after="0"/>
              <w:rPr>
                <w:sz w:val="22"/>
                <w:szCs w:val="22"/>
                <w:color w:val="auto"/>
              </w:rPr>
            </w:pPr>
          </w:p>
        </w:tc>
        <w:tc>
          <w:tcPr>
            <w:tcW w:w="1420" w:type="dxa"/>
            <w:vAlign w:val="bottom"/>
          </w:tcPr>
          <w:p>
            <w:pPr>
              <w:jc w:val="right"/>
              <w:ind w:right="561"/>
              <w:spacing w:after="0"/>
              <w:rPr>
                <w:sz w:val="20"/>
                <w:szCs w:val="20"/>
                <w:color w:val="auto"/>
              </w:rPr>
            </w:pPr>
            <w:r>
              <w:rPr>
                <w:rFonts w:ascii="Arial" w:cs="Arial" w:eastAsia="Arial" w:hAnsi="Arial"/>
                <w:sz w:val="20"/>
                <w:szCs w:val="20"/>
                <w:color w:val="auto"/>
              </w:rPr>
              <w:t>2,933</w:t>
            </w:r>
          </w:p>
        </w:tc>
        <w:tc>
          <w:tcPr>
            <w:tcW w:w="0" w:type="dxa"/>
            <w:vAlign w:val="bottom"/>
          </w:tcPr>
          <w:p>
            <w:pPr>
              <w:spacing w:after="0"/>
              <w:rPr>
                <w:sz w:val="1"/>
                <w:szCs w:val="1"/>
                <w:color w:val="auto"/>
              </w:rPr>
            </w:pPr>
          </w:p>
        </w:tc>
      </w:tr>
      <w:tr>
        <w:trPr>
          <w:trHeight w:val="42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922</w:t>
            </w: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29</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951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35" w:right="339" w:bottom="1440" w:gutter="0" w:footer="0" w:header="0"/>
        </w:sectPr>
      </w:pPr>
    </w:p>
    <w:bookmarkStart w:id="26" w:name="page27"/>
    <w:bookmarkEnd w:id="26"/>
    <w:p>
      <w:pPr>
        <w:jc w:val="center"/>
        <w:ind w:right="240"/>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2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(Unaudited; in millions)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121920</wp:posOffset>
            </wp:positionV>
            <wp:extent cx="653224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32245" cy="17145"/>
                    </a:xfrm>
                    <a:prstGeom prst="rect">
                      <a:avLst/>
                    </a:prstGeom>
                    <a:noFill/>
                  </pic:spPr>
                </pic:pic>
              </a:graphicData>
            </a:graphic>
          </wp:anchor>
        </w:drawing>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73"/>
        </w:trPr>
        <w:tc>
          <w:tcPr>
            <w:tcW w:w="3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20" w:type="dxa"/>
            <w:vAlign w:val="bottom"/>
          </w:tcPr>
          <w:p>
            <w:pPr>
              <w:jc w:val="center"/>
              <w:ind w:right="661"/>
              <w:spacing w:after="0"/>
              <w:rPr>
                <w:sz w:val="20"/>
                <w:szCs w:val="20"/>
                <w:color w:val="auto"/>
              </w:rPr>
            </w:pPr>
            <w:r>
              <w:rPr>
                <w:rFonts w:ascii="Arial" w:cs="Arial" w:eastAsia="Arial" w:hAnsi="Arial"/>
                <w:sz w:val="20"/>
                <w:szCs w:val="20"/>
                <w:b w:val="1"/>
                <w:bCs w:val="1"/>
                <w:color w:val="auto"/>
              </w:rPr>
              <w:t>GAAP</w:t>
            </w: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160" w:type="dxa"/>
            <w:vAlign w:val="bottom"/>
            <w:gridSpan w:val="2"/>
          </w:tcPr>
          <w:p>
            <w:pPr>
              <w:jc w:val="center"/>
              <w:spacing w:after="0"/>
              <w:rPr>
                <w:sz w:val="20"/>
                <w:szCs w:val="20"/>
                <w:color w:val="auto"/>
              </w:rPr>
            </w:pPr>
            <w:r>
              <w:rPr>
                <w:rFonts w:ascii="Arial" w:cs="Arial" w:eastAsia="Arial" w:hAnsi="Arial"/>
                <w:sz w:val="20"/>
                <w:szCs w:val="20"/>
                <w:b w:val="1"/>
                <w:bCs w:val="1"/>
                <w:color w:val="auto"/>
              </w:rPr>
              <w:t>Non-GAAP</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2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1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920" w:type="dxa"/>
            <w:vAlign w:val="bottom"/>
          </w:tcPr>
          <w:p>
            <w:pPr>
              <w:spacing w:after="0"/>
              <w:rPr>
                <w:sz w:val="20"/>
                <w:szCs w:val="20"/>
                <w:color w:val="auto"/>
              </w:rPr>
            </w:pPr>
          </w:p>
        </w:tc>
        <w:tc>
          <w:tcPr>
            <w:tcW w:w="2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Three Months Ended</w:t>
            </w:r>
          </w:p>
        </w:tc>
        <w:tc>
          <w:tcPr>
            <w:tcW w:w="0" w:type="dxa"/>
            <w:vAlign w:val="bottom"/>
          </w:tcPr>
          <w:p>
            <w:pPr>
              <w:spacing w:after="0"/>
              <w:rPr>
                <w:sz w:val="1"/>
                <w:szCs w:val="1"/>
                <w:color w:val="auto"/>
              </w:rPr>
            </w:pPr>
          </w:p>
        </w:tc>
      </w:tr>
      <w:tr>
        <w:trPr>
          <w:trHeight w:val="273"/>
        </w:trPr>
        <w:tc>
          <w:tcPr>
            <w:tcW w:w="3920" w:type="dxa"/>
            <w:vAlign w:val="bottom"/>
          </w:tcPr>
          <w:p>
            <w:pPr>
              <w:spacing w:after="0"/>
              <w:rPr>
                <w:sz w:val="23"/>
                <w:szCs w:val="23"/>
                <w:color w:val="auto"/>
              </w:rPr>
            </w:pPr>
          </w:p>
        </w:tc>
        <w:tc>
          <w:tcPr>
            <w:tcW w:w="2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June 30,</w:t>
            </w: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1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June 30,</w:t>
            </w: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jc w:val="center"/>
              <w:ind w:right="641"/>
              <w:spacing w:after="0"/>
              <w:rPr>
                <w:sz w:val="20"/>
                <w:szCs w:val="20"/>
                <w:color w:val="auto"/>
              </w:rPr>
            </w:pPr>
            <w:r>
              <w:rPr>
                <w:rFonts w:ascii="Arial" w:cs="Arial" w:eastAsia="Arial" w:hAnsi="Arial"/>
                <w:sz w:val="20"/>
                <w:szCs w:val="20"/>
                <w:b w:val="1"/>
                <w:bCs w:val="1"/>
                <w:color w:val="auto"/>
                <w:w w:val="98"/>
              </w:rPr>
              <w:t>2025</w:t>
            </w: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jc w:val="center"/>
              <w:ind w:right="68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020" w:type="dxa"/>
            <w:vAlign w:val="bottom"/>
            <w:gridSpan w:val="2"/>
            <w:vMerge w:val="restart"/>
          </w:tcPr>
          <w:p>
            <w:pPr>
              <w:jc w:val="right"/>
              <w:ind w:right="24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2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7"/>
              </w:rPr>
              <w:t>TV Media</w:t>
            </w:r>
          </w:p>
        </w:tc>
        <w:tc>
          <w:tcPr>
            <w:tcW w:w="2020" w:type="dxa"/>
            <w:vAlign w:val="bottom"/>
            <w:tcBorders>
              <w:bottom w:val="single" w:sz="8" w:color="auto"/>
            </w:tcBorders>
            <w:gridSpan w:val="2"/>
            <w:vMerge w:val="continue"/>
          </w:tcPr>
          <w:p>
            <w:pPr>
              <w:spacing w:after="0"/>
              <w:rPr>
                <w:sz w:val="24"/>
                <w:szCs w:val="24"/>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TV Media</w:t>
            </w:r>
          </w:p>
        </w:tc>
        <w:tc>
          <w:tcPr>
            <w:tcW w:w="0" w:type="dxa"/>
            <w:vAlign w:val="bottom"/>
          </w:tcPr>
          <w:p>
            <w:pPr>
              <w:spacing w:after="0"/>
              <w:rPr>
                <w:sz w:val="1"/>
                <w:szCs w:val="1"/>
                <w:color w:val="auto"/>
              </w:rPr>
            </w:pPr>
          </w:p>
        </w:tc>
      </w:tr>
      <w:tr>
        <w:trPr>
          <w:trHeight w:val="260"/>
        </w:trPr>
        <w:tc>
          <w:tcPr>
            <w:tcW w:w="3920" w:type="dxa"/>
            <w:vAlign w:val="bottom"/>
          </w:tcPr>
          <w:p>
            <w:pPr>
              <w:ind w:left="140"/>
              <w:spacing w:after="0"/>
              <w:rPr>
                <w:sz w:val="20"/>
                <w:szCs w:val="20"/>
                <w:color w:val="auto"/>
              </w:rPr>
            </w:pPr>
            <w:r>
              <w:rPr>
                <w:rFonts w:ascii="Arial" w:cs="Arial" w:eastAsia="Arial" w:hAnsi="Arial"/>
                <w:sz w:val="20"/>
                <w:szCs w:val="20"/>
                <w:color w:val="auto"/>
              </w:rPr>
              <w:t>Advertising</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541"/>
              <w:spacing w:after="0"/>
              <w:rPr>
                <w:sz w:val="20"/>
                <w:szCs w:val="20"/>
                <w:color w:val="auto"/>
              </w:rPr>
            </w:pPr>
            <w:r>
              <w:rPr>
                <w:rFonts w:ascii="Arial" w:cs="Arial" w:eastAsia="Arial" w:hAnsi="Arial"/>
                <w:sz w:val="20"/>
                <w:szCs w:val="20"/>
                <w:color w:val="auto"/>
              </w:rPr>
              <w:t>1,657</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(2)</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541"/>
              <w:spacing w:after="0"/>
              <w:rPr>
                <w:sz w:val="20"/>
                <w:szCs w:val="20"/>
                <w:color w:val="auto"/>
              </w:rPr>
            </w:pPr>
            <w:r>
              <w:rPr>
                <w:rFonts w:ascii="Arial" w:cs="Arial" w:eastAsia="Arial" w:hAnsi="Arial"/>
                <w:sz w:val="20"/>
                <w:szCs w:val="20"/>
                <w:color w:val="auto"/>
              </w:rPr>
              <w:t>1,655</w:t>
            </w:r>
          </w:p>
        </w:tc>
        <w:tc>
          <w:tcPr>
            <w:tcW w:w="0" w:type="dxa"/>
            <w:vAlign w:val="bottom"/>
          </w:tcPr>
          <w:p>
            <w:pPr>
              <w:spacing w:after="0"/>
              <w:rPr>
                <w:sz w:val="1"/>
                <w:szCs w:val="1"/>
                <w:color w:val="auto"/>
              </w:rPr>
            </w:pPr>
          </w:p>
        </w:tc>
      </w:tr>
      <w:tr>
        <w:trPr>
          <w:trHeight w:val="297"/>
        </w:trPr>
        <w:tc>
          <w:tcPr>
            <w:tcW w:w="3920" w:type="dxa"/>
            <w:vAlign w:val="bottom"/>
          </w:tcPr>
          <w:p>
            <w:pPr>
              <w:ind w:left="140"/>
              <w:spacing w:after="0"/>
              <w:rPr>
                <w:sz w:val="20"/>
                <w:szCs w:val="20"/>
                <w:color w:val="auto"/>
              </w:rPr>
            </w:pPr>
            <w:r>
              <w:rPr>
                <w:rFonts w:ascii="Arial" w:cs="Arial" w:eastAsia="Arial" w:hAnsi="Arial"/>
                <w:sz w:val="20"/>
                <w:szCs w:val="20"/>
                <w:color w:val="auto"/>
              </w:rPr>
              <w:t>Affiliate and subscription</w:t>
            </w:r>
          </w:p>
        </w:tc>
        <w:tc>
          <w:tcPr>
            <w:tcW w:w="760" w:type="dxa"/>
            <w:vAlign w:val="bottom"/>
          </w:tcPr>
          <w:p>
            <w:pPr>
              <w:spacing w:after="0"/>
              <w:rPr>
                <w:sz w:val="24"/>
                <w:szCs w:val="24"/>
                <w:color w:val="auto"/>
              </w:rPr>
            </w:pPr>
          </w:p>
        </w:tc>
        <w:tc>
          <w:tcPr>
            <w:tcW w:w="1420" w:type="dxa"/>
            <w:vAlign w:val="bottom"/>
          </w:tcPr>
          <w:p>
            <w:pPr>
              <w:jc w:val="right"/>
              <w:ind w:right="541"/>
              <w:spacing w:after="0"/>
              <w:rPr>
                <w:sz w:val="20"/>
                <w:szCs w:val="20"/>
                <w:color w:val="auto"/>
              </w:rPr>
            </w:pPr>
            <w:r>
              <w:rPr>
                <w:rFonts w:ascii="Arial" w:cs="Arial" w:eastAsia="Arial" w:hAnsi="Arial"/>
                <w:sz w:val="20"/>
                <w:szCs w:val="20"/>
                <w:color w:val="auto"/>
              </w:rPr>
              <w:t>1,780</w:t>
            </w:r>
          </w:p>
        </w:tc>
        <w:tc>
          <w:tcPr>
            <w:tcW w:w="800" w:type="dxa"/>
            <w:vAlign w:val="bottom"/>
          </w:tcPr>
          <w:p>
            <w:pPr>
              <w:spacing w:after="0"/>
              <w:rPr>
                <w:sz w:val="24"/>
                <w:szCs w:val="24"/>
                <w:color w:val="auto"/>
              </w:rPr>
            </w:pP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(104)</w:t>
            </w:r>
          </w:p>
        </w:tc>
        <w:tc>
          <w:tcPr>
            <w:tcW w:w="78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Arial" w:cs="Arial" w:eastAsia="Arial" w:hAnsi="Arial"/>
                <w:sz w:val="20"/>
                <w:szCs w:val="20"/>
                <w:color w:val="auto"/>
              </w:rPr>
              <w:t>1,676</w:t>
            </w:r>
          </w:p>
        </w:tc>
        <w:tc>
          <w:tcPr>
            <w:tcW w:w="0" w:type="dxa"/>
            <w:vAlign w:val="bottom"/>
          </w:tcPr>
          <w:p>
            <w:pPr>
              <w:spacing w:after="0"/>
              <w:rPr>
                <w:sz w:val="1"/>
                <w:szCs w:val="1"/>
                <w:color w:val="auto"/>
              </w:rPr>
            </w:pPr>
          </w:p>
        </w:tc>
      </w:tr>
      <w:tr>
        <w:trPr>
          <w:trHeight w:val="297"/>
        </w:trPr>
        <w:tc>
          <w:tcPr>
            <w:tcW w:w="3920" w:type="dxa"/>
            <w:vAlign w:val="bottom"/>
          </w:tcPr>
          <w:p>
            <w:pPr>
              <w:ind w:left="140"/>
              <w:spacing w:after="0"/>
              <w:rPr>
                <w:sz w:val="20"/>
                <w:szCs w:val="20"/>
                <w:color w:val="auto"/>
              </w:rPr>
            </w:pPr>
            <w:r>
              <w:rPr>
                <w:rFonts w:ascii="Arial" w:cs="Arial" w:eastAsia="Arial" w:hAnsi="Arial"/>
                <w:sz w:val="20"/>
                <w:szCs w:val="20"/>
                <w:color w:val="auto"/>
              </w:rPr>
              <w:t>Licensing and other</w:t>
            </w:r>
          </w:p>
        </w:tc>
        <w:tc>
          <w:tcPr>
            <w:tcW w:w="760" w:type="dxa"/>
            <w:vAlign w:val="bottom"/>
          </w:tcPr>
          <w:p>
            <w:pPr>
              <w:spacing w:after="0"/>
              <w:rPr>
                <w:sz w:val="24"/>
                <w:szCs w:val="24"/>
                <w:color w:val="auto"/>
              </w:rPr>
            </w:pPr>
          </w:p>
        </w:tc>
        <w:tc>
          <w:tcPr>
            <w:tcW w:w="1420" w:type="dxa"/>
            <w:vAlign w:val="bottom"/>
          </w:tcPr>
          <w:p>
            <w:pPr>
              <w:jc w:val="right"/>
              <w:ind w:right="541"/>
              <w:spacing w:after="0"/>
              <w:rPr>
                <w:sz w:val="20"/>
                <w:szCs w:val="20"/>
                <w:color w:val="auto"/>
              </w:rPr>
            </w:pPr>
            <w:r>
              <w:rPr>
                <w:rFonts w:ascii="Arial" w:cs="Arial" w:eastAsia="Arial" w:hAnsi="Arial"/>
                <w:sz w:val="20"/>
                <w:szCs w:val="20"/>
                <w:color w:val="auto"/>
              </w:rPr>
              <w:t>574</w:t>
            </w:r>
          </w:p>
        </w:tc>
        <w:tc>
          <w:tcPr>
            <w:tcW w:w="800" w:type="dxa"/>
            <w:vAlign w:val="bottom"/>
          </w:tcPr>
          <w:p>
            <w:pPr>
              <w:spacing w:after="0"/>
              <w:rPr>
                <w:sz w:val="24"/>
                <w:szCs w:val="24"/>
                <w:color w:val="auto"/>
              </w:rPr>
            </w:pP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(451)</w:t>
            </w:r>
          </w:p>
        </w:tc>
        <w:tc>
          <w:tcPr>
            <w:tcW w:w="78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Arial" w:cs="Arial" w:eastAsia="Arial" w:hAnsi="Arial"/>
                <w:sz w:val="20"/>
                <w:szCs w:val="20"/>
                <w:color w:val="auto"/>
              </w:rPr>
              <w:t>123</w:t>
            </w:r>
          </w:p>
        </w:tc>
        <w:tc>
          <w:tcPr>
            <w:tcW w:w="0" w:type="dxa"/>
            <w:vAlign w:val="bottom"/>
          </w:tcPr>
          <w:p>
            <w:pPr>
              <w:spacing w:after="0"/>
              <w:rPr>
                <w:sz w:val="1"/>
                <w:szCs w:val="1"/>
                <w:color w:val="auto"/>
              </w:rPr>
            </w:pPr>
          </w:p>
        </w:tc>
      </w:tr>
      <w:tr>
        <w:trPr>
          <w:trHeight w:val="31"/>
        </w:trPr>
        <w:tc>
          <w:tcPr>
            <w:tcW w:w="3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20" w:type="dxa"/>
            <w:vAlign w:val="bottom"/>
          </w:tcPr>
          <w:p>
            <w:pPr>
              <w:ind w:left="20"/>
              <w:spacing w:after="0"/>
              <w:rPr>
                <w:sz w:val="20"/>
                <w:szCs w:val="20"/>
                <w:color w:val="auto"/>
              </w:rPr>
            </w:pPr>
            <w:r>
              <w:rPr>
                <w:rFonts w:ascii="Arial" w:cs="Arial" w:eastAsia="Arial" w:hAnsi="Arial"/>
                <w:sz w:val="20"/>
                <w:szCs w:val="20"/>
                <w:color w:val="auto"/>
              </w:rPr>
              <w:t>Revenues</w:t>
            </w:r>
          </w:p>
        </w:tc>
        <w:tc>
          <w:tcPr>
            <w:tcW w:w="760" w:type="dxa"/>
            <w:vAlign w:val="bottom"/>
          </w:tcPr>
          <w:p>
            <w:pPr>
              <w:spacing w:after="0"/>
              <w:rPr>
                <w:sz w:val="22"/>
                <w:szCs w:val="22"/>
                <w:color w:val="auto"/>
              </w:rPr>
            </w:pPr>
          </w:p>
        </w:tc>
        <w:tc>
          <w:tcPr>
            <w:tcW w:w="1420" w:type="dxa"/>
            <w:vAlign w:val="bottom"/>
          </w:tcPr>
          <w:p>
            <w:pPr>
              <w:jc w:val="right"/>
              <w:ind w:right="541"/>
              <w:spacing w:after="0"/>
              <w:rPr>
                <w:sz w:val="20"/>
                <w:szCs w:val="20"/>
                <w:color w:val="auto"/>
              </w:rPr>
            </w:pPr>
            <w:r>
              <w:rPr>
                <w:rFonts w:ascii="Arial" w:cs="Arial" w:eastAsia="Arial" w:hAnsi="Arial"/>
                <w:sz w:val="20"/>
                <w:szCs w:val="20"/>
                <w:color w:val="auto"/>
              </w:rPr>
              <w:t>4,011</w:t>
            </w:r>
          </w:p>
        </w:tc>
        <w:tc>
          <w:tcPr>
            <w:tcW w:w="800" w:type="dxa"/>
            <w:vAlign w:val="bottom"/>
          </w:tcPr>
          <w:p>
            <w:pPr>
              <w:spacing w:after="0"/>
              <w:rPr>
                <w:sz w:val="22"/>
                <w:szCs w:val="22"/>
                <w:color w:val="auto"/>
              </w:rPr>
            </w:pP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(557)</w:t>
            </w:r>
          </w:p>
        </w:tc>
        <w:tc>
          <w:tcPr>
            <w:tcW w:w="780" w:type="dxa"/>
            <w:vAlign w:val="bottom"/>
          </w:tcPr>
          <w:p>
            <w:pPr>
              <w:spacing w:after="0"/>
              <w:rPr>
                <w:sz w:val="22"/>
                <w:szCs w:val="22"/>
                <w:color w:val="auto"/>
              </w:rPr>
            </w:pPr>
          </w:p>
        </w:tc>
        <w:tc>
          <w:tcPr>
            <w:tcW w:w="1380" w:type="dxa"/>
            <w:vAlign w:val="bottom"/>
          </w:tcPr>
          <w:p>
            <w:pPr>
              <w:jc w:val="right"/>
              <w:ind w:right="541"/>
              <w:spacing w:after="0"/>
              <w:rPr>
                <w:sz w:val="20"/>
                <w:szCs w:val="20"/>
                <w:color w:val="auto"/>
              </w:rPr>
            </w:pPr>
            <w:r>
              <w:rPr>
                <w:rFonts w:ascii="Arial" w:cs="Arial" w:eastAsia="Arial" w:hAnsi="Arial"/>
                <w:sz w:val="20"/>
                <w:szCs w:val="20"/>
                <w:color w:val="auto"/>
              </w:rPr>
              <w:t>3,454</w:t>
            </w:r>
          </w:p>
        </w:tc>
        <w:tc>
          <w:tcPr>
            <w:tcW w:w="0" w:type="dxa"/>
            <w:vAlign w:val="bottom"/>
          </w:tcPr>
          <w:p>
            <w:pPr>
              <w:spacing w:after="0"/>
              <w:rPr>
                <w:sz w:val="1"/>
                <w:szCs w:val="1"/>
                <w:color w:val="auto"/>
              </w:rPr>
            </w:pPr>
          </w:p>
        </w:tc>
      </w:tr>
      <w:tr>
        <w:trPr>
          <w:trHeight w:val="392"/>
        </w:trPr>
        <w:tc>
          <w:tcPr>
            <w:tcW w:w="3920" w:type="dxa"/>
            <w:vAlign w:val="bottom"/>
          </w:tcPr>
          <w:p>
            <w:pPr>
              <w:ind w:left="120"/>
              <w:spacing w:after="0"/>
              <w:rPr>
                <w:sz w:val="20"/>
                <w:szCs w:val="20"/>
                <w:color w:val="auto"/>
              </w:rPr>
            </w:pPr>
            <w:r>
              <w:rPr>
                <w:rFonts w:ascii="Arial" w:cs="Arial" w:eastAsia="Arial" w:hAnsi="Arial"/>
                <w:sz w:val="20"/>
                <w:szCs w:val="20"/>
                <w:color w:val="auto"/>
              </w:rPr>
              <w:t>Content costs</w:t>
            </w:r>
          </w:p>
        </w:tc>
        <w:tc>
          <w:tcPr>
            <w:tcW w:w="760" w:type="dxa"/>
            <w:vAlign w:val="bottom"/>
          </w:tcPr>
          <w:p>
            <w:pPr>
              <w:spacing w:after="0"/>
              <w:rPr>
                <w:sz w:val="24"/>
                <w:szCs w:val="24"/>
                <w:color w:val="auto"/>
              </w:rPr>
            </w:pPr>
          </w:p>
        </w:tc>
        <w:tc>
          <w:tcPr>
            <w:tcW w:w="1420" w:type="dxa"/>
            <w:vAlign w:val="bottom"/>
          </w:tcPr>
          <w:p>
            <w:pPr>
              <w:jc w:val="right"/>
              <w:ind w:right="541"/>
              <w:spacing w:after="0"/>
              <w:rPr>
                <w:sz w:val="20"/>
                <w:szCs w:val="20"/>
                <w:color w:val="auto"/>
              </w:rPr>
            </w:pPr>
            <w:r>
              <w:rPr>
                <w:rFonts w:ascii="Arial" w:cs="Arial" w:eastAsia="Arial" w:hAnsi="Arial"/>
                <w:sz w:val="20"/>
                <w:szCs w:val="20"/>
                <w:color w:val="auto"/>
              </w:rPr>
              <w:t>1,956</w:t>
            </w:r>
          </w:p>
        </w:tc>
        <w:tc>
          <w:tcPr>
            <w:tcW w:w="800" w:type="dxa"/>
            <w:vAlign w:val="bottom"/>
          </w:tcPr>
          <w:p>
            <w:pPr>
              <w:spacing w:after="0"/>
              <w:rPr>
                <w:sz w:val="24"/>
                <w:szCs w:val="24"/>
                <w:color w:val="auto"/>
              </w:rPr>
            </w:pP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(380)</w:t>
            </w:r>
          </w:p>
        </w:tc>
        <w:tc>
          <w:tcPr>
            <w:tcW w:w="78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Arial" w:cs="Arial" w:eastAsia="Arial" w:hAnsi="Arial"/>
                <w:sz w:val="20"/>
                <w:szCs w:val="20"/>
                <w:color w:val="auto"/>
              </w:rPr>
              <w:t>1,576</w:t>
            </w:r>
          </w:p>
        </w:tc>
        <w:tc>
          <w:tcPr>
            <w:tcW w:w="0" w:type="dxa"/>
            <w:vAlign w:val="bottom"/>
          </w:tcPr>
          <w:p>
            <w:pPr>
              <w:spacing w:after="0"/>
              <w:rPr>
                <w:sz w:val="1"/>
                <w:szCs w:val="1"/>
                <w:color w:val="auto"/>
              </w:rPr>
            </w:pPr>
          </w:p>
        </w:tc>
      </w:tr>
      <w:tr>
        <w:trPr>
          <w:trHeight w:val="297"/>
        </w:trPr>
        <w:tc>
          <w:tcPr>
            <w:tcW w:w="3920" w:type="dxa"/>
            <w:vAlign w:val="bottom"/>
          </w:tcPr>
          <w:p>
            <w:pPr>
              <w:ind w:left="120"/>
              <w:spacing w:after="0"/>
              <w:rPr>
                <w:sz w:val="20"/>
                <w:szCs w:val="20"/>
                <w:color w:val="auto"/>
              </w:rPr>
            </w:pPr>
            <w:r>
              <w:rPr>
                <w:rFonts w:ascii="Arial" w:cs="Arial" w:eastAsia="Arial" w:hAnsi="Arial"/>
                <w:sz w:val="20"/>
                <w:szCs w:val="20"/>
                <w:color w:val="auto"/>
              </w:rPr>
              <w:t>Advertising and marketing</w:t>
            </w:r>
          </w:p>
        </w:tc>
        <w:tc>
          <w:tcPr>
            <w:tcW w:w="760" w:type="dxa"/>
            <w:vAlign w:val="bottom"/>
          </w:tcPr>
          <w:p>
            <w:pPr>
              <w:spacing w:after="0"/>
              <w:rPr>
                <w:sz w:val="24"/>
                <w:szCs w:val="24"/>
                <w:color w:val="auto"/>
              </w:rPr>
            </w:pPr>
          </w:p>
        </w:tc>
        <w:tc>
          <w:tcPr>
            <w:tcW w:w="1420" w:type="dxa"/>
            <w:vAlign w:val="bottom"/>
          </w:tcPr>
          <w:p>
            <w:pPr>
              <w:jc w:val="right"/>
              <w:ind w:right="541"/>
              <w:spacing w:after="0"/>
              <w:rPr>
                <w:sz w:val="20"/>
                <w:szCs w:val="20"/>
                <w:color w:val="auto"/>
              </w:rPr>
            </w:pPr>
            <w:r>
              <w:rPr>
                <w:rFonts w:ascii="Arial" w:cs="Arial" w:eastAsia="Arial" w:hAnsi="Arial"/>
                <w:sz w:val="20"/>
                <w:szCs w:val="20"/>
                <w:color w:val="auto"/>
              </w:rPr>
              <w:t>116</w:t>
            </w:r>
          </w:p>
        </w:tc>
        <w:tc>
          <w:tcPr>
            <w:tcW w:w="800" w:type="dxa"/>
            <w:vAlign w:val="bottom"/>
          </w:tcPr>
          <w:p>
            <w:pPr>
              <w:spacing w:after="0"/>
              <w:rPr>
                <w:sz w:val="24"/>
                <w:szCs w:val="24"/>
                <w:color w:val="auto"/>
              </w:rPr>
            </w:pP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(16)</w:t>
            </w:r>
          </w:p>
        </w:tc>
        <w:tc>
          <w:tcPr>
            <w:tcW w:w="78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97"/>
        </w:trPr>
        <w:tc>
          <w:tcPr>
            <w:tcW w:w="3920" w:type="dxa"/>
            <w:vAlign w:val="bottom"/>
          </w:tcPr>
          <w:p>
            <w:pPr>
              <w:ind w:left="120"/>
              <w:spacing w:after="0"/>
              <w:rPr>
                <w:sz w:val="20"/>
                <w:szCs w:val="20"/>
                <w:color w:val="auto"/>
              </w:rPr>
            </w:pPr>
            <w:r>
              <w:rPr>
                <w:rFonts w:ascii="Arial" w:cs="Arial" w:eastAsia="Arial" w:hAnsi="Arial"/>
                <w:sz w:val="20"/>
                <w:szCs w:val="20"/>
                <w:color w:val="auto"/>
              </w:rPr>
              <w:t>Other</w:t>
            </w:r>
          </w:p>
        </w:tc>
        <w:tc>
          <w:tcPr>
            <w:tcW w:w="760" w:type="dxa"/>
            <w:vAlign w:val="bottom"/>
          </w:tcPr>
          <w:p>
            <w:pPr>
              <w:spacing w:after="0"/>
              <w:rPr>
                <w:sz w:val="24"/>
                <w:szCs w:val="24"/>
                <w:color w:val="auto"/>
              </w:rPr>
            </w:pPr>
          </w:p>
        </w:tc>
        <w:tc>
          <w:tcPr>
            <w:tcW w:w="1420" w:type="dxa"/>
            <w:vAlign w:val="bottom"/>
          </w:tcPr>
          <w:p>
            <w:pPr>
              <w:jc w:val="right"/>
              <w:ind w:right="541"/>
              <w:spacing w:after="0"/>
              <w:rPr>
                <w:sz w:val="20"/>
                <w:szCs w:val="20"/>
                <w:color w:val="auto"/>
              </w:rPr>
            </w:pPr>
            <w:r>
              <w:rPr>
                <w:rFonts w:ascii="Arial" w:cs="Arial" w:eastAsia="Arial" w:hAnsi="Arial"/>
                <w:sz w:val="20"/>
                <w:szCs w:val="20"/>
                <w:color w:val="auto"/>
              </w:rPr>
              <w:t>1,076</w:t>
            </w:r>
          </w:p>
        </w:tc>
        <w:tc>
          <w:tcPr>
            <w:tcW w:w="800" w:type="dxa"/>
            <w:vAlign w:val="bottom"/>
          </w:tcPr>
          <w:p>
            <w:pPr>
              <w:spacing w:after="0"/>
              <w:rPr>
                <w:sz w:val="24"/>
                <w:szCs w:val="24"/>
                <w:color w:val="auto"/>
              </w:rPr>
            </w:pP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(210)</w:t>
            </w:r>
          </w:p>
        </w:tc>
        <w:tc>
          <w:tcPr>
            <w:tcW w:w="78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Arial" w:cs="Arial" w:eastAsia="Arial" w:hAnsi="Arial"/>
                <w:sz w:val="20"/>
                <w:szCs w:val="20"/>
                <w:color w:val="auto"/>
              </w:rPr>
              <w:t>866</w:t>
            </w:r>
          </w:p>
        </w:tc>
        <w:tc>
          <w:tcPr>
            <w:tcW w:w="0" w:type="dxa"/>
            <w:vAlign w:val="bottom"/>
          </w:tcPr>
          <w:p>
            <w:pPr>
              <w:spacing w:after="0"/>
              <w:rPr>
                <w:sz w:val="1"/>
                <w:szCs w:val="1"/>
                <w:color w:val="auto"/>
              </w:rPr>
            </w:pPr>
          </w:p>
        </w:tc>
      </w:tr>
      <w:tr>
        <w:trPr>
          <w:trHeight w:val="30"/>
        </w:trPr>
        <w:tc>
          <w:tcPr>
            <w:tcW w:w="3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20" w:type="dxa"/>
            <w:vAlign w:val="bottom"/>
          </w:tcPr>
          <w:p>
            <w:pPr>
              <w:ind w:left="20"/>
              <w:spacing w:after="0"/>
              <w:rPr>
                <w:sz w:val="20"/>
                <w:szCs w:val="20"/>
                <w:color w:val="auto"/>
              </w:rPr>
            </w:pPr>
            <w:r>
              <w:rPr>
                <w:rFonts w:ascii="Arial" w:cs="Arial" w:eastAsia="Arial" w:hAnsi="Arial"/>
                <w:sz w:val="20"/>
                <w:szCs w:val="20"/>
                <w:color w:val="auto"/>
              </w:rPr>
              <w:t>Expenses</w:t>
            </w:r>
          </w:p>
        </w:tc>
        <w:tc>
          <w:tcPr>
            <w:tcW w:w="760" w:type="dxa"/>
            <w:vAlign w:val="bottom"/>
          </w:tcPr>
          <w:p>
            <w:pPr>
              <w:spacing w:after="0"/>
              <w:rPr>
                <w:sz w:val="22"/>
                <w:szCs w:val="22"/>
                <w:color w:val="auto"/>
              </w:rPr>
            </w:pPr>
          </w:p>
        </w:tc>
        <w:tc>
          <w:tcPr>
            <w:tcW w:w="1420" w:type="dxa"/>
            <w:vAlign w:val="bottom"/>
          </w:tcPr>
          <w:p>
            <w:pPr>
              <w:jc w:val="right"/>
              <w:ind w:right="541"/>
              <w:spacing w:after="0"/>
              <w:rPr>
                <w:sz w:val="20"/>
                <w:szCs w:val="20"/>
                <w:color w:val="auto"/>
              </w:rPr>
            </w:pPr>
            <w:r>
              <w:rPr>
                <w:rFonts w:ascii="Arial" w:cs="Arial" w:eastAsia="Arial" w:hAnsi="Arial"/>
                <w:sz w:val="20"/>
                <w:szCs w:val="20"/>
                <w:color w:val="auto"/>
              </w:rPr>
              <w:t>3,148</w:t>
            </w:r>
          </w:p>
        </w:tc>
        <w:tc>
          <w:tcPr>
            <w:tcW w:w="800" w:type="dxa"/>
            <w:vAlign w:val="bottom"/>
          </w:tcPr>
          <w:p>
            <w:pPr>
              <w:spacing w:after="0"/>
              <w:rPr>
                <w:sz w:val="22"/>
                <w:szCs w:val="22"/>
                <w:color w:val="auto"/>
              </w:rPr>
            </w:pPr>
          </w:p>
        </w:tc>
        <w:tc>
          <w:tcPr>
            <w:tcW w:w="1220" w:type="dxa"/>
            <w:vAlign w:val="bottom"/>
          </w:tcPr>
          <w:p>
            <w:pPr>
              <w:jc w:val="right"/>
              <w:ind w:right="401"/>
              <w:spacing w:after="0"/>
              <w:rPr>
                <w:sz w:val="20"/>
                <w:szCs w:val="20"/>
                <w:color w:val="auto"/>
              </w:rPr>
            </w:pPr>
            <w:r>
              <w:rPr>
                <w:rFonts w:ascii="Arial" w:cs="Arial" w:eastAsia="Arial" w:hAnsi="Arial"/>
                <w:sz w:val="20"/>
                <w:szCs w:val="20"/>
                <w:color w:val="auto"/>
              </w:rPr>
              <w:t>(606)</w:t>
            </w:r>
          </w:p>
        </w:tc>
        <w:tc>
          <w:tcPr>
            <w:tcW w:w="780" w:type="dxa"/>
            <w:vAlign w:val="bottom"/>
          </w:tcPr>
          <w:p>
            <w:pPr>
              <w:spacing w:after="0"/>
              <w:rPr>
                <w:sz w:val="22"/>
                <w:szCs w:val="22"/>
                <w:color w:val="auto"/>
              </w:rPr>
            </w:pPr>
          </w:p>
        </w:tc>
        <w:tc>
          <w:tcPr>
            <w:tcW w:w="1380" w:type="dxa"/>
            <w:vAlign w:val="bottom"/>
          </w:tcPr>
          <w:p>
            <w:pPr>
              <w:jc w:val="right"/>
              <w:ind w:right="541"/>
              <w:spacing w:after="0"/>
              <w:rPr>
                <w:sz w:val="20"/>
                <w:szCs w:val="20"/>
                <w:color w:val="auto"/>
              </w:rPr>
            </w:pPr>
            <w:r>
              <w:rPr>
                <w:rFonts w:ascii="Arial" w:cs="Arial" w:eastAsia="Arial" w:hAnsi="Arial"/>
                <w:sz w:val="20"/>
                <w:szCs w:val="20"/>
                <w:color w:val="auto"/>
              </w:rPr>
              <w:t>2,542</w:t>
            </w:r>
          </w:p>
        </w:tc>
        <w:tc>
          <w:tcPr>
            <w:tcW w:w="0" w:type="dxa"/>
            <w:vAlign w:val="bottom"/>
          </w:tcPr>
          <w:p>
            <w:pPr>
              <w:spacing w:after="0"/>
              <w:rPr>
                <w:sz w:val="1"/>
                <w:szCs w:val="1"/>
                <w:color w:val="auto"/>
              </w:rPr>
            </w:pPr>
          </w:p>
        </w:tc>
      </w:tr>
      <w:tr>
        <w:trPr>
          <w:trHeight w:val="4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863</w:t>
            </w: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49</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912</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Period from July 1-August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79375</wp:posOffset>
            </wp:positionV>
            <wp:extent cx="653224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32245" cy="17145"/>
                    </a:xfrm>
                    <a:prstGeom prst="rect">
                      <a:avLst/>
                    </a:prstGeom>
                    <a:noFill/>
                  </pic:spPr>
                </pic:pic>
              </a:graphicData>
            </a:graphic>
          </wp:anchor>
        </w:drawing>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273"/>
        </w:trPr>
        <w:tc>
          <w:tcPr>
            <w:tcW w:w="3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40" w:type="dxa"/>
            <w:vAlign w:val="bottom"/>
          </w:tcPr>
          <w:p>
            <w:pPr>
              <w:jc w:val="center"/>
              <w:ind w:right="641"/>
              <w:spacing w:after="0"/>
              <w:rPr>
                <w:sz w:val="20"/>
                <w:szCs w:val="20"/>
                <w:color w:val="auto"/>
              </w:rPr>
            </w:pPr>
            <w:r>
              <w:rPr>
                <w:rFonts w:ascii="Arial" w:cs="Arial" w:eastAsia="Arial" w:hAnsi="Arial"/>
                <w:sz w:val="20"/>
                <w:szCs w:val="20"/>
                <w:b w:val="1"/>
                <w:bCs w:val="1"/>
                <w:color w:val="auto"/>
              </w:rPr>
              <w:t>GAAP</w:t>
            </w: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Non-GAAP</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Predecessor</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3940" w:type="dxa"/>
            <w:vAlign w:val="bottom"/>
          </w:tcPr>
          <w:p>
            <w:pPr>
              <w:spacing w:after="0"/>
              <w:rPr>
                <w:sz w:val="19"/>
                <w:szCs w:val="19"/>
                <w:color w:val="auto"/>
              </w:rPr>
            </w:pPr>
          </w:p>
        </w:tc>
        <w:tc>
          <w:tcPr>
            <w:tcW w:w="2180" w:type="dxa"/>
            <w:vAlign w:val="bottom"/>
            <w:gridSpan w:val="2"/>
          </w:tcPr>
          <w:p>
            <w:pPr>
              <w:jc w:val="center"/>
              <w:spacing w:after="0" w:line="227" w:lineRule="exact"/>
              <w:rPr>
                <w:sz w:val="20"/>
                <w:szCs w:val="20"/>
                <w:color w:val="auto"/>
              </w:rPr>
            </w:pPr>
            <w:r>
              <w:rPr>
                <w:rFonts w:ascii="Arial" w:cs="Arial" w:eastAsia="Arial" w:hAnsi="Arial"/>
                <w:sz w:val="20"/>
                <w:szCs w:val="20"/>
                <w:b w:val="1"/>
                <w:bCs w:val="1"/>
                <w:color w:val="auto"/>
                <w:w w:val="98"/>
              </w:rPr>
              <w:t>Period From July 1 -</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180" w:type="dxa"/>
            <w:vAlign w:val="bottom"/>
            <w:gridSpan w:val="2"/>
          </w:tcPr>
          <w:p>
            <w:pPr>
              <w:jc w:val="center"/>
              <w:spacing w:after="0" w:line="227" w:lineRule="exact"/>
              <w:rPr>
                <w:sz w:val="20"/>
                <w:szCs w:val="20"/>
                <w:color w:val="auto"/>
              </w:rPr>
            </w:pPr>
            <w:r>
              <w:rPr>
                <w:rFonts w:ascii="Arial" w:cs="Arial" w:eastAsia="Arial" w:hAnsi="Arial"/>
                <w:sz w:val="20"/>
                <w:szCs w:val="20"/>
                <w:b w:val="1"/>
                <w:bCs w:val="1"/>
                <w:color w:val="auto"/>
                <w:w w:val="98"/>
              </w:rPr>
              <w:t>Period From July 1 -</w:t>
            </w:r>
          </w:p>
        </w:tc>
        <w:tc>
          <w:tcPr>
            <w:tcW w:w="0" w:type="dxa"/>
            <w:vAlign w:val="bottom"/>
          </w:tcPr>
          <w:p>
            <w:pPr>
              <w:spacing w:after="0"/>
              <w:rPr>
                <w:sz w:val="1"/>
                <w:szCs w:val="1"/>
                <w:color w:val="auto"/>
              </w:rPr>
            </w:pPr>
          </w:p>
        </w:tc>
      </w:tr>
      <w:tr>
        <w:trPr>
          <w:trHeight w:val="273"/>
        </w:trPr>
        <w:tc>
          <w:tcPr>
            <w:tcW w:w="3940" w:type="dxa"/>
            <w:vAlign w:val="bottom"/>
          </w:tcPr>
          <w:p>
            <w:pPr>
              <w:spacing w:after="0"/>
              <w:rPr>
                <w:sz w:val="23"/>
                <w:szCs w:val="23"/>
                <w:color w:val="auto"/>
              </w:rPr>
            </w:pPr>
          </w:p>
        </w:tc>
        <w:tc>
          <w:tcPr>
            <w:tcW w:w="2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August 6,</w:t>
            </w: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August 6,</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jc w:val="center"/>
              <w:ind w:right="661"/>
              <w:spacing w:after="0"/>
              <w:rPr>
                <w:sz w:val="20"/>
                <w:szCs w:val="20"/>
                <w:color w:val="auto"/>
              </w:rPr>
            </w:pPr>
            <w:r>
              <w:rPr>
                <w:rFonts w:ascii="Arial" w:cs="Arial" w:eastAsia="Arial" w:hAnsi="Arial"/>
                <w:sz w:val="20"/>
                <w:szCs w:val="20"/>
                <w:b w:val="1"/>
                <w:bCs w:val="1"/>
                <w:color w:val="auto"/>
                <w:w w:val="98"/>
              </w:rPr>
              <w:t>2025</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jc w:val="center"/>
              <w:ind w:right="661"/>
              <w:spacing w:after="0"/>
              <w:rPr>
                <w:sz w:val="20"/>
                <w:szCs w:val="20"/>
                <w:color w:val="auto"/>
              </w:rPr>
            </w:pPr>
            <w:r>
              <w:rPr>
                <w:rFonts w:ascii="Arial" w:cs="Arial" w:eastAsia="Arial" w:hAnsi="Arial"/>
                <w:sz w:val="20"/>
                <w:szCs w:val="20"/>
                <w:b w:val="1"/>
                <w:bCs w:val="1"/>
                <w:color w:val="auto"/>
                <w:w w:val="98"/>
              </w:rPr>
              <w:t>2025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000" w:type="dxa"/>
            <w:vAlign w:val="bottom"/>
            <w:gridSpan w:val="2"/>
            <w:vMerge w:val="restart"/>
          </w:tcPr>
          <w:p>
            <w:pPr>
              <w:jc w:val="right"/>
              <w:ind w:right="221"/>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5"/>
                <w:szCs w:val="25"/>
                <w:b w:val="1"/>
                <w:bCs w:val="1"/>
                <w:color w:val="auto"/>
                <w:vertAlign w:val="superscript"/>
              </w:rPr>
              <w:t>(b)</w:t>
            </w:r>
          </w:p>
        </w:tc>
        <w:tc>
          <w:tcPr>
            <w:tcW w:w="2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9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7"/>
              </w:rPr>
              <w:t>TV Media</w:t>
            </w:r>
          </w:p>
        </w:tc>
        <w:tc>
          <w:tcPr>
            <w:tcW w:w="2000" w:type="dxa"/>
            <w:vAlign w:val="bottom"/>
            <w:tcBorders>
              <w:bottom w:val="single" w:sz="8" w:color="auto"/>
            </w:tcBorders>
            <w:gridSpan w:val="2"/>
            <w:vMerge w:val="continue"/>
          </w:tcPr>
          <w:p>
            <w:pPr>
              <w:spacing w:after="0"/>
              <w:rPr>
                <w:sz w:val="24"/>
                <w:szCs w:val="24"/>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7"/>
              </w:rPr>
              <w:t>TV Media</w:t>
            </w:r>
          </w:p>
        </w:tc>
        <w:tc>
          <w:tcPr>
            <w:tcW w:w="0" w:type="dxa"/>
            <w:vAlign w:val="bottom"/>
          </w:tcPr>
          <w:p>
            <w:pPr>
              <w:spacing w:after="0"/>
              <w:rPr>
                <w:sz w:val="1"/>
                <w:szCs w:val="1"/>
                <w:color w:val="auto"/>
              </w:rPr>
            </w:pPr>
          </w:p>
        </w:tc>
      </w:tr>
      <w:tr>
        <w:trPr>
          <w:trHeight w:val="260"/>
        </w:trPr>
        <w:tc>
          <w:tcPr>
            <w:tcW w:w="3940" w:type="dxa"/>
            <w:vAlign w:val="bottom"/>
          </w:tcPr>
          <w:p>
            <w:pPr>
              <w:ind w:left="140"/>
              <w:spacing w:after="0"/>
              <w:rPr>
                <w:sz w:val="20"/>
                <w:szCs w:val="20"/>
                <w:color w:val="auto"/>
              </w:rPr>
            </w:pPr>
            <w:r>
              <w:rPr>
                <w:rFonts w:ascii="Arial" w:cs="Arial" w:eastAsia="Arial" w:hAnsi="Arial"/>
                <w:sz w:val="20"/>
                <w:szCs w:val="20"/>
                <w:color w:val="auto"/>
              </w:rPr>
              <w:t>Advertising</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561"/>
              <w:spacing w:after="0"/>
              <w:rPr>
                <w:sz w:val="20"/>
                <w:szCs w:val="20"/>
                <w:color w:val="auto"/>
              </w:rPr>
            </w:pPr>
            <w:r>
              <w:rPr>
                <w:rFonts w:ascii="Arial" w:cs="Arial" w:eastAsia="Arial" w:hAnsi="Arial"/>
                <w:sz w:val="20"/>
                <w:szCs w:val="20"/>
                <w:color w:val="auto"/>
              </w:rPr>
              <w:t>485</w:t>
            </w:r>
          </w:p>
        </w:tc>
        <w:tc>
          <w:tcPr>
            <w:tcW w:w="8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381"/>
              <w:spacing w:after="0"/>
              <w:rPr>
                <w:sz w:val="20"/>
                <w:szCs w:val="20"/>
                <w:color w:val="auto"/>
              </w:rPr>
            </w:pPr>
            <w:r>
              <w:rPr>
                <w:rFonts w:ascii="Arial" w:cs="Arial" w:eastAsia="Arial" w:hAnsi="Arial"/>
                <w:sz w:val="20"/>
                <w:szCs w:val="20"/>
                <w:color w:val="auto"/>
              </w:rPr>
              <w:t>(1)</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484</w:t>
            </w:r>
          </w:p>
        </w:tc>
        <w:tc>
          <w:tcPr>
            <w:tcW w:w="0" w:type="dxa"/>
            <w:vAlign w:val="bottom"/>
          </w:tcPr>
          <w:p>
            <w:pPr>
              <w:spacing w:after="0"/>
              <w:rPr>
                <w:sz w:val="1"/>
                <w:szCs w:val="1"/>
                <w:color w:val="auto"/>
              </w:rPr>
            </w:pPr>
          </w:p>
        </w:tc>
      </w:tr>
      <w:tr>
        <w:trPr>
          <w:trHeight w:val="297"/>
        </w:trPr>
        <w:tc>
          <w:tcPr>
            <w:tcW w:w="3940" w:type="dxa"/>
            <w:vAlign w:val="bottom"/>
          </w:tcPr>
          <w:p>
            <w:pPr>
              <w:ind w:left="140"/>
              <w:spacing w:after="0"/>
              <w:rPr>
                <w:sz w:val="20"/>
                <w:szCs w:val="20"/>
                <w:color w:val="auto"/>
              </w:rPr>
            </w:pPr>
            <w:r>
              <w:rPr>
                <w:rFonts w:ascii="Arial" w:cs="Arial" w:eastAsia="Arial" w:hAnsi="Arial"/>
                <w:sz w:val="20"/>
                <w:szCs w:val="20"/>
                <w:color w:val="auto"/>
              </w:rPr>
              <w:t>Affiliate and subscription</w:t>
            </w:r>
          </w:p>
        </w:tc>
        <w:tc>
          <w:tcPr>
            <w:tcW w:w="740" w:type="dxa"/>
            <w:vAlign w:val="bottom"/>
          </w:tcPr>
          <w:p>
            <w:pPr>
              <w:spacing w:after="0"/>
              <w:rPr>
                <w:sz w:val="24"/>
                <w:szCs w:val="24"/>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color w:val="auto"/>
              </w:rPr>
              <w:t>696</w:t>
            </w:r>
          </w:p>
        </w:tc>
        <w:tc>
          <w:tcPr>
            <w:tcW w:w="800" w:type="dxa"/>
            <w:vAlign w:val="bottom"/>
          </w:tcPr>
          <w:p>
            <w:pPr>
              <w:spacing w:after="0"/>
              <w:rPr>
                <w:sz w:val="24"/>
                <w:szCs w:val="24"/>
                <w:color w:val="auto"/>
              </w:rPr>
            </w:pPr>
          </w:p>
        </w:tc>
        <w:tc>
          <w:tcPr>
            <w:tcW w:w="1200" w:type="dxa"/>
            <w:vAlign w:val="bottom"/>
          </w:tcPr>
          <w:p>
            <w:pPr>
              <w:jc w:val="right"/>
              <w:ind w:right="381"/>
              <w:spacing w:after="0"/>
              <w:rPr>
                <w:sz w:val="20"/>
                <w:szCs w:val="20"/>
                <w:color w:val="auto"/>
              </w:rPr>
            </w:pPr>
            <w:r>
              <w:rPr>
                <w:rFonts w:ascii="Arial" w:cs="Arial" w:eastAsia="Arial" w:hAnsi="Arial"/>
                <w:sz w:val="20"/>
                <w:szCs w:val="20"/>
                <w:color w:val="auto"/>
              </w:rPr>
              <w:t>(40)</w:t>
            </w:r>
          </w:p>
        </w:tc>
        <w:tc>
          <w:tcPr>
            <w:tcW w:w="780" w:type="dxa"/>
            <w:vAlign w:val="bottom"/>
          </w:tcPr>
          <w:p>
            <w:pPr>
              <w:spacing w:after="0"/>
              <w:rPr>
                <w:sz w:val="24"/>
                <w:szCs w:val="24"/>
                <w:color w:val="auto"/>
              </w:rPr>
            </w:pP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656</w:t>
            </w:r>
          </w:p>
        </w:tc>
        <w:tc>
          <w:tcPr>
            <w:tcW w:w="0" w:type="dxa"/>
            <w:vAlign w:val="bottom"/>
          </w:tcPr>
          <w:p>
            <w:pPr>
              <w:spacing w:after="0"/>
              <w:rPr>
                <w:sz w:val="1"/>
                <w:szCs w:val="1"/>
                <w:color w:val="auto"/>
              </w:rPr>
            </w:pPr>
          </w:p>
        </w:tc>
      </w:tr>
      <w:tr>
        <w:trPr>
          <w:trHeight w:val="297"/>
        </w:trPr>
        <w:tc>
          <w:tcPr>
            <w:tcW w:w="3940" w:type="dxa"/>
            <w:vAlign w:val="bottom"/>
          </w:tcPr>
          <w:p>
            <w:pPr>
              <w:ind w:left="140"/>
              <w:spacing w:after="0"/>
              <w:rPr>
                <w:sz w:val="20"/>
                <w:szCs w:val="20"/>
                <w:color w:val="auto"/>
              </w:rPr>
            </w:pPr>
            <w:r>
              <w:rPr>
                <w:rFonts w:ascii="Arial" w:cs="Arial" w:eastAsia="Arial" w:hAnsi="Arial"/>
                <w:sz w:val="20"/>
                <w:szCs w:val="20"/>
                <w:color w:val="auto"/>
              </w:rPr>
              <w:t>Licensing and other</w:t>
            </w:r>
          </w:p>
        </w:tc>
        <w:tc>
          <w:tcPr>
            <w:tcW w:w="740" w:type="dxa"/>
            <w:vAlign w:val="bottom"/>
          </w:tcPr>
          <w:p>
            <w:pPr>
              <w:spacing w:after="0"/>
              <w:rPr>
                <w:sz w:val="24"/>
                <w:szCs w:val="24"/>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color w:val="auto"/>
              </w:rPr>
              <w:t>247</w:t>
            </w:r>
          </w:p>
        </w:tc>
        <w:tc>
          <w:tcPr>
            <w:tcW w:w="800" w:type="dxa"/>
            <w:vAlign w:val="bottom"/>
          </w:tcPr>
          <w:p>
            <w:pPr>
              <w:spacing w:after="0"/>
              <w:rPr>
                <w:sz w:val="24"/>
                <w:szCs w:val="24"/>
                <w:color w:val="auto"/>
              </w:rPr>
            </w:pPr>
          </w:p>
        </w:tc>
        <w:tc>
          <w:tcPr>
            <w:tcW w:w="1200" w:type="dxa"/>
            <w:vAlign w:val="bottom"/>
          </w:tcPr>
          <w:p>
            <w:pPr>
              <w:jc w:val="right"/>
              <w:ind w:right="381"/>
              <w:spacing w:after="0"/>
              <w:rPr>
                <w:sz w:val="20"/>
                <w:szCs w:val="20"/>
                <w:color w:val="auto"/>
              </w:rPr>
            </w:pPr>
            <w:r>
              <w:rPr>
                <w:rFonts w:ascii="Arial" w:cs="Arial" w:eastAsia="Arial" w:hAnsi="Arial"/>
                <w:sz w:val="20"/>
                <w:szCs w:val="20"/>
                <w:color w:val="auto"/>
              </w:rPr>
              <w:t>(189)</w:t>
            </w:r>
          </w:p>
        </w:tc>
        <w:tc>
          <w:tcPr>
            <w:tcW w:w="780" w:type="dxa"/>
            <w:vAlign w:val="bottom"/>
          </w:tcPr>
          <w:p>
            <w:pPr>
              <w:spacing w:after="0"/>
              <w:rPr>
                <w:sz w:val="24"/>
                <w:szCs w:val="24"/>
                <w:color w:val="auto"/>
              </w:rPr>
            </w:pP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30"/>
        </w:trPr>
        <w:tc>
          <w:tcPr>
            <w:tcW w:w="3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40" w:type="dxa"/>
            <w:vAlign w:val="bottom"/>
          </w:tcPr>
          <w:p>
            <w:pPr>
              <w:ind w:left="20"/>
              <w:spacing w:after="0"/>
              <w:rPr>
                <w:sz w:val="20"/>
                <w:szCs w:val="20"/>
                <w:color w:val="auto"/>
              </w:rPr>
            </w:pPr>
            <w:r>
              <w:rPr>
                <w:rFonts w:ascii="Arial" w:cs="Arial" w:eastAsia="Arial" w:hAnsi="Arial"/>
                <w:sz w:val="20"/>
                <w:szCs w:val="20"/>
                <w:color w:val="auto"/>
              </w:rPr>
              <w:t>Revenues</w:t>
            </w:r>
          </w:p>
        </w:tc>
        <w:tc>
          <w:tcPr>
            <w:tcW w:w="740" w:type="dxa"/>
            <w:vAlign w:val="bottom"/>
          </w:tcPr>
          <w:p>
            <w:pPr>
              <w:spacing w:after="0"/>
              <w:rPr>
                <w:sz w:val="22"/>
                <w:szCs w:val="22"/>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color w:val="auto"/>
              </w:rPr>
              <w:t>1,428</w:t>
            </w:r>
          </w:p>
        </w:tc>
        <w:tc>
          <w:tcPr>
            <w:tcW w:w="800" w:type="dxa"/>
            <w:vAlign w:val="bottom"/>
          </w:tcPr>
          <w:p>
            <w:pPr>
              <w:spacing w:after="0"/>
              <w:rPr>
                <w:sz w:val="22"/>
                <w:szCs w:val="22"/>
                <w:color w:val="auto"/>
              </w:rPr>
            </w:pPr>
          </w:p>
        </w:tc>
        <w:tc>
          <w:tcPr>
            <w:tcW w:w="1200" w:type="dxa"/>
            <w:vAlign w:val="bottom"/>
          </w:tcPr>
          <w:p>
            <w:pPr>
              <w:jc w:val="right"/>
              <w:ind w:right="381"/>
              <w:spacing w:after="0"/>
              <w:rPr>
                <w:sz w:val="20"/>
                <w:szCs w:val="20"/>
                <w:color w:val="auto"/>
              </w:rPr>
            </w:pPr>
            <w:r>
              <w:rPr>
                <w:rFonts w:ascii="Arial" w:cs="Arial" w:eastAsia="Arial" w:hAnsi="Arial"/>
                <w:sz w:val="20"/>
                <w:szCs w:val="20"/>
                <w:color w:val="auto"/>
              </w:rPr>
              <w:t>(230)</w:t>
            </w:r>
          </w:p>
        </w:tc>
        <w:tc>
          <w:tcPr>
            <w:tcW w:w="780" w:type="dxa"/>
            <w:vAlign w:val="bottom"/>
          </w:tcPr>
          <w:p>
            <w:pPr>
              <w:spacing w:after="0"/>
              <w:rPr>
                <w:sz w:val="22"/>
                <w:szCs w:val="22"/>
                <w:color w:val="auto"/>
              </w:rPr>
            </w:pP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1,198</w:t>
            </w:r>
          </w:p>
        </w:tc>
        <w:tc>
          <w:tcPr>
            <w:tcW w:w="0" w:type="dxa"/>
            <w:vAlign w:val="bottom"/>
          </w:tcPr>
          <w:p>
            <w:pPr>
              <w:spacing w:after="0"/>
              <w:rPr>
                <w:sz w:val="1"/>
                <w:szCs w:val="1"/>
                <w:color w:val="auto"/>
              </w:rPr>
            </w:pPr>
          </w:p>
        </w:tc>
      </w:tr>
      <w:tr>
        <w:trPr>
          <w:trHeight w:val="392"/>
        </w:trPr>
        <w:tc>
          <w:tcPr>
            <w:tcW w:w="3940" w:type="dxa"/>
            <w:vAlign w:val="bottom"/>
          </w:tcPr>
          <w:p>
            <w:pPr>
              <w:ind w:left="140"/>
              <w:spacing w:after="0"/>
              <w:rPr>
                <w:sz w:val="20"/>
                <w:szCs w:val="20"/>
                <w:color w:val="auto"/>
              </w:rPr>
            </w:pPr>
            <w:r>
              <w:rPr>
                <w:rFonts w:ascii="Arial" w:cs="Arial" w:eastAsia="Arial" w:hAnsi="Arial"/>
                <w:sz w:val="20"/>
                <w:szCs w:val="20"/>
                <w:color w:val="auto"/>
              </w:rPr>
              <w:t>Content costs</w:t>
            </w:r>
          </w:p>
        </w:tc>
        <w:tc>
          <w:tcPr>
            <w:tcW w:w="740" w:type="dxa"/>
            <w:vAlign w:val="bottom"/>
          </w:tcPr>
          <w:p>
            <w:pPr>
              <w:spacing w:after="0"/>
              <w:rPr>
                <w:sz w:val="24"/>
                <w:szCs w:val="24"/>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color w:val="auto"/>
              </w:rPr>
              <w:t>657</w:t>
            </w:r>
          </w:p>
        </w:tc>
        <w:tc>
          <w:tcPr>
            <w:tcW w:w="800" w:type="dxa"/>
            <w:vAlign w:val="bottom"/>
          </w:tcPr>
          <w:p>
            <w:pPr>
              <w:spacing w:after="0"/>
              <w:rPr>
                <w:sz w:val="24"/>
                <w:szCs w:val="24"/>
                <w:color w:val="auto"/>
              </w:rPr>
            </w:pPr>
          </w:p>
        </w:tc>
        <w:tc>
          <w:tcPr>
            <w:tcW w:w="1200" w:type="dxa"/>
            <w:vAlign w:val="bottom"/>
          </w:tcPr>
          <w:p>
            <w:pPr>
              <w:jc w:val="right"/>
              <w:ind w:right="381"/>
              <w:spacing w:after="0"/>
              <w:rPr>
                <w:sz w:val="20"/>
                <w:szCs w:val="20"/>
                <w:color w:val="auto"/>
              </w:rPr>
            </w:pPr>
            <w:r>
              <w:rPr>
                <w:rFonts w:ascii="Arial" w:cs="Arial" w:eastAsia="Arial" w:hAnsi="Arial"/>
                <w:sz w:val="20"/>
                <w:szCs w:val="20"/>
                <w:color w:val="auto"/>
              </w:rPr>
              <w:t>(153)</w:t>
            </w:r>
          </w:p>
        </w:tc>
        <w:tc>
          <w:tcPr>
            <w:tcW w:w="780" w:type="dxa"/>
            <w:vAlign w:val="bottom"/>
          </w:tcPr>
          <w:p>
            <w:pPr>
              <w:spacing w:after="0"/>
              <w:rPr>
                <w:sz w:val="24"/>
                <w:szCs w:val="24"/>
                <w:color w:val="auto"/>
              </w:rPr>
            </w:pP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504</w:t>
            </w:r>
          </w:p>
        </w:tc>
        <w:tc>
          <w:tcPr>
            <w:tcW w:w="0" w:type="dxa"/>
            <w:vAlign w:val="bottom"/>
          </w:tcPr>
          <w:p>
            <w:pPr>
              <w:spacing w:after="0"/>
              <w:rPr>
                <w:sz w:val="1"/>
                <w:szCs w:val="1"/>
                <w:color w:val="auto"/>
              </w:rPr>
            </w:pPr>
          </w:p>
        </w:tc>
      </w:tr>
      <w:tr>
        <w:trPr>
          <w:trHeight w:val="297"/>
        </w:trPr>
        <w:tc>
          <w:tcPr>
            <w:tcW w:w="3940" w:type="dxa"/>
            <w:vAlign w:val="bottom"/>
          </w:tcPr>
          <w:p>
            <w:pPr>
              <w:ind w:left="140"/>
              <w:spacing w:after="0"/>
              <w:rPr>
                <w:sz w:val="20"/>
                <w:szCs w:val="20"/>
                <w:color w:val="auto"/>
              </w:rPr>
            </w:pPr>
            <w:r>
              <w:rPr>
                <w:rFonts w:ascii="Arial" w:cs="Arial" w:eastAsia="Arial" w:hAnsi="Arial"/>
                <w:sz w:val="20"/>
                <w:szCs w:val="20"/>
                <w:color w:val="auto"/>
              </w:rPr>
              <w:t>Advertising and marketing</w:t>
            </w:r>
          </w:p>
        </w:tc>
        <w:tc>
          <w:tcPr>
            <w:tcW w:w="740" w:type="dxa"/>
            <w:vAlign w:val="bottom"/>
          </w:tcPr>
          <w:p>
            <w:pPr>
              <w:spacing w:after="0"/>
              <w:rPr>
                <w:sz w:val="24"/>
                <w:szCs w:val="24"/>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color w:val="auto"/>
              </w:rPr>
              <w:t>59</w:t>
            </w:r>
          </w:p>
        </w:tc>
        <w:tc>
          <w:tcPr>
            <w:tcW w:w="800" w:type="dxa"/>
            <w:vAlign w:val="bottom"/>
          </w:tcPr>
          <w:p>
            <w:pPr>
              <w:spacing w:after="0"/>
              <w:rPr>
                <w:sz w:val="24"/>
                <w:szCs w:val="24"/>
                <w:color w:val="auto"/>
              </w:rPr>
            </w:pPr>
          </w:p>
        </w:tc>
        <w:tc>
          <w:tcPr>
            <w:tcW w:w="1200" w:type="dxa"/>
            <w:vAlign w:val="bottom"/>
          </w:tcPr>
          <w:p>
            <w:pPr>
              <w:jc w:val="right"/>
              <w:ind w:right="381"/>
              <w:spacing w:after="0"/>
              <w:rPr>
                <w:sz w:val="20"/>
                <w:szCs w:val="20"/>
                <w:color w:val="auto"/>
              </w:rPr>
            </w:pPr>
            <w:r>
              <w:rPr>
                <w:rFonts w:ascii="Arial" w:cs="Arial" w:eastAsia="Arial" w:hAnsi="Arial"/>
                <w:sz w:val="20"/>
                <w:szCs w:val="20"/>
                <w:color w:val="auto"/>
              </w:rPr>
              <w:t>(7)</w:t>
            </w:r>
          </w:p>
        </w:tc>
        <w:tc>
          <w:tcPr>
            <w:tcW w:w="780" w:type="dxa"/>
            <w:vAlign w:val="bottom"/>
          </w:tcPr>
          <w:p>
            <w:pPr>
              <w:spacing w:after="0"/>
              <w:rPr>
                <w:sz w:val="24"/>
                <w:szCs w:val="24"/>
                <w:color w:val="auto"/>
              </w:rPr>
            </w:pP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97"/>
        </w:trPr>
        <w:tc>
          <w:tcPr>
            <w:tcW w:w="3940" w:type="dxa"/>
            <w:vAlign w:val="bottom"/>
          </w:tcPr>
          <w:p>
            <w:pPr>
              <w:ind w:left="140"/>
              <w:spacing w:after="0"/>
              <w:rPr>
                <w:sz w:val="20"/>
                <w:szCs w:val="20"/>
                <w:color w:val="auto"/>
              </w:rPr>
            </w:pPr>
            <w:r>
              <w:rPr>
                <w:rFonts w:ascii="Arial" w:cs="Arial" w:eastAsia="Arial" w:hAnsi="Arial"/>
                <w:sz w:val="20"/>
                <w:szCs w:val="20"/>
                <w:color w:val="auto"/>
              </w:rPr>
              <w:t>Other</w:t>
            </w:r>
          </w:p>
        </w:tc>
        <w:tc>
          <w:tcPr>
            <w:tcW w:w="740" w:type="dxa"/>
            <w:vAlign w:val="bottom"/>
          </w:tcPr>
          <w:p>
            <w:pPr>
              <w:spacing w:after="0"/>
              <w:rPr>
                <w:sz w:val="24"/>
                <w:szCs w:val="24"/>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color w:val="auto"/>
              </w:rPr>
              <w:t>430</w:t>
            </w:r>
          </w:p>
        </w:tc>
        <w:tc>
          <w:tcPr>
            <w:tcW w:w="800" w:type="dxa"/>
            <w:vAlign w:val="bottom"/>
          </w:tcPr>
          <w:p>
            <w:pPr>
              <w:spacing w:after="0"/>
              <w:rPr>
                <w:sz w:val="24"/>
                <w:szCs w:val="24"/>
                <w:color w:val="auto"/>
              </w:rPr>
            </w:pPr>
          </w:p>
        </w:tc>
        <w:tc>
          <w:tcPr>
            <w:tcW w:w="1200" w:type="dxa"/>
            <w:vAlign w:val="bottom"/>
          </w:tcPr>
          <w:p>
            <w:pPr>
              <w:jc w:val="right"/>
              <w:ind w:right="381"/>
              <w:spacing w:after="0"/>
              <w:rPr>
                <w:sz w:val="20"/>
                <w:szCs w:val="20"/>
                <w:color w:val="auto"/>
              </w:rPr>
            </w:pPr>
            <w:r>
              <w:rPr>
                <w:rFonts w:ascii="Arial" w:cs="Arial" w:eastAsia="Arial" w:hAnsi="Arial"/>
                <w:sz w:val="20"/>
                <w:szCs w:val="20"/>
                <w:color w:val="auto"/>
              </w:rPr>
              <w:t>(73)</w:t>
            </w:r>
          </w:p>
        </w:tc>
        <w:tc>
          <w:tcPr>
            <w:tcW w:w="780" w:type="dxa"/>
            <w:vAlign w:val="bottom"/>
          </w:tcPr>
          <w:p>
            <w:pPr>
              <w:spacing w:after="0"/>
              <w:rPr>
                <w:sz w:val="24"/>
                <w:szCs w:val="24"/>
                <w:color w:val="auto"/>
              </w:rPr>
            </w:pP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357</w:t>
            </w:r>
          </w:p>
        </w:tc>
        <w:tc>
          <w:tcPr>
            <w:tcW w:w="0" w:type="dxa"/>
            <w:vAlign w:val="bottom"/>
          </w:tcPr>
          <w:p>
            <w:pPr>
              <w:spacing w:after="0"/>
              <w:rPr>
                <w:sz w:val="1"/>
                <w:szCs w:val="1"/>
                <w:color w:val="auto"/>
              </w:rPr>
            </w:pPr>
          </w:p>
        </w:tc>
      </w:tr>
      <w:tr>
        <w:trPr>
          <w:trHeight w:val="30"/>
        </w:trPr>
        <w:tc>
          <w:tcPr>
            <w:tcW w:w="3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940" w:type="dxa"/>
            <w:vAlign w:val="bottom"/>
          </w:tcPr>
          <w:p>
            <w:pPr>
              <w:ind w:left="20"/>
              <w:spacing w:after="0"/>
              <w:rPr>
                <w:sz w:val="20"/>
                <w:szCs w:val="20"/>
                <w:color w:val="auto"/>
              </w:rPr>
            </w:pPr>
            <w:r>
              <w:rPr>
                <w:rFonts w:ascii="Arial" w:cs="Arial" w:eastAsia="Arial" w:hAnsi="Arial"/>
                <w:sz w:val="20"/>
                <w:szCs w:val="20"/>
                <w:color w:val="auto"/>
              </w:rPr>
              <w:t>Expenses</w:t>
            </w:r>
          </w:p>
        </w:tc>
        <w:tc>
          <w:tcPr>
            <w:tcW w:w="740" w:type="dxa"/>
            <w:vAlign w:val="bottom"/>
          </w:tcPr>
          <w:p>
            <w:pPr>
              <w:spacing w:after="0"/>
              <w:rPr>
                <w:sz w:val="22"/>
                <w:szCs w:val="22"/>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color w:val="auto"/>
              </w:rPr>
              <w:t>1,146</w:t>
            </w:r>
          </w:p>
        </w:tc>
        <w:tc>
          <w:tcPr>
            <w:tcW w:w="800" w:type="dxa"/>
            <w:vAlign w:val="bottom"/>
          </w:tcPr>
          <w:p>
            <w:pPr>
              <w:spacing w:after="0"/>
              <w:rPr>
                <w:sz w:val="22"/>
                <w:szCs w:val="22"/>
                <w:color w:val="auto"/>
              </w:rPr>
            </w:pPr>
          </w:p>
        </w:tc>
        <w:tc>
          <w:tcPr>
            <w:tcW w:w="1200" w:type="dxa"/>
            <w:vAlign w:val="bottom"/>
          </w:tcPr>
          <w:p>
            <w:pPr>
              <w:jc w:val="right"/>
              <w:ind w:right="381"/>
              <w:spacing w:after="0"/>
              <w:rPr>
                <w:sz w:val="20"/>
                <w:szCs w:val="20"/>
                <w:color w:val="auto"/>
              </w:rPr>
            </w:pPr>
            <w:r>
              <w:rPr>
                <w:rFonts w:ascii="Arial" w:cs="Arial" w:eastAsia="Arial" w:hAnsi="Arial"/>
                <w:sz w:val="20"/>
                <w:szCs w:val="20"/>
                <w:color w:val="auto"/>
              </w:rPr>
              <w:t>(233)</w:t>
            </w:r>
          </w:p>
        </w:tc>
        <w:tc>
          <w:tcPr>
            <w:tcW w:w="780" w:type="dxa"/>
            <w:vAlign w:val="bottom"/>
          </w:tcPr>
          <w:p>
            <w:pPr>
              <w:spacing w:after="0"/>
              <w:rPr>
                <w:sz w:val="22"/>
                <w:szCs w:val="22"/>
                <w:color w:val="auto"/>
              </w:rPr>
            </w:pP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913</w:t>
            </w:r>
          </w:p>
        </w:tc>
        <w:tc>
          <w:tcPr>
            <w:tcW w:w="0" w:type="dxa"/>
            <w:vAlign w:val="bottom"/>
          </w:tcPr>
          <w:p>
            <w:pPr>
              <w:spacing w:after="0"/>
              <w:rPr>
                <w:sz w:val="1"/>
                <w:szCs w:val="1"/>
                <w:color w:val="auto"/>
              </w:rPr>
            </w:pPr>
          </w:p>
        </w:tc>
      </w:tr>
      <w:tr>
        <w:trPr>
          <w:trHeight w:val="4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Adjusted EBITDA/Adjusted OIBDA </w:t>
            </w:r>
            <w:r>
              <w:rPr>
                <w:rFonts w:ascii="Arial" w:cs="Arial" w:eastAsia="Arial" w:hAnsi="Arial"/>
                <w:sz w:val="25"/>
                <w:szCs w:val="25"/>
                <w:color w:val="auto"/>
                <w:vertAlign w:val="superscript"/>
              </w:rPr>
              <w:t>(a)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282</w:t>
            </w: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285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249"/>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first quarter of 2026, we renamed our primary measure of profit and loss for our operating segments from Adjusted OIBDA to Adjusted</w:t>
      </w:r>
    </w:p>
    <w:p>
      <w:pPr>
        <w:spacing w:after="0" w:line="2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EBITDA.</w:t>
      </w:r>
    </w:p>
    <w:p>
      <w:pPr>
        <w:spacing w:after="0" w:line="83" w:lineRule="exact"/>
        <w:rPr>
          <w:rFonts w:ascii="Arial" w:cs="Arial" w:eastAsia="Arial" w:hAnsi="Arial"/>
          <w:sz w:val="16"/>
          <w:szCs w:val="16"/>
          <w:color w:val="auto"/>
        </w:rPr>
      </w:pPr>
    </w:p>
    <w:p>
      <w:pPr>
        <w:jc w:val="both"/>
        <w:ind w:left="500" w:right="760" w:hanging="249"/>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Reflects the transfer of the historical </w:t>
      </w:r>
      <w:r>
        <w:rPr>
          <w:rFonts w:ascii="Arial" w:cs="Arial" w:eastAsia="Arial" w:hAnsi="Arial"/>
          <w:sz w:val="16"/>
          <w:szCs w:val="16"/>
          <w:i w:val="1"/>
          <w:iCs w:val="1"/>
          <w:color w:val="auto"/>
        </w:rPr>
        <w:t>TV Media</w:t>
      </w:r>
      <w:r>
        <w:rPr>
          <w:rFonts w:ascii="Arial" w:cs="Arial" w:eastAsia="Arial" w:hAnsi="Arial"/>
          <w:sz w:val="16"/>
          <w:szCs w:val="16"/>
          <w:color w:val="auto"/>
        </w:rPr>
        <w:t xml:space="preserve"> studio operations to the </w:t>
      </w:r>
      <w:r>
        <w:rPr>
          <w:rFonts w:ascii="Arial" w:cs="Arial" w:eastAsia="Arial" w:hAnsi="Arial"/>
          <w:sz w:val="16"/>
          <w:szCs w:val="16"/>
          <w:i w:val="1"/>
          <w:iCs w:val="1"/>
          <w:color w:val="auto"/>
        </w:rPr>
        <w:t>Studios</w:t>
      </w:r>
      <w:r>
        <w:rPr>
          <w:rFonts w:ascii="Arial" w:cs="Arial" w:eastAsia="Arial" w:hAnsi="Arial"/>
          <w:sz w:val="16"/>
          <w:szCs w:val="16"/>
          <w:color w:val="auto"/>
        </w:rPr>
        <w:t xml:space="preserve"> segment and our premium cable channel, Paramount+ with Showtime, to the </w:t>
      </w:r>
      <w:r>
        <w:rPr>
          <w:rFonts w:ascii="Arial" w:cs="Arial" w:eastAsia="Arial" w:hAnsi="Arial"/>
          <w:sz w:val="16"/>
          <w:szCs w:val="16"/>
          <w:i w:val="1"/>
          <w:iCs w:val="1"/>
          <w:color w:val="auto"/>
        </w:rPr>
        <w:t>Direct-to-Consumer</w:t>
      </w:r>
      <w:r>
        <w:rPr>
          <w:rFonts w:ascii="Arial" w:cs="Arial" w:eastAsia="Arial" w:hAnsi="Arial"/>
          <w:sz w:val="16"/>
          <w:szCs w:val="16"/>
          <w:color w:val="auto"/>
        </w:rPr>
        <w:t xml:space="preserve"> segment, and updates to our segment expense allocations to better reflect how we operate and make cost decisions across the business.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935"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Free Cash Flow</w:t>
      </w:r>
    </w:p>
    <w:p>
      <w:pPr>
        <w:spacing w:after="0" w:line="152" w:lineRule="exact"/>
        <w:rPr>
          <w:sz w:val="20"/>
          <w:szCs w:val="20"/>
          <w:color w:val="auto"/>
        </w:rPr>
      </w:pPr>
    </w:p>
    <w:p>
      <w:pPr>
        <w:ind w:right="480"/>
        <w:spacing w:after="0" w:line="257" w:lineRule="auto"/>
        <w:rPr>
          <w:sz w:val="20"/>
          <w:szCs w:val="20"/>
          <w:color w:val="auto"/>
        </w:rPr>
      </w:pPr>
      <w:r>
        <w:rPr>
          <w:rFonts w:ascii="Arial" w:cs="Arial" w:eastAsia="Arial" w:hAnsi="Arial"/>
          <w:sz w:val="22"/>
          <w:szCs w:val="22"/>
          <w:color w:val="auto"/>
        </w:rPr>
        <w:t>Free cash flow is a non-GAAP financial measure. Free cash flow reflects our net cash flow provided by operating activities less capital expenditures. We deduct capital expenditures when we calculate free cash flow because investment in capital expenditures is a use of cash that is directly related to our operations. Our net cash flow provided by operating activities is the most directly comparable U.S. GAAP financial measure.</w:t>
      </w:r>
    </w:p>
    <w:p>
      <w:pPr>
        <w:spacing w:after="0" w:line="253" w:lineRule="exact"/>
        <w:rPr>
          <w:sz w:val="20"/>
          <w:szCs w:val="20"/>
          <w:color w:val="auto"/>
        </w:rPr>
      </w:pPr>
    </w:p>
    <w:p>
      <w:pPr>
        <w:ind w:right="200"/>
        <w:spacing w:after="0" w:line="249" w:lineRule="auto"/>
        <w:rPr>
          <w:sz w:val="20"/>
          <w:szCs w:val="20"/>
          <w:color w:val="auto"/>
        </w:rPr>
      </w:pPr>
      <w:r>
        <w:rPr>
          <w:rFonts w:ascii="Arial" w:cs="Arial" w:eastAsia="Arial" w:hAnsi="Arial"/>
          <w:sz w:val="22"/>
          <w:szCs w:val="22"/>
          <w:color w:val="auto"/>
        </w:rPr>
        <w:t>Management believes free cash flow provides investors with an important perspective on the cash available to us to service debt, pay dividends, make strategic acquisitions and investments, maintain our capital assets, satisfy our tax obligations, and fund ongoing operations and working capital needs. We believe the presentation of free cash flow is relevant and useful for investors because it allows investors to evaluate the cash generated from our underlying operations in a manner similar to the method used by management. Free cash flow is one of the quantitative performance metrics used in determining our annual incentive compensation awards. In addition, free cash flow is a primary measure used externally by our investors, analysts and industry peers for purposes of valuation and comparison of our operating performance to other companies in our industry.</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As free cash flow is not a measure calculated in accordance with U.S. GAAP, free cash flow should not be considered in isolation of, or as a substitute for, either net cash flow provided by operating activities as a measure of liquidity or net earnings as a measure of operating performance. Free cash flow, as we calculate it, may not be comparable to similarly titled measures employed by other companies.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a reconciliation of our net cash flow provided by operating activities to free cash flow.</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303"/>
        </w:trPr>
        <w:tc>
          <w:tcPr>
            <w:tcW w:w="4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jc w:val="center"/>
              <w:ind w:right="181"/>
              <w:spacing w:after="0"/>
              <w:rPr>
                <w:sz w:val="20"/>
                <w:szCs w:val="20"/>
                <w:color w:val="auto"/>
              </w:rPr>
            </w:pPr>
            <w:r>
              <w:rPr>
                <w:rFonts w:ascii="Arial" w:cs="Arial" w:eastAsia="Arial" w:hAnsi="Arial"/>
                <w:sz w:val="20"/>
                <w:szCs w:val="20"/>
                <w:b w:val="1"/>
                <w:bCs w:val="1"/>
                <w:color w:val="auto"/>
                <w:w w:val="98"/>
              </w:rPr>
              <w:t>Successor</w:t>
            </w:r>
          </w:p>
        </w:tc>
        <w:tc>
          <w:tcPr>
            <w:tcW w:w="2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Predecessor</w:t>
            </w: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40"/>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b w:val="1"/>
                <w:bCs w:val="1"/>
                <w:color w:val="auto"/>
                <w:w w:val="97"/>
              </w:rPr>
              <w:t>Three Months</w:t>
            </w:r>
          </w:p>
        </w:tc>
        <w:tc>
          <w:tcPr>
            <w:tcW w:w="240" w:type="dxa"/>
            <w:vAlign w:val="bottom"/>
          </w:tcPr>
          <w:p>
            <w:pPr>
              <w:spacing w:after="0"/>
              <w:rPr>
                <w:sz w:val="20"/>
                <w:szCs w:val="20"/>
                <w:color w:val="auto"/>
              </w:rPr>
            </w:pPr>
          </w:p>
        </w:tc>
        <w:tc>
          <w:tcPr>
            <w:tcW w:w="1760" w:type="dxa"/>
            <w:vAlign w:val="bottom"/>
          </w:tcPr>
          <w:p>
            <w:pPr>
              <w:jc w:val="center"/>
              <w:ind w:right="41"/>
              <w:spacing w:after="0"/>
              <w:rPr>
                <w:sz w:val="20"/>
                <w:szCs w:val="20"/>
                <w:color w:val="auto"/>
              </w:rPr>
            </w:pPr>
            <w:r>
              <w:rPr>
                <w:rFonts w:ascii="Arial" w:cs="Arial" w:eastAsia="Arial" w:hAnsi="Arial"/>
                <w:sz w:val="20"/>
                <w:szCs w:val="20"/>
                <w:b w:val="1"/>
                <w:bCs w:val="1"/>
                <w:color w:val="auto"/>
                <w:w w:val="99"/>
              </w:rPr>
              <w:t>Three Months</w:t>
            </w:r>
          </w:p>
        </w:tc>
      </w:tr>
      <w:tr>
        <w:trPr>
          <w:trHeight w:val="277"/>
        </w:trPr>
        <w:tc>
          <w:tcPr>
            <w:tcW w:w="4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jc w:val="center"/>
              <w:ind w:right="181"/>
              <w:spacing w:after="0"/>
              <w:rPr>
                <w:sz w:val="20"/>
                <w:szCs w:val="20"/>
                <w:color w:val="auto"/>
              </w:rPr>
            </w:pPr>
            <w:r>
              <w:rPr>
                <w:rFonts w:ascii="Arial" w:cs="Arial" w:eastAsia="Arial" w:hAnsi="Arial"/>
                <w:sz w:val="20"/>
                <w:szCs w:val="20"/>
                <w:b w:val="1"/>
                <w:bCs w:val="1"/>
                <w:color w:val="auto"/>
                <w:w w:val="98"/>
              </w:rPr>
              <w:t>Ended March 31,</w:t>
            </w: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b w:val="1"/>
                <w:bCs w:val="1"/>
                <w:color w:val="auto"/>
                <w:w w:val="99"/>
              </w:rPr>
              <w:t>Ended March 31,</w:t>
            </w:r>
          </w:p>
        </w:tc>
      </w:tr>
      <w:tr>
        <w:trPr>
          <w:trHeight w:val="274"/>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b w:val="1"/>
                <w:bCs w:val="1"/>
                <w:color w:val="auto"/>
                <w:w w:val="98"/>
              </w:rPr>
              <w:t>2026</w:t>
            </w:r>
          </w:p>
        </w:tc>
        <w:tc>
          <w:tcPr>
            <w:tcW w:w="240" w:type="dxa"/>
            <w:vAlign w:val="bottom"/>
          </w:tcPr>
          <w:p>
            <w:pPr>
              <w:spacing w:after="0"/>
              <w:rPr>
                <w:sz w:val="23"/>
                <w:szCs w:val="23"/>
                <w:color w:val="auto"/>
              </w:rPr>
            </w:pPr>
          </w:p>
        </w:tc>
        <w:tc>
          <w:tcPr>
            <w:tcW w:w="1760" w:type="dxa"/>
            <w:vAlign w:val="bottom"/>
          </w:tcPr>
          <w:p>
            <w:pPr>
              <w:jc w:val="center"/>
              <w:ind w:right="61"/>
              <w:spacing w:after="0"/>
              <w:rPr>
                <w:sz w:val="20"/>
                <w:szCs w:val="20"/>
                <w:color w:val="auto"/>
              </w:rPr>
            </w:pPr>
            <w:r>
              <w:rPr>
                <w:rFonts w:ascii="Arial" w:cs="Arial" w:eastAsia="Arial" w:hAnsi="Arial"/>
                <w:sz w:val="20"/>
                <w:szCs w:val="20"/>
                <w:b w:val="1"/>
                <w:bCs w:val="1"/>
                <w:color w:val="auto"/>
                <w:w w:val="98"/>
              </w:rPr>
              <w:t>2025</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0"/>
        </w:trPr>
        <w:tc>
          <w:tcPr>
            <w:tcW w:w="4920" w:type="dxa"/>
            <w:vAlign w:val="bottom"/>
          </w:tcPr>
          <w:p>
            <w:pPr>
              <w:ind w:left="20"/>
              <w:spacing w:after="0"/>
              <w:rPr>
                <w:sz w:val="20"/>
                <w:szCs w:val="20"/>
                <w:color w:val="auto"/>
              </w:rPr>
            </w:pPr>
            <w:r>
              <w:rPr>
                <w:rFonts w:ascii="Arial" w:cs="Arial" w:eastAsia="Arial" w:hAnsi="Arial"/>
                <w:sz w:val="20"/>
                <w:szCs w:val="20"/>
                <w:color w:val="auto"/>
              </w:rPr>
              <w:t>Net cash flow provided by operating activities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right"/>
              <w:ind w:right="101"/>
              <w:spacing w:after="0"/>
              <w:rPr>
                <w:sz w:val="20"/>
                <w:szCs w:val="20"/>
                <w:color w:val="auto"/>
              </w:rPr>
            </w:pPr>
            <w:r>
              <w:rPr>
                <w:rFonts w:ascii="Arial" w:cs="Arial" w:eastAsia="Arial" w:hAnsi="Arial"/>
                <w:sz w:val="20"/>
                <w:szCs w:val="20"/>
                <w:color w:val="auto"/>
              </w:rPr>
              <w:t>185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180</w:t>
            </w:r>
          </w:p>
        </w:tc>
      </w:tr>
      <w:tr>
        <w:trPr>
          <w:trHeight w:val="297"/>
        </w:trPr>
        <w:tc>
          <w:tcPr>
            <w:tcW w:w="4920" w:type="dxa"/>
            <w:vAlign w:val="bottom"/>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tcPr>
          <w:p>
            <w:pPr>
              <w:spacing w:after="0"/>
              <w:rPr>
                <w:sz w:val="24"/>
                <w:szCs w:val="24"/>
                <w:color w:val="auto"/>
              </w:rPr>
            </w:pPr>
          </w:p>
        </w:tc>
        <w:tc>
          <w:tcPr>
            <w:tcW w:w="188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rPr>
              <w:t>(89)</w:t>
            </w: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0"/>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0"/>
        </w:trPr>
        <w:tc>
          <w:tcPr>
            <w:tcW w:w="4920" w:type="dxa"/>
            <w:vAlign w:val="bottom"/>
          </w:tcPr>
          <w:p>
            <w:pPr>
              <w:ind w:left="20"/>
              <w:spacing w:after="0"/>
              <w:rPr>
                <w:sz w:val="20"/>
                <w:szCs w:val="20"/>
                <w:color w:val="auto"/>
              </w:rPr>
            </w:pPr>
            <w:r>
              <w:rPr>
                <w:rFonts w:ascii="Arial" w:cs="Arial" w:eastAsia="Arial" w:hAnsi="Arial"/>
                <w:sz w:val="20"/>
                <w:szCs w:val="20"/>
                <w:color w:val="auto"/>
              </w:rPr>
              <w:t>Free cash flow (Non-GAAP)</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right"/>
              <w:ind w:right="101"/>
              <w:spacing w:after="0"/>
              <w:rPr>
                <w:sz w:val="20"/>
                <w:szCs w:val="20"/>
                <w:color w:val="auto"/>
              </w:rPr>
            </w:pPr>
            <w:r>
              <w:rPr>
                <w:rFonts w:ascii="Arial" w:cs="Arial" w:eastAsia="Arial" w:hAnsi="Arial"/>
                <w:sz w:val="20"/>
                <w:szCs w:val="20"/>
                <w:color w:val="auto"/>
              </w:rPr>
              <w:t>96</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38"/>
        </w:trPr>
        <w:tc>
          <w:tcPr>
            <w:tcW w:w="4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3"/>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2026-05-04T15:12:07Z</dcterms:created>
  <dcterms:modified xsi:type="dcterms:W3CDTF">2026-05-04T15:12:07Z</dcterms:modified>
</cp:coreProperties>
</file>