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26,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Paramount Global</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001-09553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04-2949533</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134" w:lineRule="exact"/>
        <w:rPr>
          <w:sz w:val="24"/>
          <w:szCs w:val="24"/>
          <w:color w:val="auto"/>
        </w:rPr>
      </w:pPr>
    </w:p>
    <w:p>
      <w:pPr>
        <w:sectPr>
          <w:pgSz w:w="11900" w:h="16838" w:orient="portrait"/>
          <w:cols w:equalWidth="0" w:num="3">
            <w:col w:w="4484" w:space="720"/>
            <w:col w:w="2620" w:space="720"/>
            <w:col w:w="2480"/>
          </w:cols>
          <w:pgMar w:left="436" w:top="376" w:right="439" w:bottom="1440" w:gutter="0" w:footer="0" w:header="0"/>
          <w:type w:val="continuous"/>
        </w:sectPr>
      </w:pPr>
    </w:p>
    <w:p>
      <w:pPr>
        <w:jc w:val="center"/>
        <w:ind w:right="1856"/>
        <w:spacing w:after="0"/>
        <w:rPr>
          <w:sz w:val="20"/>
          <w:szCs w:val="20"/>
          <w:color w:val="auto"/>
        </w:rPr>
      </w:pPr>
      <w:r>
        <w:rPr>
          <w:rFonts w:ascii="Times New Roman" w:cs="Times New Roman" w:eastAsia="Times New Roman" w:hAnsi="Times New Roman"/>
          <w:sz w:val="18"/>
          <w:szCs w:val="18"/>
          <w:b w:val="1"/>
          <w:bCs w:val="1"/>
          <w:color w:val="auto"/>
        </w:rPr>
        <w:t>1515 Broadway</w:t>
      </w:r>
    </w:p>
    <w:p>
      <w:pPr>
        <w:spacing w:after="0" w:line="31"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7"/>
          <w:szCs w:val="17"/>
          <w:b w:val="1"/>
          <w:bCs w:val="1"/>
          <w:color w:val="auto"/>
        </w:rPr>
        <w:t>New York, New York</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10036</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258-6000</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1"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$0.001 par value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PARAA</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B Common Stock, $0.001 par value</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PARA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30"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On February 26, 2025, Paramount Global issued a press release announcing earnings for the fourth quarter and year ended December 31, 2024. A copy of the press release is furnished herewith as Exhibit 99 and is incorporated by reference herein in its entirety.</w:t>
      </w:r>
    </w:p>
    <w:p>
      <w:pPr>
        <w:spacing w:after="0" w:line="162" w:lineRule="exact"/>
        <w:rPr>
          <w:sz w:val="20"/>
          <w:szCs w:val="20"/>
          <w:color w:val="auto"/>
        </w:rPr>
      </w:pPr>
    </w:p>
    <w:p>
      <w:pPr>
        <w:ind w:left="4" w:right="320"/>
        <w:spacing w:after="0" w:line="266" w:lineRule="auto"/>
        <w:rPr>
          <w:sz w:val="20"/>
          <w:szCs w:val="20"/>
          <w:color w:val="auto"/>
        </w:rPr>
      </w:pPr>
      <w:r>
        <w:rPr>
          <w:rFonts w:ascii="Times New Roman" w:cs="Times New Roman" w:eastAsia="Times New Roman" w:hAnsi="Times New Roman"/>
          <w:sz w:val="18"/>
          <w:szCs w:val="18"/>
          <w:color w:val="auto"/>
        </w:rPr>
        <w:t>The information furnished pursuant to this Item 2.02, including Exhibit 99, shall not be deemed “filed” for purposes of Section 18 of the Securities Exchange Act of 1934, as amended (the “Exchange Act”), or otherwise subject to the liabilities under that Section and shall not be deemed to be incorporated by reference into any filings under the Securities Act of 1933, as amended, or the Exchange Act.</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920" w:type="dxa"/>
            <w:vAlign w:val="bottom"/>
          </w:tcPr>
          <w:p>
            <w:pPr>
              <w:jc w:val="center"/>
              <w:ind w:right="234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780" w:type="dxa"/>
            <w:vAlign w:val="bottom"/>
            <w:vMerge w:val="restart"/>
          </w:tcPr>
          <w:p>
            <w:pPr>
              <w:ind w:left="2420"/>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 of Exhibit</w:t>
            </w:r>
          </w:p>
        </w:tc>
        <w:tc>
          <w:tcPr>
            <w:tcW w:w="0" w:type="dxa"/>
            <w:vAlign w:val="bottom"/>
          </w:tcPr>
          <w:p>
            <w:pPr>
              <w:spacing w:after="0"/>
              <w:rPr>
                <w:sz w:val="1"/>
                <w:szCs w:val="1"/>
                <w:color w:val="auto"/>
              </w:rPr>
            </w:pPr>
          </w:p>
        </w:tc>
      </w:tr>
      <w:tr>
        <w:trPr>
          <w:trHeight w:val="190"/>
        </w:trPr>
        <w:tc>
          <w:tcPr>
            <w:tcW w:w="2920" w:type="dxa"/>
            <w:vAlign w:val="bottom"/>
          </w:tcPr>
          <w:p>
            <w:pPr>
              <w:jc w:val="center"/>
              <w:ind w:right="2348"/>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tc>
        <w:tc>
          <w:tcPr>
            <w:tcW w:w="3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1044" w:right="180" w:hanging="1044"/>
        <w:spacing w:after="0" w:line="282" w:lineRule="auto"/>
        <w:tabs>
          <w:tab w:leader="none" w:pos="10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Press release of Paramount Global, dated February 26, 2025, announcing earnings for the fourth quarter and year ended December 31, 2024.</w:t>
      </w:r>
    </w:p>
    <w:p>
      <w:pPr>
        <w:spacing w:after="0" w:line="54" w:lineRule="exact"/>
        <w:rPr>
          <w:sz w:val="20"/>
          <w:szCs w:val="20"/>
          <w:color w:val="auto"/>
        </w:rPr>
      </w:pPr>
    </w:p>
    <w:p>
      <w:pPr>
        <w:ind w:left="4"/>
        <w:spacing w:after="0"/>
        <w:tabs>
          <w:tab w:leader="none" w:pos="102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884"/>
          </w:cols>
          <w:pgMar w:left="436" w:top="293" w:right="57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PARAMOUNT GLOBAL</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Caryn K. Groce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4446270</wp:posOffset>
            </wp:positionH>
            <wp:positionV relativeFrom="paragraph">
              <wp:posOffset>17145</wp:posOffset>
            </wp:positionV>
            <wp:extent cx="25457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16" w:lineRule="exact"/>
        <w:rPr>
          <w:sz w:val="20"/>
          <w:szCs w:val="20"/>
          <w:color w:val="auto"/>
        </w:rPr>
      </w:pPr>
    </w:p>
    <w:p>
      <w:pPr>
        <w:ind w:left="7000"/>
        <w:spacing w:after="0"/>
        <w:tabs>
          <w:tab w:leader="none" w:pos="76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Caryn K. Groce</w:t>
      </w:r>
    </w:p>
    <w:p>
      <w:pPr>
        <w:spacing w:after="0" w:line="27" w:lineRule="exact"/>
        <w:rPr>
          <w:sz w:val="20"/>
          <w:szCs w:val="20"/>
          <w:color w:val="auto"/>
        </w:rPr>
      </w:pPr>
    </w:p>
    <w:p>
      <w:pPr>
        <w:ind w:left="7000"/>
        <w:spacing w:after="0"/>
        <w:tabs>
          <w:tab w:leader="none" w:pos="7600" w:val="left"/>
        </w:tabs>
        <w:rPr>
          <w:sz w:val="20"/>
          <w:szCs w:val="20"/>
          <w:color w:val="auto"/>
        </w:rPr>
      </w:pPr>
      <w:r>
        <w:rPr>
          <w:rFonts w:ascii="Times New Roman" w:cs="Times New Roman" w:eastAsia="Times New Roman" w:hAnsi="Times New Roman"/>
          <w:sz w:val="18"/>
          <w:szCs w:val="18"/>
          <w:color w:val="auto"/>
        </w:rPr>
        <w:t>Title:</w:t>
        <w:tab/>
        <w:t>Executive Vice President,</w:t>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Acting General Counsel and Secretary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2025</w:t>
      </w:r>
    </w:p>
    <w:p>
      <w:pPr>
        <w:sectPr>
          <w:pgSz w:w="11900" w:h="16838" w:orient="portrait"/>
          <w:cols w:equalWidth="0" w:num="1">
            <w:col w:w="10940"/>
          </w:cols>
          <w:pgMar w:left="440" w:top="293" w:right="5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6995160" cy="905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2151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9215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2151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9215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2151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9215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2151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9215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2151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9215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2151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9215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2151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9215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2151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9215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2151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9215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2151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9215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2151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9215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2151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9215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2151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9215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2151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9215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2151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92151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9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2025-02-26T15:38:33Z</dcterms:created>
  <dcterms:modified xsi:type="dcterms:W3CDTF">2025-02-26T15:38:33Z</dcterms:modified>
</cp:coreProperties>
</file>